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6EF55">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微软雅黑" w:hAnsi="微软雅黑" w:eastAsia="微软雅黑" w:cs="微软雅黑"/>
          <w:sz w:val="28"/>
          <w:szCs w:val="28"/>
          <w:lang w:val="en-US" w:eastAsia="zh-CN"/>
        </w:rPr>
      </w:pPr>
      <w:r>
        <w:rPr>
          <w:rFonts w:hint="eastAsia" w:cstheme="minorBidi"/>
          <w:kern w:val="2"/>
          <w:sz w:val="21"/>
          <w:szCs w:val="22"/>
          <w:lang w:val="en-US" w:eastAsia="zh-CN" w:bidi="ar-SA"/>
        </w:rPr>
        <w:t xml:space="preserve">                                     </w:t>
      </w:r>
    </w:p>
    <w:sdt>
      <w:sdtPr>
        <w:rPr>
          <w:rFonts w:hint="eastAsia" w:ascii="微软雅黑" w:hAnsi="微软雅黑" w:eastAsia="微软雅黑" w:cs="微软雅黑"/>
          <w:b/>
          <w:bCs/>
          <w:color w:val="2D4CE7"/>
          <w:kern w:val="2"/>
          <w:sz w:val="28"/>
          <w:szCs w:val="28"/>
          <w:lang w:val="en-US" w:eastAsia="zh-CN" w:bidi="ar-SA"/>
        </w:rPr>
        <w:id w:val="147455901"/>
        <w:placeholder>
          <w:docPart w:val="{331bc0ab-4599-4d9d-a4e7-52d3b7569bd2}"/>
        </w:placeholder>
        <w:dataBinding w:prefixMappings="xmlns:ns0='http://purl.org/dc/elements/1.1/' xmlns:ns1='http://schemas.openxmlformats.org/package/2006/metadata/core-properties' " w:xpath="/ns1:coreProperties[1]/ns0:title[1]" w:storeItemID="{6C3C8BC8-F283-45AE-878A-BAB7291924A1}"/>
        <w:text/>
      </w:sdtPr>
      <w:sdtEndPr>
        <w:rPr>
          <w:rFonts w:hint="eastAsia" w:ascii="微软雅黑" w:hAnsi="微软雅黑" w:eastAsia="微软雅黑" w:cs="微软雅黑"/>
          <w:b/>
          <w:bCs/>
          <w:color w:val="2D4CE7"/>
          <w:kern w:val="2"/>
          <w:sz w:val="28"/>
          <w:szCs w:val="28"/>
          <w:lang w:val="en-US" w:eastAsia="zh-CN" w:bidi="ar-SA"/>
        </w:rPr>
      </w:sdtEndPr>
      <w:sdtContent>
        <w:p w14:paraId="6B826DBA">
          <w:pPr>
            <w:keepNext w:val="0"/>
            <w:keepLines w:val="0"/>
            <w:pageBreakBefore w:val="0"/>
            <w:widowControl w:val="0"/>
            <w:tabs>
              <w:tab w:val="left" w:pos="909"/>
            </w:tabs>
            <w:kinsoku/>
            <w:wordWrap/>
            <w:overflowPunct/>
            <w:topLinePunct w:val="0"/>
            <w:autoSpaceDE/>
            <w:autoSpaceDN/>
            <w:bidi w:val="0"/>
            <w:adjustRightInd w:val="0"/>
            <w:snapToGrid w:val="0"/>
            <w:spacing w:line="240" w:lineRule="auto"/>
            <w:jc w:val="left"/>
            <w:textAlignment w:val="auto"/>
            <w:rPr>
              <w:rFonts w:hint="eastAsia" w:ascii="微软雅黑" w:hAnsi="微软雅黑" w:eastAsia="微软雅黑" w:cs="微软雅黑"/>
              <w:kern w:val="2"/>
              <w:sz w:val="28"/>
              <w:szCs w:val="28"/>
              <w:lang w:val="en-US" w:eastAsia="zh-CN" w:bidi="ar-SA"/>
            </w:rPr>
          </w:pPr>
          <w:r>
            <w:rPr>
              <w:rFonts w:hint="eastAsia" w:ascii="微软雅黑" w:hAnsi="微软雅黑" w:eastAsia="微软雅黑" w:cs="微软雅黑"/>
              <w:b/>
              <w:sz w:val="28"/>
              <w:szCs w:val="28"/>
              <w:lang w:eastAsia="zh-CN"/>
            </w:rPr>
            <w:t>智能压力感知与分级视觉预警系统——硬件接线与部署指南本指南详细记录了系统的物理电路拓扑结构与面包板插线坐标。请在断电状态下严格对照本指南进行硬件搭建。一、引脚映射总表二、面包板空间坐标与布线步骤（手把手搭建）注：面包板内部同一行（如第1行的a、b、c、d、e插孔）在物理上是互通的。请按以下三个模块依次完成插线。</w:t>
          </w:r>
          <w:bookmarkStart w:id="0" w:name="_GoBack"/>
          <w:bookmarkEnd w:id="0"/>
        </w:p>
      </w:sdtContent>
    </w:sdt>
    <w:p w14:paraId="03AF049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left"/>
        <w:textAlignment w:val="auto"/>
        <w:rPr>
          <w:rFonts w:hint="eastAsia" w:ascii="微软雅黑" w:hAnsi="微软雅黑" w:eastAsia="微软雅黑" w:cs="微软雅黑"/>
          <w:kern w:val="2"/>
          <w:sz w:val="28"/>
          <w:szCs w:val="28"/>
          <w:lang w:val="en-US" w:eastAsia="zh-CN" w:bidi="ar-SA"/>
        </w:rPr>
      </w:pPr>
    </w:p>
    <w:p w14:paraId="1E9B77B7">
      <w:pPr>
        <w:bidi w:val="0"/>
        <w:spacing w:line="240" w:lineRule="auto"/>
        <w:rPr>
          <w:rFonts w:hint="eastAsia" w:ascii="微软雅黑" w:hAnsi="微软雅黑" w:eastAsia="微软雅黑" w:cs="微软雅黑"/>
          <w:kern w:val="2"/>
          <w:sz w:val="28"/>
          <w:szCs w:val="28"/>
          <w:lang w:val="en-US" w:eastAsia="zh-CN" w:bidi="ar-SA"/>
        </w:rPr>
      </w:pPr>
    </w:p>
    <w:p w14:paraId="0968C609">
      <w:pPr>
        <w:bidi w:val="0"/>
        <w:spacing w:line="240" w:lineRule="auto"/>
        <w:rPr>
          <w:rFonts w:hint="eastAsia" w:ascii="微软雅黑" w:hAnsi="微软雅黑" w:eastAsia="微软雅黑" w:cs="微软雅黑"/>
          <w:sz w:val="28"/>
          <w:szCs w:val="28"/>
          <w:lang w:val="en-US" w:eastAsia="zh-CN"/>
        </w:rPr>
      </w:pPr>
    </w:p>
    <w:p w14:paraId="4DA85DFD">
      <w:pPr>
        <w:bidi w:val="0"/>
        <w:spacing w:line="240" w:lineRule="auto"/>
        <w:rPr>
          <w:rFonts w:hint="eastAsia" w:ascii="微软雅黑" w:hAnsi="微软雅黑" w:eastAsia="微软雅黑" w:cs="微软雅黑"/>
          <w:sz w:val="28"/>
          <w:szCs w:val="28"/>
          <w:lang w:val="en-US" w:eastAsia="zh-CN"/>
        </w:rPr>
      </w:pPr>
    </w:p>
    <w:p w14:paraId="6A30EE54">
      <w:pPr>
        <w:bidi w:val="0"/>
        <w:rPr>
          <w:rFonts w:hint="default"/>
          <w:lang w:val="en-US" w:eastAsia="zh-CN"/>
        </w:rPr>
      </w:pPr>
    </w:p>
    <w:p w14:paraId="11EF6024">
      <w:pPr>
        <w:bidi w:val="0"/>
        <w:rPr>
          <w:rFonts w:hint="default"/>
          <w:lang w:val="en-US" w:eastAsia="zh-CN"/>
        </w:rPr>
      </w:pPr>
    </w:p>
    <w:p w14:paraId="2926A878">
      <w:pPr>
        <w:bidi w:val="0"/>
        <w:rPr>
          <w:rFonts w:hint="default"/>
          <w:lang w:val="en-US" w:eastAsia="zh-CN"/>
        </w:rPr>
      </w:pPr>
    </w:p>
    <w:p w14:paraId="33C5EE0D">
      <w:pPr>
        <w:bidi w:val="0"/>
        <w:rPr>
          <w:rFonts w:hint="default"/>
          <w:lang w:val="en-US" w:eastAsia="zh-CN"/>
        </w:rPr>
      </w:pPr>
    </w:p>
    <w:p w14:paraId="25B9F396">
      <w:pPr>
        <w:bidi w:val="0"/>
        <w:rPr>
          <w:rFonts w:hint="default"/>
          <w:lang w:val="en-US" w:eastAsia="zh-CN"/>
        </w:rPr>
      </w:pPr>
    </w:p>
    <w:p w14:paraId="53F47B52">
      <w:pPr>
        <w:bidi w:val="0"/>
        <w:rPr>
          <w:rFonts w:hint="default"/>
          <w:lang w:val="en-US" w:eastAsia="zh-CN"/>
        </w:rPr>
      </w:pPr>
    </w:p>
    <w:p w14:paraId="196FF0B3">
      <w:pPr>
        <w:bidi w:val="0"/>
        <w:rPr>
          <w:rFonts w:hint="default"/>
          <w:lang w:val="en-US" w:eastAsia="zh-CN"/>
        </w:rPr>
      </w:pPr>
    </w:p>
    <w:p w14:paraId="2319FA38">
      <w:pPr>
        <w:bidi w:val="0"/>
        <w:rPr>
          <w:rFonts w:hint="default"/>
          <w:lang w:val="en-US" w:eastAsia="zh-CN"/>
        </w:rPr>
      </w:pPr>
    </w:p>
    <w:p w14:paraId="4701D1B7">
      <w:pPr>
        <w:bidi w:val="0"/>
        <w:rPr>
          <w:rFonts w:hint="default"/>
          <w:lang w:val="en-US" w:eastAsia="zh-CN"/>
        </w:rPr>
      </w:pPr>
    </w:p>
    <w:p w14:paraId="7A5DB10C">
      <w:pPr>
        <w:bidi w:val="0"/>
        <w:rPr>
          <w:rFonts w:hint="default"/>
          <w:lang w:val="en-US" w:eastAsia="zh-CN"/>
        </w:rPr>
      </w:pPr>
    </w:p>
    <w:p w14:paraId="75D416ED">
      <w:pPr>
        <w:bidi w:val="0"/>
        <w:rPr>
          <w:rFonts w:hint="default"/>
          <w:lang w:val="en-US" w:eastAsia="zh-CN"/>
        </w:rPr>
      </w:pPr>
    </w:p>
    <w:p w14:paraId="494E58F2">
      <w:pPr>
        <w:bidi w:val="0"/>
        <w:rPr>
          <w:rFonts w:hint="default"/>
          <w:lang w:val="en-US" w:eastAsia="zh-CN"/>
        </w:rPr>
      </w:pPr>
    </w:p>
    <w:p w14:paraId="5C332265">
      <w:pPr>
        <w:bidi w:val="0"/>
        <w:rPr>
          <w:rFonts w:hint="default"/>
          <w:lang w:val="en-US" w:eastAsia="zh-CN"/>
        </w:rPr>
      </w:pPr>
    </w:p>
    <w:p w14:paraId="1B5EC220">
      <w:pPr>
        <w:bidi w:val="0"/>
        <w:rPr>
          <w:rFonts w:hint="default"/>
          <w:lang w:val="en-US" w:eastAsia="zh-CN"/>
        </w:rPr>
      </w:pPr>
    </w:p>
    <w:p w14:paraId="7161FB6E">
      <w:pPr>
        <w:bidi w:val="0"/>
        <w:rPr>
          <w:rFonts w:hint="default"/>
          <w:lang w:val="en-US" w:eastAsia="zh-CN"/>
        </w:rPr>
      </w:pPr>
    </w:p>
    <w:p w14:paraId="615EFBC6">
      <w:pPr>
        <w:bidi w:val="0"/>
        <w:rPr>
          <w:rFonts w:hint="default"/>
          <w:lang w:val="en-US" w:eastAsia="zh-CN"/>
        </w:rPr>
      </w:pPr>
    </w:p>
    <w:p w14:paraId="560B3652">
      <w:pPr>
        <w:bidi w:val="0"/>
        <w:rPr>
          <w:rFonts w:hint="default"/>
          <w:lang w:val="en-US" w:eastAsia="zh-CN"/>
        </w:rPr>
      </w:pPr>
    </w:p>
    <w:p w14:paraId="2420F3BD">
      <w:pPr>
        <w:bidi w:val="0"/>
        <w:rPr>
          <w:rFonts w:hint="default"/>
          <w:lang w:val="en-US" w:eastAsia="zh-CN"/>
        </w:rPr>
      </w:pPr>
    </w:p>
    <w:p w14:paraId="4BAE7651">
      <w:pPr>
        <w:bidi w:val="0"/>
        <w:jc w:val="left"/>
        <w:rPr>
          <w:rFonts w:hint="default" w:ascii="sans-serif" w:hAnsi="sans-serif" w:eastAsia="sans-serif" w:cs="sans-serif"/>
          <w:b/>
          <w:bCs/>
          <w:color w:val="1F1F1F"/>
          <w:kern w:val="0"/>
          <w:sz w:val="24"/>
          <w:szCs w:val="24"/>
          <w:bdr w:val="none" w:color="1F1F1F" w:sz="0" w:space="0"/>
          <w:lang w:val="en-US" w:eastAsia="zh-CN" w:bidi="ar"/>
        </w:rPr>
        <w:sectPr>
          <w:footerReference r:id="rId3" w:type="default"/>
          <w:pgSz w:w="11906" w:h="16838"/>
          <w:pgMar w:top="1440" w:right="1800" w:bottom="1440" w:left="1800" w:header="851" w:footer="992" w:gutter="0"/>
          <w:cols w:space="425" w:num="1"/>
          <w:docGrid w:type="lines" w:linePitch="312" w:charSpace="0"/>
        </w:sectPr>
      </w:pPr>
    </w:p>
    <w:tbl>
      <w:tblPr>
        <w:tblW w:w="9598"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45"/>
        <w:gridCol w:w="1503"/>
        <w:gridCol w:w="2235"/>
        <w:gridCol w:w="2815"/>
      </w:tblGrid>
      <w:tr w14:paraId="109EFBF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821" w:hRule="atLeast"/>
          <w:tblCellSpacing w:w="15" w:type="dxa"/>
          <w:jc w:val="center"/>
        </w:trPr>
        <w:tc>
          <w:tcPr>
            <w:tcW w:w="3000" w:type="dxa"/>
            <w:tcBorders>
              <w:top w:val="single" w:color="auto" w:sz="4" w:space="0"/>
              <w:left w:val="nil"/>
              <w:bottom w:val="nil"/>
              <w:right w:val="nil"/>
            </w:tcBorders>
            <w:shd w:val="clear"/>
            <w:noWrap w:val="0"/>
            <w:tcMar>
              <w:top w:w="160" w:type="dxa"/>
              <w:left w:w="-1" w:type="dxa"/>
              <w:bottom w:w="160" w:type="dxa"/>
              <w:right w:w="120" w:type="dxa"/>
            </w:tcMar>
            <w:vAlign w:val="center"/>
          </w:tcPr>
          <w:p w14:paraId="6CC2E1ED">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color w:val="1F1F1F"/>
                <w:kern w:val="0"/>
                <w:sz w:val="24"/>
                <w:szCs w:val="24"/>
                <w:bdr w:val="none" w:color="1F1F1F" w:sz="0" w:space="0"/>
                <w:lang w:val="en-US" w:eastAsia="zh-CN" w:bidi="ar"/>
              </w:rPr>
              <w:t>FSR 压力传感器</w:t>
            </w:r>
          </w:p>
        </w:tc>
        <w:tc>
          <w:tcPr>
            <w:tcW w:w="0" w:type="auto"/>
            <w:tcBorders>
              <w:top w:val="single" w:color="auto" w:sz="4" w:space="0"/>
              <w:left w:val="nil"/>
              <w:bottom w:val="nil"/>
              <w:right w:val="nil"/>
            </w:tcBorders>
            <w:shd w:val="clear"/>
            <w:noWrap w:val="0"/>
            <w:tcMar>
              <w:top w:w="160" w:type="dxa"/>
              <w:left w:w="120" w:type="dxa"/>
              <w:bottom w:w="160" w:type="dxa"/>
              <w:right w:w="120" w:type="dxa"/>
            </w:tcMar>
            <w:vAlign w:val="center"/>
          </w:tcPr>
          <w:p w14:paraId="0D154DFF">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引脚 A</w:t>
            </w:r>
          </w:p>
        </w:tc>
        <w:tc>
          <w:tcPr>
            <w:tcW w:w="0" w:type="auto"/>
            <w:tcBorders>
              <w:top w:val="single" w:color="auto" w:sz="4" w:space="0"/>
              <w:left w:val="nil"/>
              <w:bottom w:val="nil"/>
              <w:right w:val="nil"/>
            </w:tcBorders>
            <w:shd w:val="clear"/>
            <w:noWrap w:val="0"/>
            <w:tcMar>
              <w:top w:w="160" w:type="dxa"/>
              <w:left w:w="120" w:type="dxa"/>
              <w:bottom w:w="160" w:type="dxa"/>
              <w:right w:w="120" w:type="dxa"/>
            </w:tcMar>
            <w:vAlign w:val="center"/>
          </w:tcPr>
          <w:p w14:paraId="087EBA24">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 xml:space="preserve">Arduino </w:t>
            </w:r>
            <w:r>
              <w:rPr>
                <w:rFonts w:hint="default" w:ascii="sans-serif" w:hAnsi="sans-serif" w:eastAsia="sans-serif" w:cs="sans-serif"/>
                <w:b/>
                <w:bCs/>
                <w:color w:val="1F1F1F"/>
                <w:kern w:val="0"/>
                <w:sz w:val="24"/>
                <w:szCs w:val="24"/>
                <w:bdr w:val="none" w:color="1F1F1F" w:sz="0" w:space="0"/>
                <w:lang w:val="en-US" w:eastAsia="zh-CN" w:bidi="ar"/>
              </w:rPr>
              <w:t>5V</w:t>
            </w:r>
          </w:p>
        </w:tc>
        <w:tc>
          <w:tcPr>
            <w:tcW w:w="2770" w:type="dxa"/>
            <w:tcBorders>
              <w:top w:val="single" w:color="auto" w:sz="4" w:space="0"/>
              <w:left w:val="nil"/>
              <w:bottom w:val="nil"/>
              <w:right w:val="nil"/>
            </w:tcBorders>
            <w:shd w:val="clear"/>
            <w:noWrap w:val="0"/>
            <w:tcMar>
              <w:top w:w="160" w:type="dxa"/>
              <w:left w:w="120" w:type="dxa"/>
              <w:bottom w:w="160" w:type="dxa"/>
              <w:right w:w="-1" w:type="dxa"/>
            </w:tcMar>
            <w:vAlign w:val="center"/>
          </w:tcPr>
          <w:p w14:paraId="1A0D2602">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引入高电平基准源</w:t>
            </w:r>
          </w:p>
        </w:tc>
      </w:tr>
      <w:tr w14:paraId="6D6C1F5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CellSpacing w:w="15" w:type="dxa"/>
          <w:jc w:val="center"/>
        </w:trPr>
        <w:tc>
          <w:tcPr>
            <w:tcW w:w="3000" w:type="dxa"/>
            <w:tcBorders>
              <w:top w:val="nil"/>
              <w:left w:val="nil"/>
              <w:bottom w:val="nil"/>
              <w:right w:val="nil"/>
            </w:tcBorders>
            <w:shd w:val="clear"/>
            <w:noWrap w:val="0"/>
            <w:tcMar>
              <w:top w:w="160" w:type="dxa"/>
              <w:left w:w="-1" w:type="dxa"/>
              <w:bottom w:w="160" w:type="dxa"/>
              <w:right w:w="120" w:type="dxa"/>
            </w:tcMar>
            <w:vAlign w:val="center"/>
          </w:tcPr>
          <w:p w14:paraId="6ACC2936">
            <w:pPr>
              <w:snapToGrid w:val="0"/>
              <w:ind w:left="0" w:leftChars="0" w:right="0" w:rightChars="0" w:firstLine="0" w:firstLineChars="0"/>
              <w:jc w:val="center"/>
              <w:rPr>
                <w:rFonts w:hint="default" w:ascii="sans-serif" w:hAnsi="sans-serif" w:eastAsia="sans-serif" w:cs="sans-serif"/>
                <w:color w:val="1F1F1F"/>
                <w:sz w:val="24"/>
                <w:szCs w:val="24"/>
              </w:rPr>
            </w:pPr>
          </w:p>
        </w:tc>
        <w:tc>
          <w:tcPr>
            <w:tcW w:w="0" w:type="auto"/>
            <w:tcBorders>
              <w:top w:val="nil"/>
              <w:left w:val="nil"/>
              <w:bottom w:val="nil"/>
              <w:right w:val="nil"/>
            </w:tcBorders>
            <w:shd w:val="clear"/>
            <w:noWrap w:val="0"/>
            <w:tcMar>
              <w:top w:w="160" w:type="dxa"/>
              <w:left w:w="120" w:type="dxa"/>
              <w:bottom w:w="160" w:type="dxa"/>
              <w:right w:w="120" w:type="dxa"/>
            </w:tcMar>
            <w:vAlign w:val="center"/>
          </w:tcPr>
          <w:p w14:paraId="0EF436FC">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引脚 B</w:t>
            </w:r>
          </w:p>
        </w:tc>
        <w:tc>
          <w:tcPr>
            <w:tcW w:w="0" w:type="auto"/>
            <w:tcBorders>
              <w:top w:val="nil"/>
              <w:left w:val="nil"/>
              <w:bottom w:val="nil"/>
              <w:right w:val="nil"/>
            </w:tcBorders>
            <w:shd w:val="clear"/>
            <w:noWrap w:val="0"/>
            <w:tcMar>
              <w:top w:w="160" w:type="dxa"/>
              <w:left w:w="120" w:type="dxa"/>
              <w:bottom w:w="160" w:type="dxa"/>
              <w:right w:w="120" w:type="dxa"/>
            </w:tcMar>
            <w:vAlign w:val="center"/>
          </w:tcPr>
          <w:p w14:paraId="1605B43A">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 xml:space="preserve">面包板采样节点（接 </w:t>
            </w:r>
            <w:r>
              <w:rPr>
                <w:rFonts w:hint="default" w:ascii="sans-serif" w:hAnsi="sans-serif" w:eastAsia="sans-serif" w:cs="sans-serif"/>
                <w:b/>
                <w:bCs/>
                <w:color w:val="1F1F1F"/>
                <w:kern w:val="0"/>
                <w:sz w:val="24"/>
                <w:szCs w:val="24"/>
                <w:bdr w:val="none" w:color="1F1F1F" w:sz="0" w:space="0"/>
                <w:lang w:val="en-US" w:eastAsia="zh-CN" w:bidi="ar"/>
              </w:rPr>
              <w:t>A0</w:t>
            </w:r>
            <w:r>
              <w:rPr>
                <w:rFonts w:hint="default" w:ascii="sans-serif" w:hAnsi="sans-serif" w:eastAsia="sans-serif" w:cs="sans-serif"/>
                <w:color w:val="1F1F1F"/>
                <w:kern w:val="0"/>
                <w:sz w:val="24"/>
                <w:szCs w:val="24"/>
                <w:bdr w:val="none" w:color="1F1F1F" w:sz="0" w:space="0"/>
                <w:lang w:val="en-US" w:eastAsia="zh-CN" w:bidi="ar"/>
              </w:rPr>
              <w:t xml:space="preserve"> 与 10kΩ 电阻）</w:t>
            </w:r>
          </w:p>
        </w:tc>
        <w:tc>
          <w:tcPr>
            <w:tcW w:w="2770" w:type="dxa"/>
            <w:tcBorders>
              <w:top w:val="nil"/>
              <w:left w:val="nil"/>
              <w:bottom w:val="nil"/>
              <w:right w:val="nil"/>
            </w:tcBorders>
            <w:shd w:val="clear"/>
            <w:noWrap w:val="0"/>
            <w:tcMar>
              <w:top w:w="160" w:type="dxa"/>
              <w:left w:w="120" w:type="dxa"/>
              <w:bottom w:w="160" w:type="dxa"/>
              <w:right w:w="-1" w:type="dxa"/>
            </w:tcMar>
            <w:vAlign w:val="center"/>
          </w:tcPr>
          <w:p w14:paraId="0B91ACCB">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压力变动信号输出端</w:t>
            </w:r>
          </w:p>
        </w:tc>
      </w:tr>
      <w:tr w14:paraId="7EEA3F3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3000" w:type="dxa"/>
            <w:tcBorders>
              <w:top w:val="nil"/>
              <w:left w:val="nil"/>
              <w:bottom w:val="nil"/>
              <w:right w:val="nil"/>
            </w:tcBorders>
            <w:shd w:val="clear"/>
            <w:noWrap w:val="0"/>
            <w:tcMar>
              <w:top w:w="160" w:type="dxa"/>
              <w:left w:w="-1" w:type="dxa"/>
              <w:bottom w:w="160" w:type="dxa"/>
              <w:right w:w="120" w:type="dxa"/>
            </w:tcMar>
            <w:vAlign w:val="center"/>
          </w:tcPr>
          <w:p w14:paraId="13586704">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color w:val="1F1F1F"/>
                <w:kern w:val="0"/>
                <w:sz w:val="24"/>
                <w:szCs w:val="24"/>
                <w:bdr w:val="none" w:color="1F1F1F" w:sz="0" w:space="0"/>
                <w:lang w:val="en-US" w:eastAsia="zh-CN" w:bidi="ar"/>
              </w:rPr>
              <w:t>10kΩ 分压电阻</w:t>
            </w:r>
          </w:p>
        </w:tc>
        <w:tc>
          <w:tcPr>
            <w:tcW w:w="0" w:type="auto"/>
            <w:tcBorders>
              <w:top w:val="nil"/>
              <w:left w:val="nil"/>
              <w:bottom w:val="nil"/>
              <w:right w:val="nil"/>
            </w:tcBorders>
            <w:shd w:val="clear"/>
            <w:noWrap w:val="0"/>
            <w:tcMar>
              <w:top w:w="160" w:type="dxa"/>
              <w:left w:w="120" w:type="dxa"/>
              <w:bottom w:w="160" w:type="dxa"/>
              <w:right w:w="120" w:type="dxa"/>
            </w:tcMar>
            <w:vAlign w:val="center"/>
          </w:tcPr>
          <w:p w14:paraId="3A3A6AF3">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一端</w:t>
            </w:r>
          </w:p>
        </w:tc>
        <w:tc>
          <w:tcPr>
            <w:tcW w:w="0" w:type="auto"/>
            <w:tcBorders>
              <w:top w:val="nil"/>
              <w:left w:val="nil"/>
              <w:bottom w:val="nil"/>
              <w:right w:val="nil"/>
            </w:tcBorders>
            <w:shd w:val="clear"/>
            <w:noWrap w:val="0"/>
            <w:tcMar>
              <w:top w:w="160" w:type="dxa"/>
              <w:left w:w="120" w:type="dxa"/>
              <w:bottom w:w="160" w:type="dxa"/>
              <w:right w:w="120" w:type="dxa"/>
            </w:tcMar>
            <w:vAlign w:val="center"/>
          </w:tcPr>
          <w:p w14:paraId="516FDE59">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同 FSR 传感器引脚 B 所在的同一行</w:t>
            </w:r>
          </w:p>
        </w:tc>
        <w:tc>
          <w:tcPr>
            <w:tcW w:w="2770" w:type="dxa"/>
            <w:tcBorders>
              <w:top w:val="nil"/>
              <w:left w:val="nil"/>
              <w:bottom w:val="nil"/>
              <w:right w:val="nil"/>
            </w:tcBorders>
            <w:shd w:val="clear"/>
            <w:noWrap w:val="0"/>
            <w:tcMar>
              <w:top w:w="160" w:type="dxa"/>
              <w:left w:w="120" w:type="dxa"/>
              <w:bottom w:w="160" w:type="dxa"/>
              <w:right w:w="-1" w:type="dxa"/>
            </w:tcMar>
            <w:vAlign w:val="center"/>
          </w:tcPr>
          <w:p w14:paraId="4B90EF3C">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构建下拉分压回路</w:t>
            </w:r>
          </w:p>
        </w:tc>
      </w:tr>
      <w:tr w14:paraId="6757983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3000" w:type="dxa"/>
            <w:tcBorders>
              <w:top w:val="nil"/>
              <w:left w:val="nil"/>
              <w:bottom w:val="nil"/>
              <w:right w:val="nil"/>
            </w:tcBorders>
            <w:shd w:val="clear"/>
            <w:noWrap w:val="0"/>
            <w:tcMar>
              <w:top w:w="160" w:type="dxa"/>
              <w:left w:w="-1" w:type="dxa"/>
              <w:bottom w:w="160" w:type="dxa"/>
              <w:right w:w="120" w:type="dxa"/>
            </w:tcMar>
            <w:vAlign w:val="center"/>
          </w:tcPr>
          <w:p w14:paraId="6B11652A">
            <w:pPr>
              <w:snapToGrid w:val="0"/>
              <w:ind w:left="0" w:leftChars="0" w:right="0" w:rightChars="0" w:firstLine="0" w:firstLineChars="0"/>
              <w:jc w:val="center"/>
              <w:rPr>
                <w:rFonts w:hint="default" w:ascii="sans-serif" w:hAnsi="sans-serif" w:eastAsia="sans-serif" w:cs="sans-serif"/>
                <w:color w:val="1F1F1F"/>
                <w:sz w:val="24"/>
                <w:szCs w:val="24"/>
              </w:rPr>
            </w:pPr>
          </w:p>
        </w:tc>
        <w:tc>
          <w:tcPr>
            <w:tcW w:w="0" w:type="auto"/>
            <w:tcBorders>
              <w:top w:val="nil"/>
              <w:left w:val="nil"/>
              <w:bottom w:val="nil"/>
              <w:right w:val="nil"/>
            </w:tcBorders>
            <w:shd w:val="clear"/>
            <w:noWrap w:val="0"/>
            <w:tcMar>
              <w:top w:w="160" w:type="dxa"/>
              <w:left w:w="120" w:type="dxa"/>
              <w:bottom w:w="160" w:type="dxa"/>
              <w:right w:w="120" w:type="dxa"/>
            </w:tcMar>
            <w:vAlign w:val="center"/>
          </w:tcPr>
          <w:p w14:paraId="7BA304A3">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另一端</w:t>
            </w:r>
          </w:p>
        </w:tc>
        <w:tc>
          <w:tcPr>
            <w:tcW w:w="0" w:type="auto"/>
            <w:tcBorders>
              <w:top w:val="nil"/>
              <w:left w:val="nil"/>
              <w:bottom w:val="nil"/>
              <w:right w:val="nil"/>
            </w:tcBorders>
            <w:shd w:val="clear"/>
            <w:noWrap w:val="0"/>
            <w:tcMar>
              <w:top w:w="160" w:type="dxa"/>
              <w:left w:w="120" w:type="dxa"/>
              <w:bottom w:w="160" w:type="dxa"/>
              <w:right w:w="120" w:type="dxa"/>
            </w:tcMar>
            <w:vAlign w:val="center"/>
          </w:tcPr>
          <w:p w14:paraId="607CC3F4">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 xml:space="preserve">面包板 </w:t>
            </w:r>
            <w:r>
              <w:rPr>
                <w:rFonts w:hint="default" w:ascii="sans-serif" w:hAnsi="sans-serif" w:eastAsia="sans-serif" w:cs="sans-serif"/>
                <w:b/>
                <w:bCs/>
                <w:color w:val="1F1F1F"/>
                <w:kern w:val="0"/>
                <w:sz w:val="24"/>
                <w:szCs w:val="24"/>
                <w:bdr w:val="none" w:color="1F1F1F" w:sz="0" w:space="0"/>
                <w:lang w:val="en-US" w:eastAsia="zh-CN" w:bidi="ar"/>
              </w:rPr>
              <w:t>GND (蓝色总线条)</w:t>
            </w:r>
          </w:p>
        </w:tc>
        <w:tc>
          <w:tcPr>
            <w:tcW w:w="2770" w:type="dxa"/>
            <w:tcBorders>
              <w:top w:val="nil"/>
              <w:left w:val="nil"/>
              <w:bottom w:val="nil"/>
              <w:right w:val="nil"/>
            </w:tcBorders>
            <w:shd w:val="clear"/>
            <w:noWrap w:val="0"/>
            <w:tcMar>
              <w:top w:w="160" w:type="dxa"/>
              <w:left w:w="120" w:type="dxa"/>
              <w:bottom w:w="160" w:type="dxa"/>
              <w:right w:w="-1" w:type="dxa"/>
            </w:tcMar>
            <w:vAlign w:val="center"/>
          </w:tcPr>
          <w:p w14:paraId="2842E30B">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回流至电源负极</w:t>
            </w:r>
          </w:p>
        </w:tc>
      </w:tr>
      <w:tr w14:paraId="13A38DF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3000" w:type="dxa"/>
            <w:tcBorders>
              <w:top w:val="nil"/>
              <w:left w:val="nil"/>
              <w:bottom w:val="nil"/>
              <w:right w:val="nil"/>
            </w:tcBorders>
            <w:shd w:val="clear"/>
            <w:noWrap w:val="0"/>
            <w:tcMar>
              <w:top w:w="160" w:type="dxa"/>
              <w:left w:w="-1" w:type="dxa"/>
              <w:bottom w:w="160" w:type="dxa"/>
              <w:right w:w="120" w:type="dxa"/>
            </w:tcMar>
            <w:vAlign w:val="center"/>
          </w:tcPr>
          <w:p w14:paraId="3BBA0180">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color w:val="1F1F1F"/>
                <w:kern w:val="0"/>
                <w:sz w:val="24"/>
                <w:szCs w:val="24"/>
                <w:bdr w:val="none" w:color="1F1F1F" w:sz="0" w:space="0"/>
                <w:lang w:val="en-US" w:eastAsia="zh-CN" w:bidi="ar"/>
              </w:rPr>
              <w:t>绿色 LED 灯</w:t>
            </w:r>
          </w:p>
        </w:tc>
        <w:tc>
          <w:tcPr>
            <w:tcW w:w="0" w:type="auto"/>
            <w:tcBorders>
              <w:top w:val="nil"/>
              <w:left w:val="nil"/>
              <w:bottom w:val="nil"/>
              <w:right w:val="nil"/>
            </w:tcBorders>
            <w:shd w:val="clear"/>
            <w:noWrap w:val="0"/>
            <w:tcMar>
              <w:top w:w="160" w:type="dxa"/>
              <w:left w:w="120" w:type="dxa"/>
              <w:bottom w:w="160" w:type="dxa"/>
              <w:right w:w="120" w:type="dxa"/>
            </w:tcMar>
            <w:vAlign w:val="center"/>
          </w:tcPr>
          <w:p w14:paraId="677C790D">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长脚 (正极)</w:t>
            </w:r>
          </w:p>
        </w:tc>
        <w:tc>
          <w:tcPr>
            <w:tcW w:w="0" w:type="auto"/>
            <w:tcBorders>
              <w:top w:val="nil"/>
              <w:left w:val="nil"/>
              <w:bottom w:val="nil"/>
              <w:right w:val="nil"/>
            </w:tcBorders>
            <w:shd w:val="clear"/>
            <w:noWrap w:val="0"/>
            <w:tcMar>
              <w:top w:w="160" w:type="dxa"/>
              <w:left w:w="120" w:type="dxa"/>
              <w:bottom w:w="160" w:type="dxa"/>
              <w:right w:w="120" w:type="dxa"/>
            </w:tcMar>
            <w:vAlign w:val="center"/>
          </w:tcPr>
          <w:p w14:paraId="33A2A34C">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 xml:space="preserve">接 220Ω 限流电阻（电阻另一端接 </w:t>
            </w:r>
            <w:r>
              <w:rPr>
                <w:rFonts w:hint="default" w:ascii="sans-serif" w:hAnsi="sans-serif" w:eastAsia="sans-serif" w:cs="sans-serif"/>
                <w:b/>
                <w:bCs/>
                <w:color w:val="1F1F1F"/>
                <w:kern w:val="0"/>
                <w:sz w:val="24"/>
                <w:szCs w:val="24"/>
                <w:bdr w:val="none" w:color="1F1F1F" w:sz="0" w:space="0"/>
                <w:lang w:val="en-US" w:eastAsia="zh-CN" w:bidi="ar"/>
              </w:rPr>
              <w:t>D3</w:t>
            </w:r>
            <w:r>
              <w:rPr>
                <w:rFonts w:hint="default" w:ascii="sans-serif" w:hAnsi="sans-serif" w:eastAsia="sans-serif" w:cs="sans-serif"/>
                <w:color w:val="1F1F1F"/>
                <w:kern w:val="0"/>
                <w:sz w:val="24"/>
                <w:szCs w:val="24"/>
                <w:bdr w:val="none" w:color="1F1F1F" w:sz="0" w:space="0"/>
                <w:lang w:val="en-US" w:eastAsia="zh-CN" w:bidi="ar"/>
              </w:rPr>
              <w:t>）</w:t>
            </w:r>
          </w:p>
        </w:tc>
        <w:tc>
          <w:tcPr>
            <w:tcW w:w="2770" w:type="dxa"/>
            <w:tcBorders>
              <w:top w:val="nil"/>
              <w:left w:val="nil"/>
              <w:bottom w:val="nil"/>
              <w:right w:val="nil"/>
            </w:tcBorders>
            <w:shd w:val="clear"/>
            <w:noWrap w:val="0"/>
            <w:tcMar>
              <w:top w:w="160" w:type="dxa"/>
              <w:left w:w="120" w:type="dxa"/>
              <w:bottom w:w="160" w:type="dxa"/>
              <w:right w:w="-1" w:type="dxa"/>
            </w:tcMar>
            <w:vAlign w:val="center"/>
          </w:tcPr>
          <w:p w14:paraId="697E5996">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接收常态点亮控制信号</w:t>
            </w:r>
          </w:p>
        </w:tc>
      </w:tr>
      <w:tr w14:paraId="5A88B6D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CellSpacing w:w="15" w:type="dxa"/>
          <w:jc w:val="center"/>
        </w:trPr>
        <w:tc>
          <w:tcPr>
            <w:tcW w:w="3000" w:type="dxa"/>
            <w:tcBorders>
              <w:top w:val="nil"/>
              <w:left w:val="nil"/>
              <w:bottom w:val="nil"/>
              <w:right w:val="nil"/>
            </w:tcBorders>
            <w:shd w:val="clear"/>
            <w:noWrap w:val="0"/>
            <w:tcMar>
              <w:top w:w="160" w:type="dxa"/>
              <w:left w:w="-1" w:type="dxa"/>
              <w:bottom w:w="160" w:type="dxa"/>
              <w:right w:w="120" w:type="dxa"/>
            </w:tcMar>
            <w:vAlign w:val="center"/>
          </w:tcPr>
          <w:p w14:paraId="3BD266E0">
            <w:pPr>
              <w:snapToGrid w:val="0"/>
              <w:ind w:left="0" w:leftChars="0" w:right="0" w:rightChars="0" w:firstLine="0" w:firstLineChars="0"/>
              <w:jc w:val="center"/>
              <w:rPr>
                <w:rFonts w:hint="default" w:ascii="sans-serif" w:hAnsi="sans-serif" w:eastAsia="sans-serif" w:cs="sans-serif"/>
                <w:color w:val="1F1F1F"/>
                <w:sz w:val="24"/>
                <w:szCs w:val="24"/>
              </w:rPr>
            </w:pPr>
          </w:p>
        </w:tc>
        <w:tc>
          <w:tcPr>
            <w:tcW w:w="0" w:type="auto"/>
            <w:tcBorders>
              <w:top w:val="nil"/>
              <w:left w:val="nil"/>
              <w:bottom w:val="nil"/>
              <w:right w:val="nil"/>
            </w:tcBorders>
            <w:shd w:val="clear"/>
            <w:noWrap w:val="0"/>
            <w:tcMar>
              <w:top w:w="160" w:type="dxa"/>
              <w:left w:w="120" w:type="dxa"/>
              <w:bottom w:w="160" w:type="dxa"/>
              <w:right w:w="120" w:type="dxa"/>
            </w:tcMar>
            <w:vAlign w:val="center"/>
          </w:tcPr>
          <w:p w14:paraId="677F4832">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短脚 (负极)</w:t>
            </w:r>
          </w:p>
        </w:tc>
        <w:tc>
          <w:tcPr>
            <w:tcW w:w="0" w:type="auto"/>
            <w:tcBorders>
              <w:top w:val="nil"/>
              <w:left w:val="nil"/>
              <w:bottom w:val="nil"/>
              <w:right w:val="nil"/>
            </w:tcBorders>
            <w:shd w:val="clear"/>
            <w:noWrap w:val="0"/>
            <w:tcMar>
              <w:top w:w="160" w:type="dxa"/>
              <w:left w:w="120" w:type="dxa"/>
              <w:bottom w:w="160" w:type="dxa"/>
              <w:right w:w="120" w:type="dxa"/>
            </w:tcMar>
            <w:vAlign w:val="center"/>
          </w:tcPr>
          <w:p w14:paraId="51F51E84">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 xml:space="preserve">面包板 </w:t>
            </w:r>
            <w:r>
              <w:rPr>
                <w:rFonts w:hint="default" w:ascii="sans-serif" w:hAnsi="sans-serif" w:eastAsia="sans-serif" w:cs="sans-serif"/>
                <w:b/>
                <w:bCs/>
                <w:color w:val="1F1F1F"/>
                <w:kern w:val="0"/>
                <w:sz w:val="24"/>
                <w:szCs w:val="24"/>
                <w:bdr w:val="none" w:color="1F1F1F" w:sz="0" w:space="0"/>
                <w:lang w:val="en-US" w:eastAsia="zh-CN" w:bidi="ar"/>
              </w:rPr>
              <w:t>GND (蓝色总线条)</w:t>
            </w:r>
          </w:p>
        </w:tc>
        <w:tc>
          <w:tcPr>
            <w:tcW w:w="2770" w:type="dxa"/>
            <w:tcBorders>
              <w:top w:val="nil"/>
              <w:left w:val="nil"/>
              <w:bottom w:val="nil"/>
              <w:right w:val="nil"/>
            </w:tcBorders>
            <w:shd w:val="clear"/>
            <w:noWrap w:val="0"/>
            <w:tcMar>
              <w:top w:w="160" w:type="dxa"/>
              <w:left w:w="120" w:type="dxa"/>
              <w:bottom w:w="160" w:type="dxa"/>
              <w:right w:w="-1" w:type="dxa"/>
            </w:tcMar>
            <w:vAlign w:val="center"/>
          </w:tcPr>
          <w:p w14:paraId="40E8D170">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流回负极形成回路</w:t>
            </w:r>
          </w:p>
        </w:tc>
      </w:tr>
      <w:tr w14:paraId="5F270B1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3000" w:type="dxa"/>
            <w:tcBorders>
              <w:top w:val="nil"/>
              <w:left w:val="nil"/>
              <w:bottom w:val="nil"/>
              <w:right w:val="nil"/>
            </w:tcBorders>
            <w:shd w:val="clear"/>
            <w:noWrap w:val="0"/>
            <w:tcMar>
              <w:top w:w="160" w:type="dxa"/>
              <w:left w:w="-1" w:type="dxa"/>
              <w:bottom w:w="160" w:type="dxa"/>
              <w:right w:w="120" w:type="dxa"/>
            </w:tcMar>
            <w:vAlign w:val="center"/>
          </w:tcPr>
          <w:p w14:paraId="543D0D0B">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color w:val="1F1F1F"/>
                <w:kern w:val="0"/>
                <w:sz w:val="24"/>
                <w:szCs w:val="24"/>
                <w:bdr w:val="none" w:color="1F1F1F" w:sz="0" w:space="0"/>
                <w:lang w:val="en-US" w:eastAsia="zh-CN" w:bidi="ar"/>
              </w:rPr>
              <w:t>红色 LED 灯</w:t>
            </w:r>
          </w:p>
        </w:tc>
        <w:tc>
          <w:tcPr>
            <w:tcW w:w="0" w:type="auto"/>
            <w:tcBorders>
              <w:top w:val="nil"/>
              <w:left w:val="nil"/>
              <w:bottom w:val="nil"/>
              <w:right w:val="nil"/>
            </w:tcBorders>
            <w:shd w:val="clear"/>
            <w:noWrap w:val="0"/>
            <w:tcMar>
              <w:top w:w="160" w:type="dxa"/>
              <w:left w:w="120" w:type="dxa"/>
              <w:bottom w:w="160" w:type="dxa"/>
              <w:right w:w="120" w:type="dxa"/>
            </w:tcMar>
            <w:vAlign w:val="center"/>
          </w:tcPr>
          <w:p w14:paraId="10C2CF6B">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长脚 (正极)</w:t>
            </w:r>
          </w:p>
        </w:tc>
        <w:tc>
          <w:tcPr>
            <w:tcW w:w="0" w:type="auto"/>
            <w:tcBorders>
              <w:top w:val="nil"/>
              <w:left w:val="nil"/>
              <w:bottom w:val="nil"/>
              <w:right w:val="nil"/>
            </w:tcBorders>
            <w:shd w:val="clear"/>
            <w:noWrap w:val="0"/>
            <w:tcMar>
              <w:top w:w="160" w:type="dxa"/>
              <w:left w:w="120" w:type="dxa"/>
              <w:bottom w:w="160" w:type="dxa"/>
              <w:right w:w="120" w:type="dxa"/>
            </w:tcMar>
            <w:vAlign w:val="center"/>
          </w:tcPr>
          <w:p w14:paraId="04453C2C">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 xml:space="preserve">接 220Ω 限流电阻（电阻另一端接 </w:t>
            </w:r>
            <w:r>
              <w:rPr>
                <w:rFonts w:hint="default" w:ascii="sans-serif" w:hAnsi="sans-serif" w:eastAsia="sans-serif" w:cs="sans-serif"/>
                <w:b/>
                <w:bCs/>
                <w:color w:val="1F1F1F"/>
                <w:kern w:val="0"/>
                <w:sz w:val="24"/>
                <w:szCs w:val="24"/>
                <w:bdr w:val="none" w:color="1F1F1F" w:sz="0" w:space="0"/>
                <w:lang w:val="en-US" w:eastAsia="zh-CN" w:bidi="ar"/>
              </w:rPr>
              <w:t>D4</w:t>
            </w:r>
            <w:r>
              <w:rPr>
                <w:rFonts w:hint="default" w:ascii="sans-serif" w:hAnsi="sans-serif" w:eastAsia="sans-serif" w:cs="sans-serif"/>
                <w:color w:val="1F1F1F"/>
                <w:kern w:val="0"/>
                <w:sz w:val="24"/>
                <w:szCs w:val="24"/>
                <w:bdr w:val="none" w:color="1F1F1F" w:sz="0" w:space="0"/>
                <w:lang w:val="en-US" w:eastAsia="zh-CN" w:bidi="ar"/>
              </w:rPr>
              <w:t>）</w:t>
            </w:r>
          </w:p>
        </w:tc>
        <w:tc>
          <w:tcPr>
            <w:tcW w:w="2770" w:type="dxa"/>
            <w:tcBorders>
              <w:top w:val="nil"/>
              <w:left w:val="nil"/>
              <w:bottom w:val="nil"/>
              <w:right w:val="nil"/>
            </w:tcBorders>
            <w:shd w:val="clear"/>
            <w:noWrap w:val="0"/>
            <w:tcMar>
              <w:top w:w="160" w:type="dxa"/>
              <w:left w:w="120" w:type="dxa"/>
              <w:bottom w:w="160" w:type="dxa"/>
              <w:right w:w="-1" w:type="dxa"/>
            </w:tcMar>
            <w:vAlign w:val="center"/>
          </w:tcPr>
          <w:p w14:paraId="63C708B8">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接收预警闪烁控制信号</w:t>
            </w:r>
          </w:p>
        </w:tc>
      </w:tr>
      <w:tr w14:paraId="7F737C4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3000" w:type="dxa"/>
            <w:tcBorders>
              <w:top w:val="nil"/>
              <w:left w:val="nil"/>
              <w:bottom w:val="nil"/>
              <w:right w:val="nil"/>
            </w:tcBorders>
            <w:shd w:val="clear"/>
            <w:noWrap w:val="0"/>
            <w:tcMar>
              <w:top w:w="160" w:type="dxa"/>
              <w:left w:w="-1" w:type="dxa"/>
              <w:bottom w:w="160" w:type="dxa"/>
              <w:right w:w="120" w:type="dxa"/>
            </w:tcMar>
            <w:vAlign w:val="center"/>
          </w:tcPr>
          <w:p w14:paraId="58D7C625">
            <w:pPr>
              <w:snapToGrid w:val="0"/>
              <w:ind w:left="0" w:leftChars="0" w:right="0" w:rightChars="0" w:firstLine="0" w:firstLineChars="0"/>
              <w:jc w:val="center"/>
              <w:rPr>
                <w:rFonts w:hint="default" w:ascii="sans-serif" w:hAnsi="sans-serif" w:eastAsia="sans-serif" w:cs="sans-serif"/>
                <w:color w:val="1F1F1F"/>
                <w:sz w:val="24"/>
                <w:szCs w:val="24"/>
              </w:rPr>
            </w:pPr>
          </w:p>
        </w:tc>
        <w:tc>
          <w:tcPr>
            <w:tcW w:w="0" w:type="auto"/>
            <w:tcBorders>
              <w:top w:val="nil"/>
              <w:left w:val="nil"/>
              <w:bottom w:val="nil"/>
              <w:right w:val="nil"/>
            </w:tcBorders>
            <w:shd w:val="clear"/>
            <w:noWrap w:val="0"/>
            <w:tcMar>
              <w:top w:w="160" w:type="dxa"/>
              <w:left w:w="120" w:type="dxa"/>
              <w:bottom w:w="160" w:type="dxa"/>
              <w:right w:w="120" w:type="dxa"/>
            </w:tcMar>
            <w:vAlign w:val="center"/>
          </w:tcPr>
          <w:p w14:paraId="30EC2095">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短脚 (负极)</w:t>
            </w:r>
          </w:p>
        </w:tc>
        <w:tc>
          <w:tcPr>
            <w:tcW w:w="0" w:type="auto"/>
            <w:tcBorders>
              <w:top w:val="nil"/>
              <w:left w:val="nil"/>
              <w:bottom w:val="nil"/>
              <w:right w:val="nil"/>
            </w:tcBorders>
            <w:shd w:val="clear"/>
            <w:noWrap w:val="0"/>
            <w:tcMar>
              <w:top w:w="160" w:type="dxa"/>
              <w:left w:w="120" w:type="dxa"/>
              <w:bottom w:w="160" w:type="dxa"/>
              <w:right w:w="120" w:type="dxa"/>
            </w:tcMar>
            <w:vAlign w:val="center"/>
          </w:tcPr>
          <w:p w14:paraId="493A5B97">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 xml:space="preserve">面包板 </w:t>
            </w:r>
            <w:r>
              <w:rPr>
                <w:rFonts w:hint="default" w:ascii="sans-serif" w:hAnsi="sans-serif" w:eastAsia="sans-serif" w:cs="sans-serif"/>
                <w:b/>
                <w:bCs/>
                <w:color w:val="1F1F1F"/>
                <w:kern w:val="0"/>
                <w:sz w:val="24"/>
                <w:szCs w:val="24"/>
                <w:bdr w:val="none" w:color="1F1F1F" w:sz="0" w:space="0"/>
                <w:lang w:val="en-US" w:eastAsia="zh-CN" w:bidi="ar"/>
              </w:rPr>
              <w:t>GND (蓝色总线条)</w:t>
            </w:r>
          </w:p>
        </w:tc>
        <w:tc>
          <w:tcPr>
            <w:tcW w:w="2770" w:type="dxa"/>
            <w:tcBorders>
              <w:top w:val="nil"/>
              <w:left w:val="nil"/>
              <w:bottom w:val="nil"/>
              <w:right w:val="nil"/>
            </w:tcBorders>
            <w:shd w:val="clear"/>
            <w:noWrap w:val="0"/>
            <w:tcMar>
              <w:top w:w="160" w:type="dxa"/>
              <w:left w:w="120" w:type="dxa"/>
              <w:bottom w:w="160" w:type="dxa"/>
              <w:right w:w="-1" w:type="dxa"/>
            </w:tcMar>
            <w:vAlign w:val="center"/>
          </w:tcPr>
          <w:p w14:paraId="71D9B4F3">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流回负极形成回路</w:t>
            </w:r>
          </w:p>
        </w:tc>
      </w:tr>
      <w:tr w14:paraId="4560E16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3000" w:type="dxa"/>
            <w:tcBorders>
              <w:top w:val="nil"/>
              <w:left w:val="nil"/>
              <w:bottom w:val="single" w:color="auto" w:sz="12" w:space="0"/>
              <w:right w:val="nil"/>
            </w:tcBorders>
            <w:shd w:val="clear"/>
            <w:noWrap w:val="0"/>
            <w:tcMar>
              <w:top w:w="160" w:type="dxa"/>
              <w:left w:w="-1" w:type="dxa"/>
              <w:bottom w:w="160" w:type="dxa"/>
              <w:right w:w="120" w:type="dxa"/>
            </w:tcMar>
            <w:vAlign w:val="center"/>
          </w:tcPr>
          <w:p w14:paraId="23DE8516">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color w:val="1F1F1F"/>
                <w:kern w:val="0"/>
                <w:sz w:val="24"/>
                <w:szCs w:val="24"/>
                <w:bdr w:val="none" w:color="1F1F1F" w:sz="0" w:space="0"/>
                <w:lang w:val="en-US" w:eastAsia="zh-CN" w:bidi="ar"/>
              </w:rPr>
              <w:t>限流电阻 (220Ω) x2</w:t>
            </w:r>
          </w:p>
        </w:tc>
        <w:tc>
          <w:tcPr>
            <w:tcW w:w="1473" w:type="dxa"/>
            <w:tcBorders>
              <w:top w:val="nil"/>
              <w:left w:val="nil"/>
              <w:bottom w:val="single" w:color="auto" w:sz="12" w:space="0"/>
              <w:right w:val="nil"/>
            </w:tcBorders>
            <w:shd w:val="clear"/>
            <w:noWrap w:val="0"/>
            <w:tcMar>
              <w:top w:w="160" w:type="dxa"/>
              <w:left w:w="120" w:type="dxa"/>
              <w:bottom w:w="160" w:type="dxa"/>
              <w:right w:w="120" w:type="dxa"/>
            </w:tcMar>
            <w:vAlign w:val="center"/>
          </w:tcPr>
          <w:p w14:paraId="16CEDF76">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无方向</w:t>
            </w:r>
          </w:p>
        </w:tc>
        <w:tc>
          <w:tcPr>
            <w:tcW w:w="2205" w:type="dxa"/>
            <w:tcBorders>
              <w:top w:val="nil"/>
              <w:left w:val="nil"/>
              <w:bottom w:val="single" w:color="auto" w:sz="12" w:space="0"/>
              <w:right w:val="nil"/>
            </w:tcBorders>
            <w:shd w:val="clear"/>
            <w:noWrap w:val="0"/>
            <w:tcMar>
              <w:top w:w="160" w:type="dxa"/>
              <w:left w:w="120" w:type="dxa"/>
              <w:bottom w:w="160" w:type="dxa"/>
              <w:right w:w="120" w:type="dxa"/>
            </w:tcMar>
            <w:vAlign w:val="center"/>
          </w:tcPr>
          <w:p w14:paraId="391D9CF4">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 xml:space="preserve">串联在 </w:t>
            </w:r>
            <w:r>
              <w:rPr>
                <w:rFonts w:hint="default" w:ascii="sans-serif" w:hAnsi="sans-serif" w:eastAsia="sans-serif" w:cs="sans-serif"/>
                <w:b/>
                <w:bCs/>
                <w:color w:val="1F1F1F"/>
                <w:kern w:val="0"/>
                <w:sz w:val="24"/>
                <w:szCs w:val="24"/>
                <w:bdr w:val="none" w:color="1F1F1F" w:sz="0" w:space="0"/>
                <w:lang w:val="en-US" w:eastAsia="zh-CN" w:bidi="ar"/>
              </w:rPr>
              <w:t>D3/D4</w:t>
            </w:r>
            <w:r>
              <w:rPr>
                <w:rFonts w:hint="default" w:ascii="sans-serif" w:hAnsi="sans-serif" w:eastAsia="sans-serif" w:cs="sans-serif"/>
                <w:color w:val="1F1F1F"/>
                <w:kern w:val="0"/>
                <w:sz w:val="24"/>
                <w:szCs w:val="24"/>
                <w:bdr w:val="none" w:color="1F1F1F" w:sz="0" w:space="0"/>
                <w:lang w:val="en-US" w:eastAsia="zh-CN" w:bidi="ar"/>
              </w:rPr>
              <w:t xml:space="preserve"> 与 LED 长脚之间</w:t>
            </w:r>
          </w:p>
        </w:tc>
        <w:tc>
          <w:tcPr>
            <w:tcW w:w="2770" w:type="dxa"/>
            <w:tcBorders>
              <w:top w:val="nil"/>
              <w:left w:val="nil"/>
              <w:bottom w:val="single" w:color="auto" w:sz="12" w:space="0"/>
              <w:right w:val="nil"/>
            </w:tcBorders>
            <w:shd w:val="clear"/>
            <w:noWrap w:val="0"/>
            <w:tcMar>
              <w:top w:w="160" w:type="dxa"/>
              <w:left w:w="120" w:type="dxa"/>
              <w:bottom w:w="160" w:type="dxa"/>
              <w:right w:w="-1" w:type="dxa"/>
            </w:tcMar>
            <w:vAlign w:val="center"/>
          </w:tcPr>
          <w:p w14:paraId="4DDC734A">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限制电流，保护 LED 不被烧毁</w:t>
            </w:r>
          </w:p>
        </w:tc>
      </w:tr>
    </w:tbl>
    <w:p w14:paraId="05E790FF">
      <w:pPr>
        <w:pStyle w:val="4"/>
      </w:pPr>
      <w:r>
        <w:t>1. 基础供电层搭建</w:t>
      </w:r>
    </w:p>
    <w:p w14:paraId="748986B7">
      <w:pPr>
        <w:numPr>
          <w:ilvl w:val="0"/>
          <w:numId w:val="1"/>
        </w:numPr>
        <w:spacing w:before="0"/>
        <w:ind w:left="720" w:hanging="360"/>
      </w:pPr>
      <w:r>
        <w:t>地线引入： 取一根黑色杜邦线，一头插在 Arduino 的 GND 孔，另一头插在面包板侧边标有蓝色减号（-）的垂直总线轨道里（后文统称“蓝色总线条”）。所有需要接地的元件都可以直接插进这条蓝色轨道。</w:t>
      </w:r>
    </w:p>
    <w:p w14:paraId="64597B7C">
      <w:pPr>
        <w:numPr>
          <w:ilvl w:val="0"/>
          <w:numId w:val="1"/>
        </w:numPr>
        <w:spacing w:after="0"/>
        <w:ind w:left="720" w:hanging="360"/>
      </w:pPr>
      <w:r>
        <w:t>电源引入： 取一根红色杜邦线，一头插在 Arduino 的 5V 孔，另一头插在面包板的一个独立空行（推荐：第 20 行 a 孔）。</w:t>
      </w:r>
    </w:p>
    <w:p w14:paraId="7388C81E">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02D891F">
      <w:pPr>
        <w:numPr>
          <w:ilvl w:val="0"/>
          <w:numId w:val="3"/>
        </w:numPr>
        <w:spacing w:before="0" w:after="0"/>
        <w:ind w:left="720" w:hanging="360"/>
      </w:pPr>
      <w:r>
        <w:t>地线引入： 取一根黑色杜邦线，一头插在 Arduino 的 GND 孔，另一头插在面包板侧边标有蓝色减号（-）的垂直总线轨道里（后文统称“蓝色总线条”）。所有需要接地的元件都可以直接插进这条蓝色轨道。</w:t>
      </w:r>
    </w:p>
    <w:p w14:paraId="1912B23C">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CCF3497">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82B762C">
      <w:pPr>
        <w:numPr>
          <w:ilvl w:val="0"/>
          <w:numId w:val="4"/>
        </w:numPr>
        <w:spacing w:before="0" w:after="0"/>
        <w:ind w:left="720" w:hanging="360"/>
      </w:pPr>
      <w:r>
        <w:t>电源引入： 取一根红色杜邦线，一头插在 Arduino 的 5V 孔，另一头插在面包板的一个独立空行（推荐：第 20 行 a 孔）。</w:t>
      </w:r>
    </w:p>
    <w:p w14:paraId="5334EDF9">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9539501">
      <w:pPr>
        <w:pStyle w:val="4"/>
      </w:pPr>
      <w:r>
        <w:t>2. 传感器采集模块（精密分压电路）</w:t>
      </w:r>
    </w:p>
    <w:p w14:paraId="508DB178">
      <w:r>
        <w:t>为了把柔性传感器的电阻变化转换为 Arduino 能读懂的电压变化，必须建立分压回路：</w:t>
      </w:r>
    </w:p>
    <w:p w14:paraId="54FC5F9F">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611EBE7">
      <w:pPr>
        <w:numPr>
          <w:ilvl w:val="0"/>
          <w:numId w:val="6"/>
        </w:numPr>
        <w:spacing w:before="0" w:after="0"/>
        <w:ind w:left="720" w:hanging="360"/>
      </w:pPr>
      <w:r>
        <w:t>传感器接入： 将 FSR 压力传感器的两个引脚，分别插进面包板的 第 20 行 b 孔 和 第 21 行 b 孔。（此时 5V 电源已成功输入给传感器引脚 A）。</w:t>
      </w:r>
    </w:p>
    <w:p w14:paraId="69EF4897">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7BBCCA3">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9D4282E">
      <w:pPr>
        <w:numPr>
          <w:ilvl w:val="0"/>
          <w:numId w:val="7"/>
        </w:numPr>
        <w:spacing w:before="0" w:after="0"/>
        <w:ind w:left="720" w:hanging="360"/>
      </w:pPr>
      <w:r>
        <w:t>信号引出： 取一根杜邦线，一头插在面包板的 第 21 行 c 孔，另一头直接插进 Arduino 的模拟输入孔 A0。</w:t>
      </w:r>
    </w:p>
    <w:p w14:paraId="2AE7A9BF">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77490CF">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59C0E07">
      <w:pPr>
        <w:numPr>
          <w:ilvl w:val="0"/>
          <w:numId w:val="8"/>
        </w:numPr>
        <w:spacing w:before="0" w:after="0"/>
        <w:ind w:left="720" w:hanging="360"/>
      </w:pPr>
      <w:r>
        <w:t>下拉电阻： 取一个 10kΩ 的大电阻，一头插在面包板的 第 21 行 d 孔，另一头直接插进面包板侧边的 GND (蓝色总线条)。</w:t>
      </w:r>
    </w:p>
    <w:p w14:paraId="529DBA1A">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1837780">
      <w:pPr>
        <w:pStyle w:val="4"/>
      </w:pPr>
      <w:r>
        <w:t>3. 分级指示灯模块（双路输出回路）</w:t>
      </w:r>
    </w:p>
    <w:p w14:paraId="2B5996FC">
      <w:r>
        <w:t>发光二极管（LED）具有单向导电性，长脚为正极接信号，短脚为负极接地，且必须串联电阻。</w:t>
      </w:r>
    </w:p>
    <w:p w14:paraId="53E4D234">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3391923">
      <w:pPr>
        <w:pStyle w:val="5"/>
      </w:pPr>
      <w:r>
        <w:rPr>
          <w:rFonts w:hint="eastAsia"/>
          <w:lang w:eastAsia="zh-CN"/>
        </w:rPr>
        <w:t>🟢</w:t>
      </w:r>
      <w:r>
        <w:t>绿色常态灯回路</w:t>
      </w:r>
    </w:p>
    <w:p w14:paraId="2BFC3E26">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5AE59A8">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E108F98">
      <w:pPr>
        <w:numPr>
          <w:ilvl w:val="0"/>
          <w:numId w:val="10"/>
        </w:numPr>
        <w:spacing w:before="0" w:after="0"/>
        <w:ind w:left="720" w:hanging="360"/>
      </w:pPr>
      <w:r>
        <w:t>取一根杜邦线，一头插在 Arduino 的数字引脚 D3，另一头插在面包板 第 2 行 a 孔。</w:t>
      </w:r>
    </w:p>
    <w:p w14:paraId="2DA24194">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73E4D25">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53699F3">
      <w:pPr>
        <w:numPr>
          <w:ilvl w:val="0"/>
          <w:numId w:val="11"/>
        </w:numPr>
        <w:spacing w:before="0" w:after="0"/>
        <w:ind w:left="720" w:hanging="360"/>
      </w:pPr>
      <w:r>
        <w:t>取一个 220Ω 电阻，跨接在面包板的 第 2 行 c 孔 和 第 6 行 c 孔 之间。</w:t>
      </w:r>
    </w:p>
    <w:p w14:paraId="69538C63">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38DBB73">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4761646">
      <w:pPr>
        <w:numPr>
          <w:ilvl w:val="0"/>
          <w:numId w:val="12"/>
        </w:numPr>
        <w:spacing w:before="0" w:after="0"/>
        <w:ind w:left="720" w:hanging="360"/>
      </w:pPr>
      <w:r>
        <w:t>将 绿色 LED 的长脚（正极）插在 第 6 行 d 孔，短脚（负极）插在 第 7 行 d 孔。</w:t>
      </w:r>
    </w:p>
    <w:p w14:paraId="08EEA9C3">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5FC5ADA">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FC84C4D">
      <w:pPr>
        <w:numPr>
          <w:ilvl w:val="0"/>
          <w:numId w:val="13"/>
        </w:numPr>
        <w:spacing w:before="0" w:after="0"/>
        <w:ind w:left="720" w:hanging="360"/>
      </w:pPr>
      <w:r>
        <w:t>取一根灰线（或黑线），一头插在 第 7 行 e 孔，另一头插进面包板侧边的 GND (蓝色总线条)。</w:t>
      </w:r>
    </w:p>
    <w:p w14:paraId="2CC83DE5">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AAB83F6">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C8EF036">
      <w:pPr>
        <w:pStyle w:val="5"/>
      </w:pPr>
      <w:r>
        <w:rPr>
          <w:rFonts w:hint="default" w:ascii="Segoe UI Emoji" w:hAnsi="Segoe UI Emoji" w:cs="Segoe UI Emoji"/>
        </w:rPr>
        <w:t>🔴</w:t>
      </w:r>
      <w:r>
        <w:t xml:space="preserve"> 红色预警灯回路</w:t>
      </w:r>
    </w:p>
    <w:p w14:paraId="34A9FD67">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C34E061">
      <w:pPr>
        <w:keepNext w:val="0"/>
        <w:keepLines w:val="0"/>
        <w:widowControl/>
        <w:numPr>
          <w:ilvl w:val="1"/>
          <w:numId w:val="1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48309B2C">
      <w:pPr>
        <w:numPr>
          <w:ilvl w:val="0"/>
          <w:numId w:val="15"/>
        </w:numPr>
        <w:spacing w:before="0" w:after="0"/>
        <w:ind w:left="720" w:hanging="360"/>
      </w:pPr>
      <w:r>
        <w:t>取一根杜邦线，一头插在 Arduino 的数字引脚 D4，另一头插在面包板 第 12 行 a 孔。</w:t>
      </w:r>
    </w:p>
    <w:p w14:paraId="6F1CF440">
      <w:pPr>
        <w:keepNext w:val="0"/>
        <w:keepLines w:val="0"/>
        <w:widowControl/>
        <w:numPr>
          <w:ilvl w:val="1"/>
          <w:numId w:val="1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232418B3">
      <w:pPr>
        <w:keepNext w:val="0"/>
        <w:keepLines w:val="0"/>
        <w:widowControl/>
        <w:numPr>
          <w:ilvl w:val="1"/>
          <w:numId w:val="1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3DBDF194">
      <w:pPr>
        <w:numPr>
          <w:ilvl w:val="0"/>
          <w:numId w:val="16"/>
        </w:numPr>
        <w:spacing w:before="0" w:after="0"/>
        <w:ind w:left="720" w:hanging="360"/>
      </w:pPr>
      <w:r>
        <w:t>取另一个 220Ω 电阻，跨接在面包板的 第 12 行 c 孔 和 第 16 行 c 孔 之间。</w:t>
      </w:r>
    </w:p>
    <w:p w14:paraId="7BACA2A3">
      <w:pPr>
        <w:keepNext w:val="0"/>
        <w:keepLines w:val="0"/>
        <w:widowControl/>
        <w:numPr>
          <w:ilvl w:val="1"/>
          <w:numId w:val="1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6041FB7B">
      <w:pPr>
        <w:keepNext w:val="0"/>
        <w:keepLines w:val="0"/>
        <w:widowControl/>
        <w:numPr>
          <w:ilvl w:val="1"/>
          <w:numId w:val="1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0FDAD50E">
      <w:pPr>
        <w:numPr>
          <w:ilvl w:val="0"/>
          <w:numId w:val="17"/>
        </w:numPr>
        <w:spacing w:before="0" w:after="0"/>
        <w:ind w:left="720" w:hanging="360"/>
      </w:pPr>
      <w:r>
        <w:t>将 红色 LED 的长脚（正极）插在 第 16 行 d 孔，短脚（负极）插在 第 17 行 d 孔。</w:t>
      </w:r>
    </w:p>
    <w:p w14:paraId="50BB8B37">
      <w:pPr>
        <w:keepNext w:val="0"/>
        <w:keepLines w:val="0"/>
        <w:widowControl/>
        <w:numPr>
          <w:ilvl w:val="1"/>
          <w:numId w:val="1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31C030FF">
      <w:pPr>
        <w:keepNext w:val="0"/>
        <w:keepLines w:val="0"/>
        <w:widowControl/>
        <w:numPr>
          <w:ilvl w:val="1"/>
          <w:numId w:val="1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21BFDE47">
      <w:pPr>
        <w:numPr>
          <w:ilvl w:val="0"/>
          <w:numId w:val="18"/>
        </w:numPr>
        <w:spacing w:before="0" w:after="0"/>
        <w:ind w:left="720" w:hanging="360"/>
      </w:pPr>
      <w:r>
        <w:t>取一根杜邦线，一头插在 第 17 行 e 孔，另一头插进面包板侧边的 GND (蓝色总线条)。</w:t>
      </w:r>
    </w:p>
    <w:p w14:paraId="56150E6F">
      <w:pPr>
        <w:keepNext w:val="0"/>
        <w:keepLines w:val="0"/>
        <w:widowControl/>
        <w:numPr>
          <w:ilvl w:val="1"/>
          <w:numId w:val="1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57E6CFBC">
      <w:pPr>
        <w:pStyle w:val="3"/>
      </w:pPr>
      <w:r>
        <w:t>三、 硬件闭环大检查（通电前复核清单）</w:t>
      </w:r>
    </w:p>
    <w:p w14:paraId="74FB6717">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7D5DFBD">
      <w:pPr>
        <w:numPr>
          <w:ilvl w:val="0"/>
          <w:numId w:val="20"/>
        </w:numPr>
        <w:spacing w:before="0" w:after="0"/>
        <w:ind w:left="720" w:hanging="360"/>
      </w:pPr>
      <w:r>
        <w:t>LED 方向检查： 确认红绿两盏灯的长脚都对准了有电阻的那一行（第6行和第16行），短脚都通过导线成功连到了蓝色负极总线条。</w:t>
      </w:r>
    </w:p>
    <w:p w14:paraId="037DCEF7">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466A4C2">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6D29240">
      <w:pPr>
        <w:numPr>
          <w:ilvl w:val="0"/>
          <w:numId w:val="21"/>
        </w:numPr>
        <w:spacing w:before="0" w:after="0"/>
        <w:ind w:left="720" w:hanging="360"/>
      </w:pPr>
      <w:r>
        <w:t>核心节点检查： 面包板的 第 21 行 是传感器的数据交汇点，请肉眼确认该行是否同时并排插着：传感器的引脚 B、去往 A0 的信号线、去往 GND 的 10kΩ 电阻。三者缺一不可。</w:t>
      </w:r>
    </w:p>
    <w:p w14:paraId="27D58202">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8CF0A1C">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0C88A48">
      <w:pPr>
        <w:numPr>
          <w:ilvl w:val="0"/>
          <w:numId w:val="22"/>
        </w:numPr>
        <w:spacing w:before="0" w:after="0"/>
        <w:ind w:left="720" w:hanging="360"/>
      </w:pPr>
      <w:r>
        <w:t>主板孔位检查： 确认三根信号线分别精准插在数字区的 3号孔、4号孔 以及模拟区的 A0孔，防止由于错位导致系统失效。</w:t>
      </w:r>
    </w:p>
    <w:p w14:paraId="2F50A530">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39F6A4B">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795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84FF92">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5D84FF92">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27A0D"/>
    <w:multiLevelType w:val="singleLevel"/>
    <w:tmpl w:val="96C27A0D"/>
    <w:lvl w:ilvl="0" w:tentative="0">
      <w:start w:val="1"/>
      <w:numFmt w:val="bullet"/>
      <w:lvlText w:val=""/>
      <w:lvlJc w:val="left"/>
      <w:pPr>
        <w:ind w:left="720" w:hanging="360"/>
      </w:pPr>
      <w:rPr>
        <w:rFonts w:hint="default" w:ascii="Symbol" w:hAnsi="Symbol" w:cs="Symbol"/>
        <w:sz w:val="20"/>
      </w:rPr>
    </w:lvl>
  </w:abstractNum>
  <w:abstractNum w:abstractNumId="1">
    <w:nsid w:val="A8C7A79E"/>
    <w:multiLevelType w:val="singleLevel"/>
    <w:tmpl w:val="A8C7A79E"/>
    <w:lvl w:ilvl="0" w:tentative="0">
      <w:start w:val="1"/>
      <w:numFmt w:val="bullet"/>
      <w:lvlText w:val=""/>
      <w:lvlJc w:val="left"/>
      <w:pPr>
        <w:ind w:left="720" w:hanging="360"/>
      </w:pPr>
      <w:rPr>
        <w:rFonts w:hint="default" w:ascii="Symbol" w:hAnsi="Symbol" w:cs="Symbol"/>
        <w:sz w:val="20"/>
      </w:rPr>
    </w:lvl>
  </w:abstractNum>
  <w:abstractNum w:abstractNumId="2">
    <w:nsid w:val="C544B729"/>
    <w:multiLevelType w:val="singleLevel"/>
    <w:tmpl w:val="C544B729"/>
    <w:lvl w:ilvl="0" w:tentative="0">
      <w:start w:val="1"/>
      <w:numFmt w:val="bullet"/>
      <w:lvlText w:val=""/>
      <w:lvlJc w:val="left"/>
      <w:pPr>
        <w:ind w:left="720" w:hanging="360"/>
      </w:pPr>
      <w:rPr>
        <w:rFonts w:hint="default" w:ascii="Symbol" w:hAnsi="Symbol" w:cs="Symbol"/>
        <w:sz w:val="20"/>
      </w:rPr>
    </w:lvl>
  </w:abstractNum>
  <w:abstractNum w:abstractNumId="3">
    <w:nsid w:val="CB1553F0"/>
    <w:multiLevelType w:val="multilevel"/>
    <w:tmpl w:val="CB1553F0"/>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D529741"/>
    <w:multiLevelType w:val="singleLevel"/>
    <w:tmpl w:val="DD529741"/>
    <w:lvl w:ilvl="0" w:tentative="0">
      <w:start w:val="1"/>
      <w:numFmt w:val="bullet"/>
      <w:lvlText w:val=""/>
      <w:lvlJc w:val="left"/>
      <w:pPr>
        <w:ind w:left="720" w:hanging="360"/>
      </w:pPr>
      <w:rPr>
        <w:rFonts w:hint="default" w:ascii="Symbol" w:hAnsi="Symbol" w:cs="Symbol"/>
        <w:sz w:val="20"/>
      </w:rPr>
    </w:lvl>
  </w:abstractNum>
  <w:abstractNum w:abstractNumId="5">
    <w:nsid w:val="DE9AE30B"/>
    <w:multiLevelType w:val="singleLevel"/>
    <w:tmpl w:val="DE9AE30B"/>
    <w:lvl w:ilvl="0" w:tentative="0">
      <w:start w:val="1"/>
      <w:numFmt w:val="bullet"/>
      <w:lvlText w:val=""/>
      <w:lvlJc w:val="left"/>
      <w:pPr>
        <w:ind w:left="720" w:hanging="360"/>
      </w:pPr>
      <w:rPr>
        <w:rFonts w:hint="default" w:ascii="Symbol" w:hAnsi="Symbol" w:cs="Symbol"/>
        <w:sz w:val="20"/>
      </w:rPr>
    </w:lvl>
  </w:abstractNum>
  <w:abstractNum w:abstractNumId="6">
    <w:nsid w:val="DFE6C656"/>
    <w:multiLevelType w:val="singleLevel"/>
    <w:tmpl w:val="DFE6C656"/>
    <w:lvl w:ilvl="0" w:tentative="0">
      <w:start w:val="1"/>
      <w:numFmt w:val="bullet"/>
      <w:lvlText w:val=""/>
      <w:lvlJc w:val="left"/>
      <w:pPr>
        <w:ind w:left="720" w:hanging="360"/>
      </w:pPr>
      <w:rPr>
        <w:rFonts w:hint="default" w:ascii="Symbol" w:hAnsi="Symbol" w:cs="Symbol"/>
        <w:sz w:val="20"/>
      </w:rPr>
    </w:lvl>
  </w:abstractNum>
  <w:abstractNum w:abstractNumId="7">
    <w:nsid w:val="E0D8AC92"/>
    <w:multiLevelType w:val="singleLevel"/>
    <w:tmpl w:val="E0D8AC92"/>
    <w:lvl w:ilvl="0" w:tentative="0">
      <w:start w:val="1"/>
      <w:numFmt w:val="bullet"/>
      <w:lvlText w:val=""/>
      <w:lvlJc w:val="left"/>
      <w:pPr>
        <w:ind w:left="720" w:hanging="360"/>
      </w:pPr>
      <w:rPr>
        <w:rFonts w:hint="default" w:ascii="Symbol" w:hAnsi="Symbol" w:cs="Symbol"/>
        <w:sz w:val="20"/>
      </w:rPr>
    </w:lvl>
  </w:abstractNum>
  <w:abstractNum w:abstractNumId="8">
    <w:nsid w:val="E52BC7CD"/>
    <w:multiLevelType w:val="singleLevel"/>
    <w:tmpl w:val="E52BC7CD"/>
    <w:lvl w:ilvl="0" w:tentative="0">
      <w:start w:val="1"/>
      <w:numFmt w:val="bullet"/>
      <w:lvlText w:val=""/>
      <w:lvlJc w:val="left"/>
      <w:pPr>
        <w:ind w:left="720" w:hanging="360"/>
      </w:pPr>
      <w:rPr>
        <w:rFonts w:hint="default" w:ascii="Symbol" w:hAnsi="Symbol" w:cs="Symbol"/>
        <w:sz w:val="20"/>
      </w:rPr>
    </w:lvl>
  </w:abstractNum>
  <w:abstractNum w:abstractNumId="9">
    <w:nsid w:val="EC76F031"/>
    <w:multiLevelType w:val="multilevel"/>
    <w:tmpl w:val="EC76F0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B27FCE6"/>
    <w:multiLevelType w:val="singleLevel"/>
    <w:tmpl w:val="FB27FCE6"/>
    <w:lvl w:ilvl="0" w:tentative="0">
      <w:start w:val="1"/>
      <w:numFmt w:val="bullet"/>
      <w:lvlText w:val=""/>
      <w:lvlJc w:val="left"/>
      <w:pPr>
        <w:ind w:left="720" w:hanging="360"/>
      </w:pPr>
      <w:rPr>
        <w:rFonts w:hint="default" w:ascii="Symbol" w:hAnsi="Symbol" w:cs="Symbol"/>
        <w:sz w:val="20"/>
      </w:rPr>
    </w:lvl>
  </w:abstractNum>
  <w:abstractNum w:abstractNumId="11">
    <w:nsid w:val="FE65CAD4"/>
    <w:multiLevelType w:val="singleLevel"/>
    <w:tmpl w:val="FE65CAD4"/>
    <w:lvl w:ilvl="0" w:tentative="0">
      <w:start w:val="1"/>
      <w:numFmt w:val="bullet"/>
      <w:lvlText w:val=""/>
      <w:lvlJc w:val="left"/>
      <w:pPr>
        <w:ind w:left="720" w:hanging="360"/>
      </w:pPr>
      <w:rPr>
        <w:rFonts w:hint="default" w:ascii="Symbol" w:hAnsi="Symbol" w:cs="Symbol"/>
        <w:sz w:val="20"/>
      </w:rPr>
    </w:lvl>
  </w:abstractNum>
  <w:abstractNum w:abstractNumId="12">
    <w:nsid w:val="00DD283E"/>
    <w:multiLevelType w:val="multilevel"/>
    <w:tmpl w:val="00DD28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03C461FF"/>
    <w:multiLevelType w:val="singleLevel"/>
    <w:tmpl w:val="03C461FF"/>
    <w:lvl w:ilvl="0" w:tentative="0">
      <w:start w:val="1"/>
      <w:numFmt w:val="bullet"/>
      <w:lvlText w:val=""/>
      <w:lvlJc w:val="left"/>
      <w:pPr>
        <w:ind w:left="720" w:hanging="360"/>
      </w:pPr>
      <w:rPr>
        <w:rFonts w:hint="default" w:ascii="Symbol" w:hAnsi="Symbol" w:cs="Symbol"/>
        <w:sz w:val="20"/>
      </w:rPr>
    </w:lvl>
  </w:abstractNum>
  <w:abstractNum w:abstractNumId="14">
    <w:nsid w:val="1653E666"/>
    <w:multiLevelType w:val="singleLevel"/>
    <w:tmpl w:val="1653E666"/>
    <w:lvl w:ilvl="0" w:tentative="0">
      <w:start w:val="1"/>
      <w:numFmt w:val="bullet"/>
      <w:lvlText w:val=""/>
      <w:lvlJc w:val="left"/>
      <w:pPr>
        <w:ind w:left="720" w:hanging="360"/>
      </w:pPr>
      <w:rPr>
        <w:rFonts w:hint="default" w:ascii="Symbol" w:hAnsi="Symbol" w:cs="Symbol"/>
        <w:sz w:val="20"/>
      </w:rPr>
    </w:lvl>
  </w:abstractNum>
  <w:abstractNum w:abstractNumId="15">
    <w:nsid w:val="25451BA3"/>
    <w:multiLevelType w:val="singleLevel"/>
    <w:tmpl w:val="25451BA3"/>
    <w:lvl w:ilvl="0" w:tentative="0">
      <w:start w:val="1"/>
      <w:numFmt w:val="bullet"/>
      <w:lvlText w:val=""/>
      <w:lvlJc w:val="left"/>
      <w:pPr>
        <w:ind w:left="720" w:hanging="360"/>
      </w:pPr>
      <w:rPr>
        <w:rFonts w:hint="default" w:ascii="Symbol" w:hAnsi="Symbol" w:cs="Symbol"/>
        <w:sz w:val="20"/>
      </w:rPr>
    </w:lvl>
  </w:abstractNum>
  <w:abstractNum w:abstractNumId="16">
    <w:nsid w:val="2E7DE5EA"/>
    <w:multiLevelType w:val="singleLevel"/>
    <w:tmpl w:val="2E7DE5EA"/>
    <w:lvl w:ilvl="0" w:tentative="0">
      <w:start w:val="1"/>
      <w:numFmt w:val="bullet"/>
      <w:lvlText w:val=""/>
      <w:lvlJc w:val="left"/>
      <w:pPr>
        <w:ind w:left="720" w:hanging="360"/>
      </w:pPr>
      <w:rPr>
        <w:rFonts w:hint="default" w:ascii="Symbol" w:hAnsi="Symbol" w:cs="Symbol"/>
        <w:sz w:val="20"/>
      </w:rPr>
    </w:lvl>
  </w:abstractNum>
  <w:abstractNum w:abstractNumId="17">
    <w:nsid w:val="4372F06C"/>
    <w:multiLevelType w:val="multilevel"/>
    <w:tmpl w:val="4372F0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64A4C11"/>
    <w:multiLevelType w:val="singleLevel"/>
    <w:tmpl w:val="464A4C11"/>
    <w:lvl w:ilvl="0" w:tentative="0">
      <w:start w:val="1"/>
      <w:numFmt w:val="bullet"/>
      <w:lvlText w:val=""/>
      <w:lvlJc w:val="left"/>
      <w:pPr>
        <w:ind w:left="720" w:hanging="360"/>
      </w:pPr>
      <w:rPr>
        <w:rFonts w:hint="default" w:ascii="Symbol" w:hAnsi="Symbol" w:cs="Symbol"/>
        <w:sz w:val="20"/>
      </w:rPr>
    </w:lvl>
  </w:abstractNum>
  <w:abstractNum w:abstractNumId="19">
    <w:nsid w:val="63012B58"/>
    <w:multiLevelType w:val="singleLevel"/>
    <w:tmpl w:val="63012B58"/>
    <w:lvl w:ilvl="0" w:tentative="0">
      <w:start w:val="1"/>
      <w:numFmt w:val="bullet"/>
      <w:lvlText w:val=""/>
      <w:lvlJc w:val="left"/>
      <w:pPr>
        <w:ind w:left="720" w:hanging="360"/>
      </w:pPr>
      <w:rPr>
        <w:rFonts w:hint="default" w:ascii="Symbol" w:hAnsi="Symbol" w:cs="Symbol"/>
        <w:sz w:val="20"/>
      </w:rPr>
    </w:lvl>
  </w:abstractNum>
  <w:abstractNum w:abstractNumId="20">
    <w:nsid w:val="7B3E8D08"/>
    <w:multiLevelType w:val="singleLevel"/>
    <w:tmpl w:val="7B3E8D08"/>
    <w:lvl w:ilvl="0" w:tentative="0">
      <w:start w:val="1"/>
      <w:numFmt w:val="bullet"/>
      <w:lvlText w:val=""/>
      <w:lvlJc w:val="left"/>
      <w:pPr>
        <w:ind w:left="720" w:hanging="360"/>
      </w:pPr>
      <w:rPr>
        <w:rFonts w:hint="default" w:ascii="Symbol" w:hAnsi="Symbol" w:cs="Symbol"/>
        <w:sz w:val="20"/>
      </w:rPr>
    </w:lvl>
  </w:abstractNum>
  <w:num w:numId="1">
    <w:abstractNumId w:val="19"/>
  </w:num>
  <w:num w:numId="2">
    <w:abstractNumId w:val="3"/>
  </w:num>
  <w:num w:numId="3">
    <w:abstractNumId w:val="18"/>
  </w:num>
  <w:num w:numId="4">
    <w:abstractNumId w:val="20"/>
  </w:num>
  <w:num w:numId="5">
    <w:abstractNumId w:val="9"/>
  </w:num>
  <w:num w:numId="6">
    <w:abstractNumId w:val="0"/>
  </w:num>
  <w:num w:numId="7">
    <w:abstractNumId w:val="14"/>
  </w:num>
  <w:num w:numId="8">
    <w:abstractNumId w:val="8"/>
  </w:num>
  <w:num w:numId="9">
    <w:abstractNumId w:val="17"/>
  </w:num>
  <w:num w:numId="10">
    <w:abstractNumId w:val="4"/>
  </w:num>
  <w:num w:numId="11">
    <w:abstractNumId w:val="10"/>
  </w:num>
  <w:num w:numId="12">
    <w:abstractNumId w:val="16"/>
  </w:num>
  <w:num w:numId="13">
    <w:abstractNumId w:val="11"/>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
  </w:num>
  <w:num w:numId="17">
    <w:abstractNumId w:val="6"/>
  </w:num>
  <w:num w:numId="18">
    <w:abstractNumId w:val="5"/>
  </w:num>
  <w:num w:numId="19">
    <w:abstractNumId w:val="12"/>
  </w:num>
  <w:num w:numId="20">
    <w:abstractNumId w:val="13"/>
  </w:num>
  <w:num w:numId="21">
    <w:abstractNumId w:val="15"/>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67E53"/>
    <w:rsid w:val="5136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1">
    <w:name w:val="Default Paragraph Font"/>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5"/>
    <w:unhideWhenUsed/>
    <w:uiPriority w:val="99"/>
    <w:pPr>
      <w:tabs>
        <w:tab w:val="center" w:pos="4153"/>
        <w:tab w:val="right" w:pos="8306"/>
      </w:tabs>
      <w:snapToGrid w:val="0"/>
      <w:jc w:val="left"/>
    </w:pPr>
    <w:rPr>
      <w:sz w:val="18"/>
    </w:rPr>
  </w:style>
  <w:style w:type="paragraph" w:styleId="8">
    <w:name w:val="header"/>
    <w:basedOn w:val="1"/>
    <w:link w:val="14"/>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2">
    <w:name w:val="Strong"/>
    <w:basedOn w:val="11"/>
    <w:qFormat/>
    <w:uiPriority w:val="22"/>
    <w:rPr>
      <w:b/>
    </w:rPr>
  </w:style>
  <w:style w:type="character" w:styleId="13">
    <w:name w:val="Emphasis"/>
    <w:basedOn w:val="11"/>
    <w:qFormat/>
    <w:uiPriority w:val="20"/>
    <w:rPr>
      <w:i/>
    </w:rPr>
  </w:style>
  <w:style w:type="character" w:customStyle="1" w:styleId="14">
    <w:name w:val="页眉 字符"/>
    <w:basedOn w:val="11"/>
    <w:link w:val="8"/>
    <w:qFormat/>
    <w:uiPriority w:val="99"/>
    <w:rPr>
      <w:rFonts w:asciiTheme="minorHAnsi" w:hAnsiTheme="minorHAnsi" w:eastAsiaTheme="minorEastAsia" w:cstheme="minorBidi"/>
      <w:sz w:val="18"/>
    </w:rPr>
  </w:style>
  <w:style w:type="character" w:customStyle="1" w:styleId="15">
    <w:name w:val="页脚 字符"/>
    <w:basedOn w:val="11"/>
    <w:link w:val="7"/>
    <w:qFormat/>
    <w:uiPriority w:val="99"/>
    <w:rPr>
      <w:rFonts w:asciiTheme="minorHAnsi" w:hAnsiTheme="minorHAnsi" w:eastAsiaTheme="minorEastAsia" w:cstheme="minorBidi"/>
      <w:sz w:val="18"/>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331bc0ab-4599-4d9d-a4e7-52d3b7569bd2}"/>
        <w:style w:val=""/>
        <w:category>
          <w:name w:val="常规"/>
          <w:gallery w:val="placeholder"/>
        </w:category>
        <w:types>
          <w:type w:val="bbPlcHdr"/>
        </w:types>
        <w:behaviors>
          <w:behavior w:val="content"/>
        </w:behaviors>
        <w:description w:val=""/>
        <w:guid w:val="{331bc0ab-4599-4d9d-a4e7-52d3b7569bd2}"/>
      </w:docPartPr>
      <w:docPartBody>
        <w:p w14:paraId="522E6A18">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蓝色线条封面.docx"/>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2026-05-21T07:39:00Z</dcterms:created>
  <dc:creator>范源</dc:creator>
  <cp:lastModifiedBy>范源</cp:lastModifiedBy>
  <dcterms:modified xsi:type="dcterms:W3CDTF">2026-05-21T07:48:28Z</dcterms:modified>
  <dc:title>智能压力感知与分级视觉预警系统——硬件接线与部署指南本指南详细记录了系统的物理电路拓扑结构与面包板插线坐标。请在断电状态下严格对照本指南进行硬件搭建。一、引脚映射总表二、面包板空间坐标与布线步骤（手把手搭建）注：面包板内部同一行（如第1行的a、b、c、d、e插孔）在物理上是互通的。请按以下三个模块依次完成插线。1.基础供电层搭建地线引入：取一根</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DC8ABA7A93F04318B5825875C1A49786_11</vt:lpwstr>
  </property>
  <property fmtid="{D5CDD505-2E9C-101B-9397-08002B2CF9AE}" pid="4" name="KSOTemplateDocerSaveRecord">
    <vt:lpwstr>eyJoZGlkIjoiZWI2ZDU0ZTk2MWI1MGNkYWYwYjJkMDhhZmRjZGYzNGEiLCJ1c2VySWQiOiI5MjA4MjI2NTgifQ==</vt:lpwstr>
  </property>
</Properties>
</file>