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8F269" w14:textId="77777777" w:rsidR="00BC7A6E" w:rsidRPr="00B415C1" w:rsidRDefault="00000000" w:rsidP="00B415C1">
      <w:pPr>
        <w:spacing w:after="80" w:line="276" w:lineRule="auto"/>
        <w:jc w:val="center"/>
        <w:rPr>
          <w:rFonts w:ascii="Arial" w:hAnsi="Arial" w:cs="Arial"/>
        </w:rPr>
      </w:pPr>
      <w:r w:rsidRPr="00B415C1">
        <w:rPr>
          <w:rFonts w:ascii="Arial" w:hAnsi="Arial" w:cs="Arial"/>
          <w:b/>
          <w:bCs/>
          <w:color w:val="000000"/>
          <w:sz w:val="32"/>
          <w:szCs w:val="32"/>
        </w:rPr>
        <w:t>Código fuente estructurado</w:t>
      </w:r>
    </w:p>
    <w:p w14:paraId="55689377" w14:textId="77777777" w:rsidR="00BC7A6E" w:rsidRPr="00B415C1" w:rsidRDefault="00000000" w:rsidP="00B415C1">
      <w:pPr>
        <w:spacing w:after="200" w:line="276" w:lineRule="auto"/>
        <w:jc w:val="center"/>
        <w:rPr>
          <w:rFonts w:ascii="Arial" w:hAnsi="Arial" w:cs="Arial"/>
        </w:rPr>
      </w:pPr>
      <w:r w:rsidRPr="00B415C1">
        <w:rPr>
          <w:rFonts w:ascii="Arial" w:hAnsi="Arial" w:cs="Arial"/>
          <w:b/>
          <w:bCs/>
          <w:color w:val="000000"/>
        </w:rPr>
        <w:t>Arquitectura hexagonal del PMV1</w:t>
      </w:r>
    </w:p>
    <w:p w14:paraId="27EE16AC"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 xml:space="preserve">El </w:t>
      </w:r>
      <w:proofErr w:type="spellStart"/>
      <w:r w:rsidRPr="00B415C1">
        <w:rPr>
          <w:rFonts w:ascii="Arial" w:hAnsi="Arial" w:cs="Arial"/>
          <w:color w:val="000000"/>
        </w:rPr>
        <w:t>backend</w:t>
      </w:r>
      <w:proofErr w:type="spellEnd"/>
      <w:r w:rsidRPr="00B415C1">
        <w:rPr>
          <w:rFonts w:ascii="Arial" w:hAnsi="Arial" w:cs="Arial"/>
          <w:color w:val="000000"/>
        </w:rPr>
        <w:t xml:space="preserve"> está organizado para que las reglas del café no dependan de Express, Angular, MySQL ni del proveedor de inteligencia artificial. Esas tecnologías entran por adaptadores. El </w:t>
      </w:r>
      <w:proofErr w:type="spellStart"/>
      <w:r w:rsidRPr="00B415C1">
        <w:rPr>
          <w:rFonts w:ascii="Arial" w:hAnsi="Arial" w:cs="Arial"/>
          <w:color w:val="000000"/>
        </w:rPr>
        <w:t>frontend</w:t>
      </w:r>
      <w:proofErr w:type="spellEnd"/>
      <w:r w:rsidRPr="00B415C1">
        <w:rPr>
          <w:rFonts w:ascii="Arial" w:hAnsi="Arial" w:cs="Arial"/>
          <w:color w:val="000000"/>
        </w:rPr>
        <w:t xml:space="preserve"> solo habla con la API HTTP.</w:t>
      </w:r>
    </w:p>
    <w:p w14:paraId="73E8812C"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1. Separación del sistema</w:t>
      </w:r>
    </w:p>
    <w:p w14:paraId="39B07A22" w14:textId="77777777" w:rsidR="00BC7A6E" w:rsidRPr="00B415C1" w:rsidRDefault="00000000" w:rsidP="00B415C1">
      <w:pPr>
        <w:spacing w:before="40" w:after="40" w:line="276" w:lineRule="auto"/>
        <w:ind w:left="420" w:hanging="280"/>
        <w:jc w:val="both"/>
        <w:rPr>
          <w:rFonts w:ascii="Arial" w:hAnsi="Arial" w:cs="Arial"/>
          <w:lang w:val="en-US"/>
        </w:rPr>
      </w:pPr>
      <w:r w:rsidRPr="00B415C1">
        <w:rPr>
          <w:rFonts w:ascii="Arial" w:hAnsi="Arial" w:cs="Arial"/>
          <w:color w:val="000000"/>
        </w:rPr>
        <w:t xml:space="preserve">• </w:t>
      </w:r>
      <w:proofErr w:type="spellStart"/>
      <w:r w:rsidRPr="00B415C1">
        <w:rPr>
          <w:rFonts w:ascii="Arial" w:hAnsi="Arial" w:cs="Arial"/>
          <w:color w:val="000000"/>
        </w:rPr>
        <w:t>frontend</w:t>
      </w:r>
      <w:proofErr w:type="spellEnd"/>
      <w:r w:rsidRPr="00B415C1">
        <w:rPr>
          <w:rFonts w:ascii="Arial" w:hAnsi="Arial" w:cs="Arial"/>
          <w:color w:val="000000"/>
        </w:rPr>
        <w:t xml:space="preserve">: aplicación Angular con </w:t>
      </w:r>
      <w:proofErr w:type="spellStart"/>
      <w:r w:rsidRPr="00B415C1">
        <w:rPr>
          <w:rFonts w:ascii="Arial" w:hAnsi="Arial" w:cs="Arial"/>
          <w:color w:val="000000"/>
        </w:rPr>
        <w:t>TypeScript</w:t>
      </w:r>
      <w:proofErr w:type="spellEnd"/>
      <w:r w:rsidRPr="00B415C1">
        <w:rPr>
          <w:rFonts w:ascii="Arial" w:hAnsi="Arial" w:cs="Arial"/>
          <w:color w:val="000000"/>
        </w:rPr>
        <w:t xml:space="preserve">, HTML y SCSS. </w:t>
      </w:r>
      <w:r w:rsidRPr="00B415C1">
        <w:rPr>
          <w:rFonts w:ascii="Arial" w:hAnsi="Arial" w:cs="Arial"/>
          <w:color w:val="000000"/>
          <w:lang w:val="en-US"/>
        </w:rPr>
        <w:t xml:space="preserve">Consume </w:t>
      </w:r>
      <w:proofErr w:type="gramStart"/>
      <w:r w:rsidRPr="00B415C1">
        <w:rPr>
          <w:rFonts w:ascii="Arial" w:hAnsi="Arial" w:cs="Arial"/>
          <w:color w:val="000000"/>
          <w:lang w:val="en-US"/>
        </w:rPr>
        <w:t>http://localhost:3000/api .</w:t>
      </w:r>
      <w:proofErr w:type="gramEnd"/>
    </w:p>
    <w:p w14:paraId="424A3BA6" w14:textId="77777777" w:rsidR="00BC7A6E" w:rsidRPr="00B415C1" w:rsidRDefault="00000000" w:rsidP="00B415C1">
      <w:pPr>
        <w:spacing w:before="40" w:after="40" w:line="276" w:lineRule="auto"/>
        <w:ind w:left="420" w:hanging="280"/>
        <w:jc w:val="both"/>
        <w:rPr>
          <w:rFonts w:ascii="Arial" w:hAnsi="Arial" w:cs="Arial"/>
          <w:lang w:val="en-US"/>
        </w:rPr>
      </w:pPr>
      <w:r w:rsidRPr="00B415C1">
        <w:rPr>
          <w:rFonts w:ascii="Arial" w:hAnsi="Arial" w:cs="Arial"/>
          <w:color w:val="000000"/>
          <w:lang w:val="en-US"/>
        </w:rPr>
        <w:t>• backend: API Node.js, Express y TypeScript.</w:t>
      </w:r>
    </w:p>
    <w:p w14:paraId="34DF2C37"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r w:rsidRPr="00B415C1">
        <w:rPr>
          <w:rFonts w:ascii="Arial" w:hAnsi="Arial" w:cs="Arial"/>
          <w:color w:val="000000"/>
        </w:rPr>
        <w:t>database</w:t>
      </w:r>
      <w:proofErr w:type="spellEnd"/>
      <w:r w:rsidRPr="00B415C1">
        <w:rPr>
          <w:rFonts w:ascii="Arial" w:hAnsi="Arial" w:cs="Arial"/>
          <w:color w:val="000000"/>
        </w:rPr>
        <w:t xml:space="preserve">: script </w:t>
      </w:r>
      <w:proofErr w:type="spellStart"/>
      <w:r w:rsidRPr="00B415C1">
        <w:rPr>
          <w:rFonts w:ascii="Arial" w:hAnsi="Arial" w:cs="Arial"/>
          <w:color w:val="000000"/>
        </w:rPr>
        <w:t>schema.sql</w:t>
      </w:r>
      <w:proofErr w:type="spellEnd"/>
      <w:r w:rsidRPr="00B415C1">
        <w:rPr>
          <w:rFonts w:ascii="Arial" w:hAnsi="Arial" w:cs="Arial"/>
          <w:color w:val="000000"/>
        </w:rPr>
        <w:t xml:space="preserve"> para MySQL de XAMPP. El navegador no abre la base.</w:t>
      </w:r>
    </w:p>
    <w:p w14:paraId="70B01CCF"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Una petición recorre este camino: Angular, controlador HTTP, puerto de entrada, caso de uso, dominio y puerto de salida. El puerto de salida lo implementa MySQL o el adaptador de la API de IA.</w:t>
      </w:r>
    </w:p>
    <w:p w14:paraId="2F4E2171"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 xml:space="preserve">2. Carpetas del </w:t>
      </w:r>
      <w:proofErr w:type="spellStart"/>
      <w:r w:rsidRPr="00B415C1">
        <w:rPr>
          <w:rFonts w:ascii="Arial" w:hAnsi="Arial" w:cs="Arial"/>
          <w:b/>
          <w:bCs/>
          <w:color w:val="000000"/>
          <w:sz w:val="26"/>
          <w:szCs w:val="26"/>
        </w:rPr>
        <w:t>backend</w:t>
      </w:r>
      <w:proofErr w:type="spellEnd"/>
    </w:p>
    <w:tbl>
      <w:tblPr>
        <w:tblW w:w="936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61"/>
        <w:gridCol w:w="6899"/>
      </w:tblGrid>
      <w:tr w:rsidR="00BC7A6E" w:rsidRPr="00B415C1" w14:paraId="033FC335" w14:textId="77777777">
        <w:tblPrEx>
          <w:tblCellMar>
            <w:top w:w="0" w:type="dxa"/>
            <w:bottom w:w="0" w:type="dxa"/>
          </w:tblCellMar>
        </w:tblPrEx>
        <w:tc>
          <w:tcPr>
            <w:tcW w:w="2200" w:type="dxa"/>
            <w:shd w:val="clear" w:color="auto" w:fill="FFFFFF"/>
            <w:tcMar>
              <w:top w:w="60" w:type="dxa"/>
              <w:left w:w="80" w:type="dxa"/>
              <w:bottom w:w="60" w:type="dxa"/>
              <w:right w:w="80" w:type="dxa"/>
            </w:tcMar>
            <w:vAlign w:val="center"/>
          </w:tcPr>
          <w:p w14:paraId="6365C9C9" w14:textId="77777777" w:rsidR="00BC7A6E" w:rsidRPr="00B415C1" w:rsidRDefault="00000000" w:rsidP="00B415C1">
            <w:pPr>
              <w:spacing w:before="20" w:after="20"/>
              <w:jc w:val="both"/>
              <w:rPr>
                <w:rFonts w:ascii="Arial" w:hAnsi="Arial" w:cs="Arial"/>
              </w:rPr>
            </w:pPr>
            <w:r w:rsidRPr="00B415C1">
              <w:rPr>
                <w:rFonts w:ascii="Arial" w:hAnsi="Arial" w:cs="Arial"/>
                <w:b/>
                <w:bCs/>
                <w:color w:val="000000"/>
                <w:sz w:val="20"/>
                <w:szCs w:val="20"/>
              </w:rPr>
              <w:t>Carpeta</w:t>
            </w:r>
          </w:p>
        </w:tc>
        <w:tc>
          <w:tcPr>
            <w:tcW w:w="7160" w:type="dxa"/>
            <w:shd w:val="clear" w:color="auto" w:fill="FFFFFF"/>
            <w:tcMar>
              <w:top w:w="60" w:type="dxa"/>
              <w:left w:w="80" w:type="dxa"/>
              <w:bottom w:w="60" w:type="dxa"/>
              <w:right w:w="80" w:type="dxa"/>
            </w:tcMar>
            <w:vAlign w:val="center"/>
          </w:tcPr>
          <w:p w14:paraId="52FB06C6" w14:textId="77777777" w:rsidR="00BC7A6E" w:rsidRPr="00B415C1" w:rsidRDefault="00000000" w:rsidP="00B415C1">
            <w:pPr>
              <w:spacing w:before="20" w:after="20"/>
              <w:jc w:val="both"/>
              <w:rPr>
                <w:rFonts w:ascii="Arial" w:hAnsi="Arial" w:cs="Arial"/>
              </w:rPr>
            </w:pPr>
            <w:r w:rsidRPr="00B415C1">
              <w:rPr>
                <w:rFonts w:ascii="Arial" w:hAnsi="Arial" w:cs="Arial"/>
                <w:b/>
                <w:bCs/>
                <w:color w:val="000000"/>
                <w:sz w:val="20"/>
                <w:szCs w:val="20"/>
              </w:rPr>
              <w:t>Responsabilidad</w:t>
            </w:r>
          </w:p>
        </w:tc>
      </w:tr>
      <w:tr w:rsidR="00BC7A6E" w:rsidRPr="00B415C1" w14:paraId="39A54739" w14:textId="77777777">
        <w:tblPrEx>
          <w:tblCellMar>
            <w:top w:w="0" w:type="dxa"/>
            <w:bottom w:w="0" w:type="dxa"/>
          </w:tblCellMar>
        </w:tblPrEx>
        <w:tc>
          <w:tcPr>
            <w:tcW w:w="2200" w:type="dxa"/>
            <w:tcMar>
              <w:top w:w="60" w:type="dxa"/>
              <w:left w:w="80" w:type="dxa"/>
              <w:bottom w:w="60" w:type="dxa"/>
              <w:right w:w="80" w:type="dxa"/>
            </w:tcMar>
            <w:vAlign w:val="center"/>
          </w:tcPr>
          <w:p w14:paraId="40308399" w14:textId="77777777" w:rsidR="00BC7A6E" w:rsidRPr="00B415C1" w:rsidRDefault="00000000" w:rsidP="00B415C1">
            <w:pPr>
              <w:spacing w:before="20" w:after="20"/>
              <w:jc w:val="both"/>
              <w:rPr>
                <w:rFonts w:ascii="Arial" w:hAnsi="Arial" w:cs="Arial"/>
              </w:rPr>
            </w:pPr>
            <w:proofErr w:type="spellStart"/>
            <w:r w:rsidRPr="00B415C1">
              <w:rPr>
                <w:rFonts w:ascii="Arial" w:hAnsi="Arial" w:cs="Arial"/>
                <w:color w:val="000000"/>
                <w:sz w:val="20"/>
                <w:szCs w:val="20"/>
              </w:rPr>
              <w:t>backend</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src</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domain</w:t>
            </w:r>
            <w:proofErr w:type="spellEnd"/>
          </w:p>
        </w:tc>
        <w:tc>
          <w:tcPr>
            <w:tcW w:w="7160" w:type="dxa"/>
            <w:tcMar>
              <w:top w:w="60" w:type="dxa"/>
              <w:left w:w="80" w:type="dxa"/>
              <w:bottom w:w="60" w:type="dxa"/>
              <w:right w:w="80" w:type="dxa"/>
            </w:tcMar>
            <w:vAlign w:val="center"/>
          </w:tcPr>
          <w:p w14:paraId="20355908" w14:textId="77777777" w:rsidR="00BC7A6E" w:rsidRPr="00B415C1" w:rsidRDefault="00000000" w:rsidP="00B415C1">
            <w:pPr>
              <w:spacing w:before="20" w:after="20"/>
              <w:jc w:val="both"/>
              <w:rPr>
                <w:rFonts w:ascii="Arial" w:hAnsi="Arial" w:cs="Arial"/>
              </w:rPr>
            </w:pPr>
            <w:r w:rsidRPr="00B415C1">
              <w:rPr>
                <w:rFonts w:ascii="Arial" w:hAnsi="Arial" w:cs="Arial"/>
                <w:color w:val="000000"/>
                <w:sz w:val="20"/>
                <w:szCs w:val="20"/>
              </w:rPr>
              <w:t xml:space="preserve">Entidades, objetos de valor y servicios de negocio. No importa </w:t>
            </w:r>
            <w:proofErr w:type="spellStart"/>
            <w:r w:rsidRPr="00B415C1">
              <w:rPr>
                <w:rFonts w:ascii="Arial" w:hAnsi="Arial" w:cs="Arial"/>
                <w:color w:val="000000"/>
                <w:sz w:val="20"/>
                <w:szCs w:val="20"/>
              </w:rPr>
              <w:t>frameworks</w:t>
            </w:r>
            <w:proofErr w:type="spellEnd"/>
            <w:r w:rsidRPr="00B415C1">
              <w:rPr>
                <w:rFonts w:ascii="Arial" w:hAnsi="Arial" w:cs="Arial"/>
                <w:color w:val="000000"/>
                <w:sz w:val="20"/>
                <w:szCs w:val="20"/>
              </w:rPr>
              <w:t>.</w:t>
            </w:r>
          </w:p>
        </w:tc>
      </w:tr>
      <w:tr w:rsidR="00BC7A6E" w:rsidRPr="00B415C1" w14:paraId="1FAB748E" w14:textId="77777777">
        <w:tblPrEx>
          <w:tblCellMar>
            <w:top w:w="0" w:type="dxa"/>
            <w:bottom w:w="0" w:type="dxa"/>
          </w:tblCellMar>
        </w:tblPrEx>
        <w:tc>
          <w:tcPr>
            <w:tcW w:w="2200" w:type="dxa"/>
            <w:tcMar>
              <w:top w:w="60" w:type="dxa"/>
              <w:left w:w="80" w:type="dxa"/>
              <w:bottom w:w="60" w:type="dxa"/>
              <w:right w:w="80" w:type="dxa"/>
            </w:tcMar>
            <w:vAlign w:val="center"/>
          </w:tcPr>
          <w:p w14:paraId="14AA1BD8" w14:textId="77777777" w:rsidR="00BC7A6E" w:rsidRPr="00B415C1" w:rsidRDefault="00000000" w:rsidP="00B415C1">
            <w:pPr>
              <w:spacing w:before="20" w:after="20"/>
              <w:jc w:val="both"/>
              <w:rPr>
                <w:rFonts w:ascii="Arial" w:hAnsi="Arial" w:cs="Arial"/>
              </w:rPr>
            </w:pPr>
            <w:proofErr w:type="spellStart"/>
            <w:r w:rsidRPr="00B415C1">
              <w:rPr>
                <w:rFonts w:ascii="Arial" w:hAnsi="Arial" w:cs="Arial"/>
                <w:color w:val="000000"/>
                <w:sz w:val="20"/>
                <w:szCs w:val="20"/>
              </w:rPr>
              <w:t>backend</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src</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application</w:t>
            </w:r>
            <w:proofErr w:type="spellEnd"/>
          </w:p>
        </w:tc>
        <w:tc>
          <w:tcPr>
            <w:tcW w:w="7160" w:type="dxa"/>
            <w:tcMar>
              <w:top w:w="60" w:type="dxa"/>
              <w:left w:w="80" w:type="dxa"/>
              <w:bottom w:w="60" w:type="dxa"/>
              <w:right w:w="80" w:type="dxa"/>
            </w:tcMar>
            <w:vAlign w:val="center"/>
          </w:tcPr>
          <w:p w14:paraId="5CFAE18B" w14:textId="77777777" w:rsidR="00BC7A6E" w:rsidRPr="00B415C1" w:rsidRDefault="00000000" w:rsidP="00B415C1">
            <w:pPr>
              <w:spacing w:before="20" w:after="20"/>
              <w:jc w:val="both"/>
              <w:rPr>
                <w:rFonts w:ascii="Arial" w:hAnsi="Arial" w:cs="Arial"/>
              </w:rPr>
            </w:pPr>
            <w:r w:rsidRPr="00B415C1">
              <w:rPr>
                <w:rFonts w:ascii="Arial" w:hAnsi="Arial" w:cs="Arial"/>
                <w:color w:val="000000"/>
                <w:sz w:val="20"/>
                <w:szCs w:val="20"/>
              </w:rPr>
              <w:t>Casos de uso, DTO y puertos de entrada y de salida.</w:t>
            </w:r>
          </w:p>
        </w:tc>
      </w:tr>
      <w:tr w:rsidR="00BC7A6E" w:rsidRPr="00B415C1" w14:paraId="75EE0D38" w14:textId="77777777">
        <w:tblPrEx>
          <w:tblCellMar>
            <w:top w:w="0" w:type="dxa"/>
            <w:bottom w:w="0" w:type="dxa"/>
          </w:tblCellMar>
        </w:tblPrEx>
        <w:tc>
          <w:tcPr>
            <w:tcW w:w="2200" w:type="dxa"/>
            <w:tcMar>
              <w:top w:w="60" w:type="dxa"/>
              <w:left w:w="80" w:type="dxa"/>
              <w:bottom w:w="60" w:type="dxa"/>
              <w:right w:w="80" w:type="dxa"/>
            </w:tcMar>
            <w:vAlign w:val="center"/>
          </w:tcPr>
          <w:p w14:paraId="0FA32403" w14:textId="77777777" w:rsidR="00BC7A6E" w:rsidRPr="00B415C1" w:rsidRDefault="00000000" w:rsidP="00B415C1">
            <w:pPr>
              <w:spacing w:before="20" w:after="20"/>
              <w:jc w:val="both"/>
              <w:rPr>
                <w:rFonts w:ascii="Arial" w:hAnsi="Arial" w:cs="Arial"/>
              </w:rPr>
            </w:pPr>
            <w:proofErr w:type="spellStart"/>
            <w:r w:rsidRPr="00B415C1">
              <w:rPr>
                <w:rFonts w:ascii="Arial" w:hAnsi="Arial" w:cs="Arial"/>
                <w:color w:val="000000"/>
                <w:sz w:val="20"/>
                <w:szCs w:val="20"/>
              </w:rPr>
              <w:t>backend</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src</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adapters</w:t>
            </w:r>
            <w:proofErr w:type="spellEnd"/>
            <w:r w:rsidRPr="00B415C1">
              <w:rPr>
                <w:rFonts w:ascii="Arial" w:hAnsi="Arial" w:cs="Arial"/>
                <w:color w:val="000000"/>
                <w:sz w:val="20"/>
                <w:szCs w:val="20"/>
              </w:rPr>
              <w:t>/in</w:t>
            </w:r>
          </w:p>
        </w:tc>
        <w:tc>
          <w:tcPr>
            <w:tcW w:w="7160" w:type="dxa"/>
            <w:tcMar>
              <w:top w:w="60" w:type="dxa"/>
              <w:left w:w="80" w:type="dxa"/>
              <w:bottom w:w="60" w:type="dxa"/>
              <w:right w:w="80" w:type="dxa"/>
            </w:tcMar>
            <w:vAlign w:val="center"/>
          </w:tcPr>
          <w:p w14:paraId="00A931F4" w14:textId="77777777" w:rsidR="00BC7A6E" w:rsidRPr="00B415C1" w:rsidRDefault="00000000" w:rsidP="00B415C1">
            <w:pPr>
              <w:spacing w:before="20" w:after="20"/>
              <w:jc w:val="both"/>
              <w:rPr>
                <w:rFonts w:ascii="Arial" w:hAnsi="Arial" w:cs="Arial"/>
              </w:rPr>
            </w:pPr>
            <w:r w:rsidRPr="00B415C1">
              <w:rPr>
                <w:rFonts w:ascii="Arial" w:hAnsi="Arial" w:cs="Arial"/>
                <w:color w:val="000000"/>
                <w:sz w:val="20"/>
                <w:szCs w:val="20"/>
              </w:rPr>
              <w:t>Controladores Express y traducción de HTTP.</w:t>
            </w:r>
          </w:p>
        </w:tc>
      </w:tr>
      <w:tr w:rsidR="00BC7A6E" w:rsidRPr="00B415C1" w14:paraId="7B2762B9" w14:textId="77777777">
        <w:tblPrEx>
          <w:tblCellMar>
            <w:top w:w="0" w:type="dxa"/>
            <w:bottom w:w="0" w:type="dxa"/>
          </w:tblCellMar>
        </w:tblPrEx>
        <w:tc>
          <w:tcPr>
            <w:tcW w:w="2200" w:type="dxa"/>
            <w:tcMar>
              <w:top w:w="60" w:type="dxa"/>
              <w:left w:w="80" w:type="dxa"/>
              <w:bottom w:w="60" w:type="dxa"/>
              <w:right w:w="80" w:type="dxa"/>
            </w:tcMar>
            <w:vAlign w:val="center"/>
          </w:tcPr>
          <w:p w14:paraId="487E044C" w14:textId="77777777" w:rsidR="00BC7A6E" w:rsidRPr="00B415C1" w:rsidRDefault="00000000" w:rsidP="00B415C1">
            <w:pPr>
              <w:spacing w:before="20" w:after="20"/>
              <w:jc w:val="both"/>
              <w:rPr>
                <w:rFonts w:ascii="Arial" w:hAnsi="Arial" w:cs="Arial"/>
              </w:rPr>
            </w:pPr>
            <w:proofErr w:type="spellStart"/>
            <w:r w:rsidRPr="00B415C1">
              <w:rPr>
                <w:rFonts w:ascii="Arial" w:hAnsi="Arial" w:cs="Arial"/>
                <w:color w:val="000000"/>
                <w:sz w:val="20"/>
                <w:szCs w:val="20"/>
              </w:rPr>
              <w:t>backend</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src</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adapters</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out</w:t>
            </w:r>
            <w:proofErr w:type="spellEnd"/>
          </w:p>
        </w:tc>
        <w:tc>
          <w:tcPr>
            <w:tcW w:w="7160" w:type="dxa"/>
            <w:tcMar>
              <w:top w:w="60" w:type="dxa"/>
              <w:left w:w="80" w:type="dxa"/>
              <w:bottom w:w="60" w:type="dxa"/>
              <w:right w:w="80" w:type="dxa"/>
            </w:tcMar>
            <w:vAlign w:val="center"/>
          </w:tcPr>
          <w:p w14:paraId="2577ACA8" w14:textId="77777777" w:rsidR="00BC7A6E" w:rsidRPr="00B415C1" w:rsidRDefault="00000000" w:rsidP="00B415C1">
            <w:pPr>
              <w:spacing w:before="20" w:after="20"/>
              <w:jc w:val="both"/>
              <w:rPr>
                <w:rFonts w:ascii="Arial" w:hAnsi="Arial" w:cs="Arial"/>
              </w:rPr>
            </w:pPr>
            <w:r w:rsidRPr="00B415C1">
              <w:rPr>
                <w:rFonts w:ascii="Arial" w:hAnsi="Arial" w:cs="Arial"/>
                <w:color w:val="000000"/>
                <w:sz w:val="20"/>
                <w:szCs w:val="20"/>
              </w:rPr>
              <w:t>MySQL, contraseñas, JWT y la API externa de IA.</w:t>
            </w:r>
          </w:p>
        </w:tc>
      </w:tr>
      <w:tr w:rsidR="00BC7A6E" w:rsidRPr="00B415C1" w14:paraId="671E7AD6" w14:textId="77777777">
        <w:tblPrEx>
          <w:tblCellMar>
            <w:top w:w="0" w:type="dxa"/>
            <w:bottom w:w="0" w:type="dxa"/>
          </w:tblCellMar>
        </w:tblPrEx>
        <w:tc>
          <w:tcPr>
            <w:tcW w:w="2200" w:type="dxa"/>
            <w:tcMar>
              <w:top w:w="60" w:type="dxa"/>
              <w:left w:w="80" w:type="dxa"/>
              <w:bottom w:w="60" w:type="dxa"/>
              <w:right w:w="80" w:type="dxa"/>
            </w:tcMar>
            <w:vAlign w:val="center"/>
          </w:tcPr>
          <w:p w14:paraId="31034E2A" w14:textId="77777777" w:rsidR="00BC7A6E" w:rsidRPr="00B415C1" w:rsidRDefault="00000000" w:rsidP="00B415C1">
            <w:pPr>
              <w:spacing w:before="20" w:after="20"/>
              <w:jc w:val="both"/>
              <w:rPr>
                <w:rFonts w:ascii="Arial" w:hAnsi="Arial" w:cs="Arial"/>
              </w:rPr>
            </w:pPr>
            <w:proofErr w:type="spellStart"/>
            <w:r w:rsidRPr="00B415C1">
              <w:rPr>
                <w:rFonts w:ascii="Arial" w:hAnsi="Arial" w:cs="Arial"/>
                <w:color w:val="000000"/>
                <w:sz w:val="20"/>
                <w:szCs w:val="20"/>
              </w:rPr>
              <w:t>backend</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src</w:t>
            </w:r>
            <w:proofErr w:type="spellEnd"/>
            <w:r w:rsidRPr="00B415C1">
              <w:rPr>
                <w:rFonts w:ascii="Arial" w:hAnsi="Arial" w:cs="Arial"/>
                <w:color w:val="000000"/>
                <w:sz w:val="20"/>
                <w:szCs w:val="20"/>
              </w:rPr>
              <w:t>/</w:t>
            </w:r>
            <w:proofErr w:type="spellStart"/>
            <w:r w:rsidRPr="00B415C1">
              <w:rPr>
                <w:rFonts w:ascii="Arial" w:hAnsi="Arial" w:cs="Arial"/>
                <w:color w:val="000000"/>
                <w:sz w:val="20"/>
                <w:szCs w:val="20"/>
              </w:rPr>
              <w:t>infrastructure</w:t>
            </w:r>
            <w:proofErr w:type="spellEnd"/>
          </w:p>
        </w:tc>
        <w:tc>
          <w:tcPr>
            <w:tcW w:w="7160" w:type="dxa"/>
            <w:tcMar>
              <w:top w:w="60" w:type="dxa"/>
              <w:left w:w="80" w:type="dxa"/>
              <w:bottom w:w="60" w:type="dxa"/>
              <w:right w:w="80" w:type="dxa"/>
            </w:tcMar>
            <w:vAlign w:val="center"/>
          </w:tcPr>
          <w:p w14:paraId="66DA7DF1" w14:textId="77777777" w:rsidR="00BC7A6E" w:rsidRPr="00B415C1" w:rsidRDefault="00000000" w:rsidP="00B415C1">
            <w:pPr>
              <w:spacing w:before="20" w:after="20"/>
              <w:jc w:val="both"/>
              <w:rPr>
                <w:rFonts w:ascii="Arial" w:hAnsi="Arial" w:cs="Arial"/>
              </w:rPr>
            </w:pPr>
            <w:r w:rsidRPr="00B415C1">
              <w:rPr>
                <w:rFonts w:ascii="Arial" w:hAnsi="Arial" w:cs="Arial"/>
                <w:color w:val="000000"/>
                <w:sz w:val="20"/>
                <w:szCs w:val="20"/>
              </w:rPr>
              <w:t>Configuración, inyección de dependencias, semilla y servidor.</w:t>
            </w:r>
          </w:p>
        </w:tc>
      </w:tr>
    </w:tbl>
    <w:p w14:paraId="175B605A"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3. Dominio</w:t>
      </w:r>
    </w:p>
    <w:p w14:paraId="278C12CC"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 xml:space="preserve">Las entidades son Usuario, Productor, Parcela, Lote y </w:t>
      </w:r>
      <w:proofErr w:type="spellStart"/>
      <w:r w:rsidRPr="00B415C1">
        <w:rPr>
          <w:rFonts w:ascii="Arial" w:hAnsi="Arial" w:cs="Arial"/>
          <w:color w:val="000000"/>
        </w:rPr>
        <w:t>AnalisisLote</w:t>
      </w:r>
      <w:proofErr w:type="spellEnd"/>
      <w:r w:rsidRPr="00B415C1">
        <w:rPr>
          <w:rFonts w:ascii="Arial" w:hAnsi="Arial" w:cs="Arial"/>
          <w:color w:val="000000"/>
        </w:rPr>
        <w:t>. Usuario distingue ADMINISTRADOR y PRODUCTOR. El lote del PMV1 permanece en estado REGISTRADO. El código del lote tiene la forma CHNY-AAAA-XXXXXXXX y no se edita.</w:t>
      </w:r>
    </w:p>
    <w:p w14:paraId="43B9D521"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Los objetos de valor protegen datos que no pueden quedar inválidos: correo, documento de identidad (DNI de 8 dígitos o RUC de 11), identificador de lote, fecha de cosecha que no sea futura, kilogramos mayores que cero, área en hectáreas y coordenadas. La altitud, si se informa, debe ser un entero entre 1 y 6000 metros. No se recorta el mapa a un polígono de Chanchamayo.</w:t>
      </w:r>
    </w:p>
    <w:p w14:paraId="4B323598" w14:textId="77777777" w:rsidR="00BC7A6E" w:rsidRPr="00B415C1" w:rsidRDefault="00000000" w:rsidP="00B415C1">
      <w:pPr>
        <w:spacing w:before="60" w:after="60" w:line="276" w:lineRule="auto"/>
        <w:jc w:val="both"/>
        <w:rPr>
          <w:rFonts w:ascii="Arial" w:hAnsi="Arial" w:cs="Arial"/>
        </w:rPr>
      </w:pPr>
      <w:proofErr w:type="spellStart"/>
      <w:r w:rsidRPr="00B415C1">
        <w:rPr>
          <w:rFonts w:ascii="Arial" w:hAnsi="Arial" w:cs="Arial"/>
          <w:color w:val="000000"/>
        </w:rPr>
        <w:t>LoteFactory</w:t>
      </w:r>
      <w:proofErr w:type="spellEnd"/>
      <w:r w:rsidRPr="00B415C1">
        <w:rPr>
          <w:rFonts w:ascii="Arial" w:hAnsi="Arial" w:cs="Arial"/>
          <w:color w:val="000000"/>
        </w:rPr>
        <w:t xml:space="preserve"> crea el lote y genera el código. El dominio no contiene consultas SQL ni llamadas HTTP.</w:t>
      </w:r>
    </w:p>
    <w:p w14:paraId="603EE38E"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4. Puertos y casos de uso</w:t>
      </w:r>
    </w:p>
    <w:p w14:paraId="67ACA888"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lastRenderedPageBreak/>
        <w:t>Los puertos de entrada declaran lo que la aplicación sabe hacer: registrar e iniciar sesión, registrar, listar, actualizar y eliminar productores, parcelas y lotes, consultar un lote y analizarlo. Los controladores solo llaman a esos puertos. No abren MySQL.</w:t>
      </w:r>
    </w:p>
    <w:p w14:paraId="65CA6376"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 xml:space="preserve">Los puertos de salida son las interfaces de repositorio, el registro transaccional de cuenta y productor, el hash de contraseña, el proveedor de token y </w:t>
      </w:r>
      <w:proofErr w:type="spellStart"/>
      <w:r w:rsidRPr="00B415C1">
        <w:rPr>
          <w:rFonts w:ascii="Arial" w:hAnsi="Arial" w:cs="Arial"/>
          <w:color w:val="000000"/>
        </w:rPr>
        <w:t>AIServicePort</w:t>
      </w:r>
      <w:proofErr w:type="spellEnd"/>
      <w:r w:rsidRPr="00B415C1">
        <w:rPr>
          <w:rFonts w:ascii="Arial" w:hAnsi="Arial" w:cs="Arial"/>
          <w:color w:val="000000"/>
        </w:rPr>
        <w:t>. El caso de uso pide “completar un análisis”; no conoce la URL de Gemini.</w:t>
      </w:r>
    </w:p>
    <w:p w14:paraId="2056A1F3"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5. Inyección de dependencias</w:t>
      </w:r>
    </w:p>
    <w:p w14:paraId="368FB953" w14:textId="77777777" w:rsidR="00BC7A6E" w:rsidRPr="00B415C1" w:rsidRDefault="00000000" w:rsidP="00B415C1">
      <w:pPr>
        <w:spacing w:before="60" w:after="60" w:line="276" w:lineRule="auto"/>
        <w:jc w:val="both"/>
        <w:rPr>
          <w:rFonts w:ascii="Arial" w:hAnsi="Arial" w:cs="Arial"/>
        </w:rPr>
      </w:pPr>
      <w:proofErr w:type="spellStart"/>
      <w:r w:rsidRPr="00B415C1">
        <w:rPr>
          <w:rFonts w:ascii="Arial" w:hAnsi="Arial" w:cs="Arial"/>
          <w:color w:val="000000"/>
        </w:rPr>
        <w:t>backend</w:t>
      </w:r>
      <w:proofErr w:type="spellEnd"/>
      <w:r w:rsidRPr="00B415C1">
        <w:rPr>
          <w:rFonts w:ascii="Arial" w:hAnsi="Arial" w:cs="Arial"/>
          <w:color w:val="000000"/>
        </w:rPr>
        <w:t>/</w:t>
      </w:r>
      <w:proofErr w:type="spellStart"/>
      <w:r w:rsidRPr="00B415C1">
        <w:rPr>
          <w:rFonts w:ascii="Arial" w:hAnsi="Arial" w:cs="Arial"/>
          <w:color w:val="000000"/>
        </w:rPr>
        <w:t>src</w:t>
      </w:r>
      <w:proofErr w:type="spellEnd"/>
      <w:r w:rsidRPr="00B415C1">
        <w:rPr>
          <w:rFonts w:ascii="Arial" w:hAnsi="Arial" w:cs="Arial"/>
          <w:color w:val="000000"/>
        </w:rPr>
        <w:t>/</w:t>
      </w:r>
      <w:proofErr w:type="spellStart"/>
      <w:r w:rsidRPr="00B415C1">
        <w:rPr>
          <w:rFonts w:ascii="Arial" w:hAnsi="Arial" w:cs="Arial"/>
          <w:color w:val="000000"/>
        </w:rPr>
        <w:t>infrastructure</w:t>
      </w:r>
      <w:proofErr w:type="spellEnd"/>
      <w:r w:rsidRPr="00B415C1">
        <w:rPr>
          <w:rFonts w:ascii="Arial" w:hAnsi="Arial" w:cs="Arial"/>
          <w:color w:val="000000"/>
        </w:rPr>
        <w:t>/</w:t>
      </w:r>
      <w:proofErr w:type="spellStart"/>
      <w:r w:rsidRPr="00B415C1">
        <w:rPr>
          <w:rFonts w:ascii="Arial" w:hAnsi="Arial" w:cs="Arial"/>
          <w:color w:val="000000"/>
        </w:rPr>
        <w:t>configuration</w:t>
      </w:r>
      <w:proofErr w:type="spellEnd"/>
      <w:r w:rsidRPr="00B415C1">
        <w:rPr>
          <w:rFonts w:ascii="Arial" w:hAnsi="Arial" w:cs="Arial"/>
          <w:color w:val="000000"/>
        </w:rPr>
        <w:t>/</w:t>
      </w:r>
      <w:proofErr w:type="spellStart"/>
      <w:r w:rsidRPr="00B415C1">
        <w:rPr>
          <w:rFonts w:ascii="Arial" w:hAnsi="Arial" w:cs="Arial"/>
          <w:color w:val="000000"/>
        </w:rPr>
        <w:t>container.ts</w:t>
      </w:r>
      <w:proofErr w:type="spellEnd"/>
      <w:r w:rsidRPr="00B415C1">
        <w:rPr>
          <w:rFonts w:ascii="Arial" w:hAnsi="Arial" w:cs="Arial"/>
          <w:color w:val="000000"/>
        </w:rPr>
        <w:t xml:space="preserve"> construye los adaptadores reales y los entrega a los casos de uso. Las pruebas arman el mismo recorrido con repositorios en memoria y una respuesta fija de IA. Así se puede cambiar MySQL o el modelo sin reescribir las reglas.</w:t>
      </w:r>
    </w:p>
    <w:p w14:paraId="42C57B05"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6. Cinco patrones usados</w:t>
      </w:r>
    </w:p>
    <w:p w14:paraId="2D0D4ECD"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r w:rsidRPr="00B415C1">
        <w:rPr>
          <w:rFonts w:ascii="Arial" w:hAnsi="Arial" w:cs="Arial"/>
          <w:color w:val="000000"/>
        </w:rPr>
        <w:t>Repository</w:t>
      </w:r>
      <w:proofErr w:type="spellEnd"/>
      <w:r w:rsidRPr="00B415C1">
        <w:rPr>
          <w:rFonts w:ascii="Arial" w:hAnsi="Arial" w:cs="Arial"/>
          <w:color w:val="000000"/>
        </w:rPr>
        <w:t xml:space="preserve">: los casos de uso guardan y consultan por puertos. </w:t>
      </w:r>
      <w:proofErr w:type="spellStart"/>
      <w:r w:rsidRPr="00B415C1">
        <w:rPr>
          <w:rFonts w:ascii="Arial" w:hAnsi="Arial" w:cs="Arial"/>
          <w:color w:val="000000"/>
        </w:rPr>
        <w:t>MySQLRepositories</w:t>
      </w:r>
      <w:proofErr w:type="spellEnd"/>
      <w:r w:rsidRPr="00B415C1">
        <w:rPr>
          <w:rFonts w:ascii="Arial" w:hAnsi="Arial" w:cs="Arial"/>
          <w:color w:val="000000"/>
        </w:rPr>
        <w:t xml:space="preserve"> los implementa.</w:t>
      </w:r>
    </w:p>
    <w:p w14:paraId="7294DC18"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r w:rsidRPr="00B415C1">
        <w:rPr>
          <w:rFonts w:ascii="Arial" w:hAnsi="Arial" w:cs="Arial"/>
          <w:color w:val="000000"/>
        </w:rPr>
        <w:t>Dependency</w:t>
      </w:r>
      <w:proofErr w:type="spellEnd"/>
      <w:r w:rsidRPr="00B415C1">
        <w:rPr>
          <w:rFonts w:ascii="Arial" w:hAnsi="Arial" w:cs="Arial"/>
          <w:color w:val="000000"/>
        </w:rPr>
        <w:t xml:space="preserve"> </w:t>
      </w:r>
      <w:proofErr w:type="spellStart"/>
      <w:r w:rsidRPr="00B415C1">
        <w:rPr>
          <w:rFonts w:ascii="Arial" w:hAnsi="Arial" w:cs="Arial"/>
          <w:color w:val="000000"/>
        </w:rPr>
        <w:t>Injection</w:t>
      </w:r>
      <w:proofErr w:type="spellEnd"/>
      <w:r w:rsidRPr="00B415C1">
        <w:rPr>
          <w:rFonts w:ascii="Arial" w:hAnsi="Arial" w:cs="Arial"/>
          <w:color w:val="000000"/>
        </w:rPr>
        <w:t>: los constructores reciben interfaces. El contenedor decide la implementación.</w:t>
      </w:r>
    </w:p>
    <w:p w14:paraId="53CC8BD0"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Factory </w:t>
      </w:r>
      <w:proofErr w:type="spellStart"/>
      <w:r w:rsidRPr="00B415C1">
        <w:rPr>
          <w:rFonts w:ascii="Arial" w:hAnsi="Arial" w:cs="Arial"/>
          <w:color w:val="000000"/>
        </w:rPr>
        <w:t>Method</w:t>
      </w:r>
      <w:proofErr w:type="spellEnd"/>
      <w:r w:rsidRPr="00B415C1">
        <w:rPr>
          <w:rFonts w:ascii="Arial" w:hAnsi="Arial" w:cs="Arial"/>
          <w:color w:val="000000"/>
        </w:rPr>
        <w:t xml:space="preserve">: </w:t>
      </w:r>
      <w:proofErr w:type="spellStart"/>
      <w:r w:rsidRPr="00B415C1">
        <w:rPr>
          <w:rFonts w:ascii="Arial" w:hAnsi="Arial" w:cs="Arial"/>
          <w:color w:val="000000"/>
        </w:rPr>
        <w:t>LoteFactory</w:t>
      </w:r>
      <w:proofErr w:type="spellEnd"/>
      <w:r w:rsidRPr="00B415C1">
        <w:rPr>
          <w:rFonts w:ascii="Arial" w:hAnsi="Arial" w:cs="Arial"/>
          <w:color w:val="000000"/>
        </w:rPr>
        <w:t xml:space="preserve"> centraliza la creación del lote y su identificador.</w:t>
      </w:r>
    </w:p>
    <w:p w14:paraId="691C9795"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r w:rsidRPr="00B415C1">
        <w:rPr>
          <w:rFonts w:ascii="Arial" w:hAnsi="Arial" w:cs="Arial"/>
          <w:color w:val="000000"/>
        </w:rPr>
        <w:t>Strategy</w:t>
      </w:r>
      <w:proofErr w:type="spellEnd"/>
      <w:r w:rsidRPr="00B415C1">
        <w:rPr>
          <w:rFonts w:ascii="Arial" w:hAnsi="Arial" w:cs="Arial"/>
          <w:color w:val="000000"/>
        </w:rPr>
        <w:t xml:space="preserve">: si la parcela tiene altitud se usa </w:t>
      </w:r>
      <w:proofErr w:type="spellStart"/>
      <w:r w:rsidRPr="00B415C1">
        <w:rPr>
          <w:rFonts w:ascii="Arial" w:hAnsi="Arial" w:cs="Arial"/>
          <w:color w:val="000000"/>
        </w:rPr>
        <w:t>EstrategiaConAltitud</w:t>
      </w:r>
      <w:proofErr w:type="spellEnd"/>
      <w:r w:rsidRPr="00B415C1">
        <w:rPr>
          <w:rFonts w:ascii="Arial" w:hAnsi="Arial" w:cs="Arial"/>
          <w:color w:val="000000"/>
        </w:rPr>
        <w:t xml:space="preserve">; si no, </w:t>
      </w:r>
      <w:proofErr w:type="spellStart"/>
      <w:r w:rsidRPr="00B415C1">
        <w:rPr>
          <w:rFonts w:ascii="Arial" w:hAnsi="Arial" w:cs="Arial"/>
          <w:color w:val="000000"/>
        </w:rPr>
        <w:t>EstrategiaSinAltitud</w:t>
      </w:r>
      <w:proofErr w:type="spellEnd"/>
      <w:r w:rsidRPr="00B415C1">
        <w:rPr>
          <w:rFonts w:ascii="Arial" w:hAnsi="Arial" w:cs="Arial"/>
          <w:color w:val="000000"/>
        </w:rPr>
        <w:t>. Sin altitud, la confianza del dominio no pasa de MEDIA.</w:t>
      </w:r>
    </w:p>
    <w:p w14:paraId="08F013FC"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r w:rsidRPr="00B415C1">
        <w:rPr>
          <w:rFonts w:ascii="Arial" w:hAnsi="Arial" w:cs="Arial"/>
          <w:color w:val="000000"/>
        </w:rPr>
        <w:t>Adapter</w:t>
      </w:r>
      <w:proofErr w:type="spellEnd"/>
      <w:r w:rsidRPr="00B415C1">
        <w:rPr>
          <w:rFonts w:ascii="Arial" w:hAnsi="Arial" w:cs="Arial"/>
          <w:color w:val="000000"/>
        </w:rPr>
        <w:t xml:space="preserve">: </w:t>
      </w:r>
      <w:proofErr w:type="spellStart"/>
      <w:r w:rsidRPr="00B415C1">
        <w:rPr>
          <w:rFonts w:ascii="Arial" w:hAnsi="Arial" w:cs="Arial"/>
          <w:color w:val="000000"/>
        </w:rPr>
        <w:t>ExternalAIAdapter</w:t>
      </w:r>
      <w:proofErr w:type="spellEnd"/>
      <w:r w:rsidRPr="00B415C1">
        <w:rPr>
          <w:rFonts w:ascii="Arial" w:hAnsi="Arial" w:cs="Arial"/>
          <w:color w:val="000000"/>
        </w:rPr>
        <w:t xml:space="preserve"> traduce </w:t>
      </w:r>
      <w:proofErr w:type="spellStart"/>
      <w:r w:rsidRPr="00B415C1">
        <w:rPr>
          <w:rFonts w:ascii="Arial" w:hAnsi="Arial" w:cs="Arial"/>
          <w:color w:val="000000"/>
        </w:rPr>
        <w:t>AIServicePort</w:t>
      </w:r>
      <w:proofErr w:type="spellEnd"/>
      <w:r w:rsidRPr="00B415C1">
        <w:rPr>
          <w:rFonts w:ascii="Arial" w:hAnsi="Arial" w:cs="Arial"/>
          <w:color w:val="000000"/>
        </w:rPr>
        <w:t xml:space="preserve"> a la API compatible con </w:t>
      </w:r>
      <w:proofErr w:type="spellStart"/>
      <w:r w:rsidRPr="00B415C1">
        <w:rPr>
          <w:rFonts w:ascii="Arial" w:hAnsi="Arial" w:cs="Arial"/>
          <w:color w:val="000000"/>
        </w:rPr>
        <w:t>OpenAI</w:t>
      </w:r>
      <w:proofErr w:type="spellEnd"/>
      <w:r w:rsidRPr="00B415C1">
        <w:rPr>
          <w:rFonts w:ascii="Arial" w:hAnsi="Arial" w:cs="Arial"/>
          <w:color w:val="000000"/>
        </w:rPr>
        <w:t>. Los controladores traducen HTTP a comandos.</w:t>
      </w:r>
    </w:p>
    <w:p w14:paraId="7D3B70C0"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7. Inteligencia artificial dentro de la arquitectura</w:t>
      </w:r>
    </w:p>
    <w:p w14:paraId="6C617D85" w14:textId="77777777" w:rsidR="00BC7A6E" w:rsidRPr="00B415C1" w:rsidRDefault="00000000" w:rsidP="00B415C1">
      <w:pPr>
        <w:spacing w:before="60" w:after="60" w:line="276" w:lineRule="auto"/>
        <w:jc w:val="both"/>
        <w:rPr>
          <w:rFonts w:ascii="Arial" w:hAnsi="Arial" w:cs="Arial"/>
        </w:rPr>
      </w:pPr>
      <w:proofErr w:type="spellStart"/>
      <w:r w:rsidRPr="00B415C1">
        <w:rPr>
          <w:rFonts w:ascii="Arial" w:hAnsi="Arial" w:cs="Arial"/>
          <w:color w:val="000000"/>
        </w:rPr>
        <w:t>AnalizarLote</w:t>
      </w:r>
      <w:proofErr w:type="spellEnd"/>
      <w:r w:rsidRPr="00B415C1">
        <w:rPr>
          <w:rFonts w:ascii="Arial" w:hAnsi="Arial" w:cs="Arial"/>
          <w:color w:val="000000"/>
        </w:rPr>
        <w:t xml:space="preserve"> carga el lote, la parcela y el productor. El selector elige la estrategia. El puerto de IA devuelve clasificación, resumen y observaciones. El dominio calcula la confianza. Si la respuesta no trae una clasificación válida, no se guarda. El resultado válido se persiste en </w:t>
      </w:r>
      <w:proofErr w:type="spellStart"/>
      <w:r w:rsidRPr="00B415C1">
        <w:rPr>
          <w:rFonts w:ascii="Arial" w:hAnsi="Arial" w:cs="Arial"/>
          <w:color w:val="000000"/>
        </w:rPr>
        <w:t>analisis_lotes</w:t>
      </w:r>
      <w:proofErr w:type="spellEnd"/>
      <w:r w:rsidRPr="00B415C1">
        <w:rPr>
          <w:rFonts w:ascii="Arial" w:hAnsi="Arial" w:cs="Arial"/>
          <w:color w:val="000000"/>
        </w:rPr>
        <w:t xml:space="preserve"> para consultarlo después sin repetir la llamada.</w:t>
      </w:r>
    </w:p>
    <w:p w14:paraId="7319363F"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 xml:space="preserve">La clave viaja en el encabezado </w:t>
      </w:r>
      <w:proofErr w:type="spellStart"/>
      <w:r w:rsidRPr="00B415C1">
        <w:rPr>
          <w:rFonts w:ascii="Arial" w:hAnsi="Arial" w:cs="Arial"/>
          <w:color w:val="000000"/>
        </w:rPr>
        <w:t>Authorization</w:t>
      </w:r>
      <w:proofErr w:type="spellEnd"/>
      <w:r w:rsidRPr="00B415C1">
        <w:rPr>
          <w:rFonts w:ascii="Arial" w:hAnsi="Arial" w:cs="Arial"/>
          <w:color w:val="000000"/>
        </w:rPr>
        <w:t xml:space="preserve"> del </w:t>
      </w:r>
      <w:proofErr w:type="spellStart"/>
      <w:r w:rsidRPr="00B415C1">
        <w:rPr>
          <w:rFonts w:ascii="Arial" w:hAnsi="Arial" w:cs="Arial"/>
          <w:color w:val="000000"/>
        </w:rPr>
        <w:t>backend</w:t>
      </w:r>
      <w:proofErr w:type="spellEnd"/>
      <w:r w:rsidRPr="00B415C1">
        <w:rPr>
          <w:rFonts w:ascii="Arial" w:hAnsi="Arial" w:cs="Arial"/>
          <w:color w:val="000000"/>
        </w:rPr>
        <w:t xml:space="preserve"> hacia Gemini. El </w:t>
      </w:r>
      <w:proofErr w:type="spellStart"/>
      <w:r w:rsidRPr="00B415C1">
        <w:rPr>
          <w:rFonts w:ascii="Arial" w:hAnsi="Arial" w:cs="Arial"/>
          <w:color w:val="000000"/>
        </w:rPr>
        <w:t>frontend</w:t>
      </w:r>
      <w:proofErr w:type="spellEnd"/>
      <w:r w:rsidRPr="00B415C1">
        <w:rPr>
          <w:rFonts w:ascii="Arial" w:hAnsi="Arial" w:cs="Arial"/>
          <w:color w:val="000000"/>
        </w:rPr>
        <w:t xml:space="preserve"> nunca la recibe. Los datos enviados al modelo no incluyen documento, correo ni contraseña.</w:t>
      </w:r>
    </w:p>
    <w:p w14:paraId="2943147C"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t>8. Relaciones que mantienen la coherencia</w:t>
      </w:r>
    </w:p>
    <w:p w14:paraId="0D75ADCB"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proofErr w:type="gramStart"/>
      <w:r w:rsidRPr="00B415C1">
        <w:rPr>
          <w:rFonts w:ascii="Arial" w:hAnsi="Arial" w:cs="Arial"/>
          <w:color w:val="000000"/>
        </w:rPr>
        <w:t>parcelas.productor</w:t>
      </w:r>
      <w:proofErr w:type="gramEnd"/>
      <w:r w:rsidRPr="00B415C1">
        <w:rPr>
          <w:rFonts w:ascii="Arial" w:hAnsi="Arial" w:cs="Arial"/>
          <w:color w:val="000000"/>
        </w:rPr>
        <w:t>_id</w:t>
      </w:r>
      <w:proofErr w:type="spellEnd"/>
      <w:r w:rsidRPr="00B415C1">
        <w:rPr>
          <w:rFonts w:ascii="Arial" w:hAnsi="Arial" w:cs="Arial"/>
          <w:color w:val="000000"/>
        </w:rPr>
        <w:t xml:space="preserve"> apunta a </w:t>
      </w:r>
      <w:proofErr w:type="spellStart"/>
      <w:r w:rsidRPr="00B415C1">
        <w:rPr>
          <w:rFonts w:ascii="Arial" w:hAnsi="Arial" w:cs="Arial"/>
          <w:color w:val="000000"/>
        </w:rPr>
        <w:t>productores.id</w:t>
      </w:r>
      <w:proofErr w:type="spellEnd"/>
      <w:r w:rsidRPr="00B415C1">
        <w:rPr>
          <w:rFonts w:ascii="Arial" w:hAnsi="Arial" w:cs="Arial"/>
          <w:color w:val="000000"/>
        </w:rPr>
        <w:t>.</w:t>
      </w:r>
    </w:p>
    <w:p w14:paraId="769908EE"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proofErr w:type="gramStart"/>
      <w:r w:rsidRPr="00B415C1">
        <w:rPr>
          <w:rFonts w:ascii="Arial" w:hAnsi="Arial" w:cs="Arial"/>
          <w:color w:val="000000"/>
        </w:rPr>
        <w:t>lotes.parcela</w:t>
      </w:r>
      <w:proofErr w:type="gramEnd"/>
      <w:r w:rsidRPr="00B415C1">
        <w:rPr>
          <w:rFonts w:ascii="Arial" w:hAnsi="Arial" w:cs="Arial"/>
          <w:color w:val="000000"/>
        </w:rPr>
        <w:t>_id</w:t>
      </w:r>
      <w:proofErr w:type="spellEnd"/>
      <w:r w:rsidRPr="00B415C1">
        <w:rPr>
          <w:rFonts w:ascii="Arial" w:hAnsi="Arial" w:cs="Arial"/>
          <w:color w:val="000000"/>
        </w:rPr>
        <w:t xml:space="preserve"> apunta a </w:t>
      </w:r>
      <w:proofErr w:type="spellStart"/>
      <w:r w:rsidRPr="00B415C1">
        <w:rPr>
          <w:rFonts w:ascii="Arial" w:hAnsi="Arial" w:cs="Arial"/>
          <w:color w:val="000000"/>
        </w:rPr>
        <w:t>parcelas.id</w:t>
      </w:r>
      <w:proofErr w:type="spellEnd"/>
      <w:r w:rsidRPr="00B415C1">
        <w:rPr>
          <w:rFonts w:ascii="Arial" w:hAnsi="Arial" w:cs="Arial"/>
          <w:color w:val="000000"/>
        </w:rPr>
        <w:t>.</w:t>
      </w:r>
    </w:p>
    <w:p w14:paraId="67F87789" w14:textId="77777777" w:rsidR="00BC7A6E" w:rsidRPr="00B415C1" w:rsidRDefault="00000000" w:rsidP="00B415C1">
      <w:pPr>
        <w:spacing w:before="40" w:after="40" w:line="276" w:lineRule="auto"/>
        <w:ind w:left="420" w:hanging="280"/>
        <w:jc w:val="both"/>
        <w:rPr>
          <w:rFonts w:ascii="Arial" w:hAnsi="Arial" w:cs="Arial"/>
        </w:rPr>
      </w:pPr>
      <w:r w:rsidRPr="00B415C1">
        <w:rPr>
          <w:rFonts w:ascii="Arial" w:hAnsi="Arial" w:cs="Arial"/>
          <w:color w:val="000000"/>
        </w:rPr>
        <w:t xml:space="preserve">• </w:t>
      </w:r>
      <w:proofErr w:type="spellStart"/>
      <w:r w:rsidRPr="00B415C1">
        <w:rPr>
          <w:rFonts w:ascii="Arial" w:hAnsi="Arial" w:cs="Arial"/>
          <w:color w:val="000000"/>
        </w:rPr>
        <w:t>analisis_</w:t>
      </w:r>
      <w:proofErr w:type="gramStart"/>
      <w:r w:rsidRPr="00B415C1">
        <w:rPr>
          <w:rFonts w:ascii="Arial" w:hAnsi="Arial" w:cs="Arial"/>
          <w:color w:val="000000"/>
        </w:rPr>
        <w:t>lotes.lote</w:t>
      </w:r>
      <w:proofErr w:type="gramEnd"/>
      <w:r w:rsidRPr="00B415C1">
        <w:rPr>
          <w:rFonts w:ascii="Arial" w:hAnsi="Arial" w:cs="Arial"/>
          <w:color w:val="000000"/>
        </w:rPr>
        <w:t>_id</w:t>
      </w:r>
      <w:proofErr w:type="spellEnd"/>
      <w:r w:rsidRPr="00B415C1">
        <w:rPr>
          <w:rFonts w:ascii="Arial" w:hAnsi="Arial" w:cs="Arial"/>
          <w:color w:val="000000"/>
        </w:rPr>
        <w:t xml:space="preserve"> apunta a </w:t>
      </w:r>
      <w:proofErr w:type="spellStart"/>
      <w:r w:rsidRPr="00B415C1">
        <w:rPr>
          <w:rFonts w:ascii="Arial" w:hAnsi="Arial" w:cs="Arial"/>
          <w:color w:val="000000"/>
        </w:rPr>
        <w:t>lotes.id</w:t>
      </w:r>
      <w:proofErr w:type="spellEnd"/>
      <w:r w:rsidRPr="00B415C1">
        <w:rPr>
          <w:rFonts w:ascii="Arial" w:hAnsi="Arial" w:cs="Arial"/>
          <w:color w:val="000000"/>
        </w:rPr>
        <w:t>.</w:t>
      </w:r>
    </w:p>
    <w:p w14:paraId="420EC452"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El nombre del productor no se copia como texto dentro de la parcela ni del lote. Las pantallas lo obtienen por el identificador. Por eso, al cambiar el nombre del productor, parcelas y lotes muestran el nombre nuevo en la siguiente consulta. No hay borrado en cascada: un productor con parcelas, o una parcela con lotes, no se elimina. Al eliminar un lote, el caso de uso borra antes sus análisis para no dejar registros huérfanos.</w:t>
      </w:r>
    </w:p>
    <w:p w14:paraId="4B8E59CD" w14:textId="77777777" w:rsidR="00BC7A6E" w:rsidRPr="00B415C1" w:rsidRDefault="00000000" w:rsidP="00B415C1">
      <w:pPr>
        <w:spacing w:before="240" w:after="80" w:line="276" w:lineRule="auto"/>
        <w:jc w:val="both"/>
        <w:rPr>
          <w:rFonts w:ascii="Arial" w:hAnsi="Arial" w:cs="Arial"/>
        </w:rPr>
      </w:pPr>
      <w:r w:rsidRPr="00B415C1">
        <w:rPr>
          <w:rFonts w:ascii="Arial" w:hAnsi="Arial" w:cs="Arial"/>
          <w:b/>
          <w:bCs/>
          <w:color w:val="000000"/>
          <w:sz w:val="26"/>
          <w:szCs w:val="26"/>
        </w:rPr>
        <w:lastRenderedPageBreak/>
        <w:t xml:space="preserve">9. </w:t>
      </w:r>
      <w:proofErr w:type="spellStart"/>
      <w:r w:rsidRPr="00B415C1">
        <w:rPr>
          <w:rFonts w:ascii="Arial" w:hAnsi="Arial" w:cs="Arial"/>
          <w:b/>
          <w:bCs/>
          <w:color w:val="000000"/>
          <w:sz w:val="26"/>
          <w:szCs w:val="26"/>
        </w:rPr>
        <w:t>Frontend</w:t>
      </w:r>
      <w:proofErr w:type="spellEnd"/>
    </w:p>
    <w:p w14:paraId="2F17E969" w14:textId="77777777" w:rsidR="00BC7A6E" w:rsidRPr="00B415C1" w:rsidRDefault="00000000" w:rsidP="00B415C1">
      <w:pPr>
        <w:spacing w:before="60" w:after="60" w:line="276" w:lineRule="auto"/>
        <w:jc w:val="both"/>
        <w:rPr>
          <w:rFonts w:ascii="Arial" w:hAnsi="Arial" w:cs="Arial"/>
        </w:rPr>
      </w:pPr>
      <w:r w:rsidRPr="00B415C1">
        <w:rPr>
          <w:rFonts w:ascii="Arial" w:hAnsi="Arial" w:cs="Arial"/>
          <w:color w:val="000000"/>
        </w:rPr>
        <w:t xml:space="preserve">Angular queda fuera del hexágono del </w:t>
      </w:r>
      <w:proofErr w:type="spellStart"/>
      <w:r w:rsidRPr="00B415C1">
        <w:rPr>
          <w:rFonts w:ascii="Arial" w:hAnsi="Arial" w:cs="Arial"/>
          <w:color w:val="000000"/>
        </w:rPr>
        <w:t>backend</w:t>
      </w:r>
      <w:proofErr w:type="spellEnd"/>
      <w:r w:rsidRPr="00B415C1">
        <w:rPr>
          <w:rFonts w:ascii="Arial" w:hAnsi="Arial" w:cs="Arial"/>
          <w:color w:val="000000"/>
        </w:rPr>
        <w:t xml:space="preserve">. Sus pantallas están en </w:t>
      </w:r>
      <w:proofErr w:type="spellStart"/>
      <w:r w:rsidRPr="00B415C1">
        <w:rPr>
          <w:rFonts w:ascii="Arial" w:hAnsi="Arial" w:cs="Arial"/>
          <w:color w:val="000000"/>
        </w:rPr>
        <w:t>frontend</w:t>
      </w:r>
      <w:proofErr w:type="spellEnd"/>
      <w:r w:rsidRPr="00B415C1">
        <w:rPr>
          <w:rFonts w:ascii="Arial" w:hAnsi="Arial" w:cs="Arial"/>
          <w:color w:val="000000"/>
        </w:rPr>
        <w:t>/</w:t>
      </w:r>
      <w:proofErr w:type="spellStart"/>
      <w:r w:rsidRPr="00B415C1">
        <w:rPr>
          <w:rFonts w:ascii="Arial" w:hAnsi="Arial" w:cs="Arial"/>
          <w:color w:val="000000"/>
        </w:rPr>
        <w:t>src</w:t>
      </w:r>
      <w:proofErr w:type="spellEnd"/>
      <w:r w:rsidRPr="00B415C1">
        <w:rPr>
          <w:rFonts w:ascii="Arial" w:hAnsi="Arial" w:cs="Arial"/>
          <w:color w:val="000000"/>
        </w:rPr>
        <w:t>/app/</w:t>
      </w:r>
      <w:proofErr w:type="spellStart"/>
      <w:r w:rsidRPr="00B415C1">
        <w:rPr>
          <w:rFonts w:ascii="Arial" w:hAnsi="Arial" w:cs="Arial"/>
          <w:color w:val="000000"/>
        </w:rPr>
        <w:t>features</w:t>
      </w:r>
      <w:proofErr w:type="spellEnd"/>
      <w:r w:rsidRPr="00B415C1">
        <w:rPr>
          <w:rFonts w:ascii="Arial" w:hAnsi="Arial" w:cs="Arial"/>
          <w:color w:val="000000"/>
        </w:rPr>
        <w:t xml:space="preserve">: autenticación, inicio, productores, parcelas, lotes, detalle de lote y análisis. El servicio </w:t>
      </w:r>
      <w:proofErr w:type="spellStart"/>
      <w:r w:rsidRPr="00B415C1">
        <w:rPr>
          <w:rFonts w:ascii="Arial" w:hAnsi="Arial" w:cs="Arial"/>
          <w:color w:val="000000"/>
        </w:rPr>
        <w:t>frontend</w:t>
      </w:r>
      <w:proofErr w:type="spellEnd"/>
      <w:r w:rsidRPr="00B415C1">
        <w:rPr>
          <w:rFonts w:ascii="Arial" w:hAnsi="Arial" w:cs="Arial"/>
          <w:color w:val="000000"/>
        </w:rPr>
        <w:t>/</w:t>
      </w:r>
      <w:proofErr w:type="spellStart"/>
      <w:r w:rsidRPr="00B415C1">
        <w:rPr>
          <w:rFonts w:ascii="Arial" w:hAnsi="Arial" w:cs="Arial"/>
          <w:color w:val="000000"/>
        </w:rPr>
        <w:t>src</w:t>
      </w:r>
      <w:proofErr w:type="spellEnd"/>
      <w:r w:rsidRPr="00B415C1">
        <w:rPr>
          <w:rFonts w:ascii="Arial" w:hAnsi="Arial" w:cs="Arial"/>
          <w:color w:val="000000"/>
        </w:rPr>
        <w:t>/app/</w:t>
      </w:r>
      <w:proofErr w:type="spellStart"/>
      <w:r w:rsidRPr="00B415C1">
        <w:rPr>
          <w:rFonts w:ascii="Arial" w:hAnsi="Arial" w:cs="Arial"/>
          <w:color w:val="000000"/>
        </w:rPr>
        <w:t>core</w:t>
      </w:r>
      <w:proofErr w:type="spellEnd"/>
      <w:r w:rsidRPr="00B415C1">
        <w:rPr>
          <w:rFonts w:ascii="Arial" w:hAnsi="Arial" w:cs="Arial"/>
          <w:color w:val="000000"/>
        </w:rPr>
        <w:t>/</w:t>
      </w:r>
      <w:proofErr w:type="spellStart"/>
      <w:r w:rsidRPr="00B415C1">
        <w:rPr>
          <w:rFonts w:ascii="Arial" w:hAnsi="Arial" w:cs="Arial"/>
          <w:color w:val="000000"/>
        </w:rPr>
        <w:t>api.service.ts</w:t>
      </w:r>
      <w:proofErr w:type="spellEnd"/>
      <w:r w:rsidRPr="00B415C1">
        <w:rPr>
          <w:rFonts w:ascii="Arial" w:hAnsi="Arial" w:cs="Arial"/>
          <w:color w:val="000000"/>
        </w:rPr>
        <w:t xml:space="preserve"> es el único que llama a la API. El token de sesión se guarda en </w:t>
      </w:r>
      <w:proofErr w:type="spellStart"/>
      <w:r w:rsidRPr="00B415C1">
        <w:rPr>
          <w:rFonts w:ascii="Arial" w:hAnsi="Arial" w:cs="Arial"/>
          <w:color w:val="000000"/>
        </w:rPr>
        <w:t>sessionStorage</w:t>
      </w:r>
      <w:proofErr w:type="spellEnd"/>
      <w:r w:rsidRPr="00B415C1">
        <w:rPr>
          <w:rFonts w:ascii="Arial" w:hAnsi="Arial" w:cs="Arial"/>
          <w:color w:val="000000"/>
        </w:rPr>
        <w:t>.</w:t>
      </w:r>
    </w:p>
    <w:sectPr w:rsidR="00BC7A6E" w:rsidRPr="00B415C1">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C7A6E"/>
    <w:rsid w:val="00B415C1"/>
    <w:rsid w:val="00BC7A6E"/>
    <w:rsid w:val="00F04B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05D7"/>
  <w15:docId w15:val="{B476CA9C-D027-4A51-B49B-B99CBD55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4076</Characters>
  <Application>Microsoft Office Word</Application>
  <DocSecurity>0</DocSecurity>
  <Lines>33</Lines>
  <Paragraphs>9</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Malu Gamarra</cp:lastModifiedBy>
  <cp:revision>2</cp:revision>
  <dcterms:created xsi:type="dcterms:W3CDTF">2026-09-25T07:37:00Z</dcterms:created>
  <dcterms:modified xsi:type="dcterms:W3CDTF">2026-09-25T07:38:00Z</dcterms:modified>
</cp:coreProperties>
</file>