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2C0A2" w14:textId="77777777" w:rsidR="00CE6D08" w:rsidRPr="00576C9D" w:rsidRDefault="00000000" w:rsidP="00576C9D">
      <w:pPr>
        <w:spacing w:after="80" w:line="276" w:lineRule="auto"/>
        <w:jc w:val="center"/>
        <w:rPr>
          <w:rFonts w:ascii="Arial" w:hAnsi="Arial" w:cs="Arial"/>
        </w:rPr>
      </w:pPr>
      <w:r w:rsidRPr="00576C9D">
        <w:rPr>
          <w:rFonts w:ascii="Arial" w:hAnsi="Arial" w:cs="Arial"/>
          <w:b/>
          <w:bCs/>
          <w:color w:val="000000"/>
          <w:sz w:val="32"/>
          <w:szCs w:val="32"/>
        </w:rPr>
        <w:t>PMV funcional</w:t>
      </w:r>
    </w:p>
    <w:p w14:paraId="7F050CBF" w14:textId="77777777" w:rsidR="00CE6D08" w:rsidRPr="00576C9D" w:rsidRDefault="00000000" w:rsidP="00576C9D">
      <w:pPr>
        <w:spacing w:after="200" w:line="276" w:lineRule="auto"/>
        <w:jc w:val="center"/>
        <w:rPr>
          <w:rFonts w:ascii="Arial" w:hAnsi="Arial" w:cs="Arial"/>
        </w:rPr>
      </w:pPr>
      <w:r w:rsidRPr="00576C9D">
        <w:rPr>
          <w:rFonts w:ascii="Arial" w:hAnsi="Arial" w:cs="Arial"/>
          <w:b/>
          <w:bCs/>
          <w:color w:val="000000"/>
        </w:rPr>
        <w:t>Validación del problema y de la solución inicial</w:t>
      </w:r>
    </w:p>
    <w:p w14:paraId="7FC6EC00"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 xml:space="preserve">El problema que atiende este incremento es la dificultad para garantizar una trazabilidad integrada y verificable de los lotes de café amazónico de Chanchamayo. El PMV1 permite registrar usuarios, productores, parcelas y lotes, consultarlos, editarlos cuando la regla lo permite y pedir un indicador preliminar de coherencia del registro. No implementa </w:t>
      </w:r>
      <w:proofErr w:type="spellStart"/>
      <w:r w:rsidRPr="00576C9D">
        <w:rPr>
          <w:rFonts w:ascii="Arial" w:hAnsi="Arial" w:cs="Arial"/>
          <w:color w:val="000000"/>
        </w:rPr>
        <w:t>blockchain</w:t>
      </w:r>
      <w:proofErr w:type="spellEnd"/>
      <w:r w:rsidRPr="00576C9D">
        <w:rPr>
          <w:rFonts w:ascii="Arial" w:hAnsi="Arial" w:cs="Arial"/>
          <w:color w:val="000000"/>
        </w:rPr>
        <w:t xml:space="preserve">, contratos, </w:t>
      </w:r>
      <w:proofErr w:type="spellStart"/>
      <w:r w:rsidRPr="00576C9D">
        <w:rPr>
          <w:rFonts w:ascii="Arial" w:hAnsi="Arial" w:cs="Arial"/>
          <w:color w:val="000000"/>
        </w:rPr>
        <w:t>Polygon</w:t>
      </w:r>
      <w:proofErr w:type="spellEnd"/>
      <w:r w:rsidRPr="00576C9D">
        <w:rPr>
          <w:rFonts w:ascii="Arial" w:hAnsi="Arial" w:cs="Arial"/>
          <w:color w:val="000000"/>
        </w:rPr>
        <w:t>, eventos de cadena ni código QR. Esos temas quedan para PMV2 y PMV3.</w:t>
      </w:r>
    </w:p>
    <w:p w14:paraId="0D58BC81"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1. Qué se puede demostrar</w:t>
      </w:r>
    </w:p>
    <w:p w14:paraId="2044681F"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Registro público de un productor e inicio de sesión con token.</w:t>
      </w:r>
    </w:p>
    <w:p w14:paraId="7B5B3D22"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 administrador registra, edita y consulta productores.</w:t>
      </w:r>
    </w:p>
    <w:p w14:paraId="76453351"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 productor registra y edita sus parcelas y sus lotes.</w:t>
      </w:r>
    </w:p>
    <w:p w14:paraId="57CE8EE7"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La consulta de un lote muestra productor, parcela, datos del lote y el último análisis, si existe.</w:t>
      </w:r>
    </w:p>
    <w:p w14:paraId="2A4D2416"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 análisis de IA clasifica el registro como COHERENTE, REVISAR o INSUFICIENTE y explica el resultado.</w:t>
      </w:r>
    </w:p>
    <w:p w14:paraId="6C6E369B"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La pantalla de análisis se actualiza sola cada cinco segundos mientras permanece abierta.</w:t>
      </w:r>
    </w:p>
    <w:p w14:paraId="5B31D79C"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2. Historias de usuario</w:t>
      </w:r>
    </w:p>
    <w:p w14:paraId="22296CE4"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HU-001. Como usuario autorizado necesito registrarme e iniciar sesión para acceder de forma segura. Si el correo no existe y los datos son válidos, se crea el usuario PRODUCTOR y su ficha. Si las credenciales son válidas, recibe un token. Si no lo son, el acceso se rechaza.</w:t>
      </w:r>
    </w:p>
    <w:p w14:paraId="2A432BEA"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HU-002. Como administrador necesito registrar y gestionar productores. Un productor autenticado no puede registrar otros productores. Al editar, cambian nombre, teléfono u organización; el documento se conserva.</w:t>
      </w:r>
    </w:p>
    <w:p w14:paraId="6DF8759D"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HU-003. Como productor necesito registrar mi parcela y asociarla a mi producción. No puedo usar el identificador de otro productor. No puedo repetir el mismo nombre de parcela para el mismo productor.</w:t>
      </w:r>
    </w:p>
    <w:p w14:paraId="6FC4FE6B"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HU-004. Como productor necesito registrar un lote asociado a una parcela. El sistema genera el código único y relaciona el lote con la parcela. Al consultarlo se ven el lote, la parcela y el productor.</w:t>
      </w:r>
    </w:p>
    <w:p w14:paraId="73614EC5"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3. Recorrido de la demostración</w:t>
      </w:r>
    </w:p>
    <w:p w14:paraId="7717DE2A"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xml:space="preserve">• Inicie sesión en </w:t>
      </w:r>
      <w:proofErr w:type="gramStart"/>
      <w:r w:rsidRPr="00576C9D">
        <w:rPr>
          <w:rFonts w:ascii="Arial" w:hAnsi="Arial" w:cs="Arial"/>
          <w:color w:val="000000"/>
        </w:rPr>
        <w:t>http://localhost:4200 .</w:t>
      </w:r>
      <w:proofErr w:type="gramEnd"/>
    </w:p>
    <w:p w14:paraId="69B2E22C"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En Productores, el administrador ve la ficha y puede editarla. El nombre nuevo aparece en Parcelas y en Lotes porque esas pantallas consultan al productor por su identificador.</w:t>
      </w:r>
    </w:p>
    <w:p w14:paraId="0E9BA800"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lastRenderedPageBreak/>
        <w:t>• En Parcelas, registre o edite nombre, distrito, localidad, hectáreas y altitud. El listado se actualiza sin recargar el navegador con F5.</w:t>
      </w:r>
    </w:p>
    <w:p w14:paraId="0488BEB4"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En Lotes, registre cosecha, kilogramos, variedad y observaciones. El código queda en solo lectura. Al consultar el lote se ve la cadena productor, parcela y lote.</w:t>
      </w:r>
    </w:p>
    <w:p w14:paraId="0D08A36F"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En Análisis IA, elija el lote y pulse Analizar lote. Mientras espera, el estado dice PROCESANDO. Al terminar, muestra la clasificación, la confianza, el resumen y las observaciones, y la hora de la última actualización.</w:t>
      </w:r>
    </w:p>
    <w:p w14:paraId="1F729AF7"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4. Indicador de inteligencia artificial</w:t>
      </w:r>
    </w:p>
    <w:p w14:paraId="0AAFADB5"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El indicador no certifica calidad de taza ni origen. Revisa si los datos ya guardados del registro inicial se sostienen entre sí. Recibe código, variedad, fecha, kilogramos, observaciones, parcela, distrito, localidad, área, altitud si existe, nombre del productor y organización. La confianza BAJA, MEDIA o ALTA la calcula el dominio, no el modelo. Si la parcela no tiene altitud, la confianza no supera MEDIA.</w:t>
      </w:r>
    </w:p>
    <w:p w14:paraId="10A7A02B"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 xml:space="preserve">El resultado válido se guarda en </w:t>
      </w:r>
      <w:proofErr w:type="spellStart"/>
      <w:r w:rsidRPr="00576C9D">
        <w:rPr>
          <w:rFonts w:ascii="Arial" w:hAnsi="Arial" w:cs="Arial"/>
          <w:color w:val="000000"/>
        </w:rPr>
        <w:t>analisis_lotes</w:t>
      </w:r>
      <w:proofErr w:type="spellEnd"/>
      <w:r w:rsidRPr="00576C9D">
        <w:rPr>
          <w:rFonts w:ascii="Arial" w:hAnsi="Arial" w:cs="Arial"/>
          <w:color w:val="000000"/>
        </w:rPr>
        <w:t>. La consulta posterior no vuelve a llamar a la API. Si se edita la parcela o el lote, el siguiente análisis usa los valores actuales de MySQL.</w:t>
      </w:r>
    </w:p>
    <w:p w14:paraId="09B859EE"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5. Integridad al eliminar</w:t>
      </w:r>
    </w:p>
    <w:p w14:paraId="005EBDCE"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Eliminar un productor pregunta confirmación. Si tiene parcelas, no se borra y se informa que tiene parcelas asociadas. No se borran parcelas ni lotes en silencio.</w:t>
      </w:r>
    </w:p>
    <w:p w14:paraId="4DA4401B"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Eliminar una parcela pregunta confirmación. Si tiene lotes, no se borra y se informa que tiene registros asociados.</w:t>
      </w:r>
    </w:p>
    <w:p w14:paraId="313C3576"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Eliminar un lote pregunta confirmación. Si se confirma, desaparece de Lotes y de Análisis IA. Sus análisis se eliminan junto con él para no dejar un análisis de un lote inexistente.</w:t>
      </w:r>
    </w:p>
    <w:p w14:paraId="6DDBB613" w14:textId="77777777" w:rsidR="00CE6D08" w:rsidRPr="00576C9D" w:rsidRDefault="00000000" w:rsidP="00576C9D">
      <w:pPr>
        <w:spacing w:before="240" w:after="80" w:line="276" w:lineRule="auto"/>
        <w:jc w:val="both"/>
        <w:rPr>
          <w:rFonts w:ascii="Arial" w:hAnsi="Arial" w:cs="Arial"/>
        </w:rPr>
      </w:pPr>
      <w:r w:rsidRPr="00576C9D">
        <w:rPr>
          <w:rFonts w:ascii="Arial" w:hAnsi="Arial" w:cs="Arial"/>
          <w:b/>
          <w:bCs/>
          <w:color w:val="000000"/>
          <w:sz w:val="26"/>
          <w:szCs w:val="26"/>
        </w:rPr>
        <w:t>6. Lo que este PMV no incluye</w:t>
      </w:r>
    </w:p>
    <w:p w14:paraId="20E4D850"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xml:space="preserve">• Eventos de trazabilidad en cadena, </w:t>
      </w:r>
      <w:proofErr w:type="spellStart"/>
      <w:r w:rsidRPr="00576C9D">
        <w:rPr>
          <w:rFonts w:ascii="Arial" w:hAnsi="Arial" w:cs="Arial"/>
          <w:color w:val="000000"/>
        </w:rPr>
        <w:t>blockchain</w:t>
      </w:r>
      <w:proofErr w:type="spellEnd"/>
      <w:r w:rsidRPr="00576C9D">
        <w:rPr>
          <w:rFonts w:ascii="Arial" w:hAnsi="Arial" w:cs="Arial"/>
          <w:color w:val="000000"/>
        </w:rPr>
        <w:t>, billetera o contratos inteligentes.</w:t>
      </w:r>
    </w:p>
    <w:p w14:paraId="064B2DA3"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Código QR y validación pública del lote.</w:t>
      </w:r>
    </w:p>
    <w:p w14:paraId="0D227F04"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Estados del lote distintos de REGISTRADO.</w:t>
      </w:r>
    </w:p>
    <w:p w14:paraId="7F6F63C9" w14:textId="77777777" w:rsidR="00CE6D08" w:rsidRPr="00576C9D" w:rsidRDefault="00000000" w:rsidP="00576C9D">
      <w:pPr>
        <w:spacing w:before="40" w:after="40" w:line="276" w:lineRule="auto"/>
        <w:ind w:left="420" w:hanging="280"/>
        <w:jc w:val="both"/>
        <w:rPr>
          <w:rFonts w:ascii="Arial" w:hAnsi="Arial" w:cs="Arial"/>
        </w:rPr>
      </w:pPr>
      <w:r w:rsidRPr="00576C9D">
        <w:rPr>
          <w:rFonts w:ascii="Arial" w:hAnsi="Arial" w:cs="Arial"/>
          <w:color w:val="000000"/>
        </w:rPr>
        <w:t>• Certificación oficial de calidad.</w:t>
      </w:r>
    </w:p>
    <w:p w14:paraId="6F542415" w14:textId="77777777" w:rsidR="00CE6D08" w:rsidRPr="00576C9D" w:rsidRDefault="00000000" w:rsidP="00576C9D">
      <w:pPr>
        <w:spacing w:before="60" w:after="60" w:line="276" w:lineRule="auto"/>
        <w:jc w:val="both"/>
        <w:rPr>
          <w:rFonts w:ascii="Arial" w:hAnsi="Arial" w:cs="Arial"/>
        </w:rPr>
      </w:pPr>
      <w:r w:rsidRPr="00576C9D">
        <w:rPr>
          <w:rFonts w:ascii="Arial" w:hAnsi="Arial" w:cs="Arial"/>
          <w:color w:val="000000"/>
        </w:rPr>
        <w:t>Esas funciones no se simulan con datos falsos. Las cifras del tablero salen de los registros guardados: cantidad de productores, parcelas, lotes y suma de kilogramos.</w:t>
      </w:r>
    </w:p>
    <w:sectPr w:rsidR="00CE6D08" w:rsidRPr="00576C9D">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E6D08"/>
    <w:rsid w:val="00576C9D"/>
    <w:rsid w:val="00CE6D08"/>
    <w:rsid w:val="00DA741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0819"/>
  <w15:docId w15:val="{FF966ACC-AB3E-4E82-8DE2-4778244B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3603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Malu Gamarra</cp:lastModifiedBy>
  <cp:revision>2</cp:revision>
  <dcterms:created xsi:type="dcterms:W3CDTF">2026-09-25T07:38:00Z</dcterms:created>
  <dcterms:modified xsi:type="dcterms:W3CDTF">2026-09-25T07:38:00Z</dcterms:modified>
</cp:coreProperties>
</file>