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54fef426184a5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Line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per country</w:t>
      </w: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e46a61aef70444b" /><Relationship Type="http://schemas.openxmlformats.org/officeDocument/2006/relationships/numbering" Target="/word/numbering.xml" Id="R355b161b9eb04f46" /><Relationship Type="http://schemas.openxmlformats.org/officeDocument/2006/relationships/settings" Target="/word/settings.xml" Id="Rfd049f0be3464f6c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USA</c:v>
                </c:pt>
              </c:strCache>
            </c:strRef>
          </c:tx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110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/>
              <c:strCache>
                <c:pt idx="0">
                  <c:v>Canada</c:v>
                </c:pt>
              </c:strCache>
            </c:strRef>
          </c:tx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150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l"/>
      <c:overlay val="0"/>
    </c:legend>
    <c:plotVisOnly val="1"/>
    <c:dispBlanksAs val="gap"/>
    <c:showDLblsOverMax val="0"/>
  </c:chart>
</c:chartSpace>
</file>