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0ff9c534bd42f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0"/>
        <w:jc w:val="center"/>
      </w:pP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Toms Telecom Annual report</w:t>
      </w:r>
      <w:r>
        <w:rPr>
          <w:b/>
          <w:sz w:val="70"/>
          <w:szCs w:val="70"/>
        </w:rPr>
        <w:br/>
      </w:r>
      <w:r>
        <w:rPr>
          <w:b/>
          <w:sz w:val="70"/>
          <w:szCs w:val="70"/>
        </w:rPr>
        <w:t>2016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Sales were 11% greater in 2016 compared to 2015, with the usual drop during spring time.</w:t>
      </w:r>
    </w:p>
    <w:p>
      <w:r>
        <w:br w:type="page"/>
      </w:r>
    </w:p>
    <w:p>
      <w:pPr>
        <w:spacing w:after="3000"/>
      </w:pP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2"/>
              </a:graphicData>
            </a:graphic>
          </wp:inline>
        </w:drawing>
      </w:r>
    </w:p>
    <w:p>
      <w:pPr>
        <w:spacing w:before="700"/>
      </w:pPr>
      <w:r>
        <w:rPr>
          <w:lang w:val="en-US"/>
        </w:rPr>
        <w:t>The number of calls received was much lower in 2016 compared to 2015, by 31%. Winter is still the busiest time of year.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77848e5e4f1f4fe0"/>
      <w:headerReference w:type="first" r:id="Ra29a378666834780"/>
      <w:headerReference w:type="default" r:id="R0dba46ce65d64840"/>
      <w:footerReference w:type="even" r:id="Re3cddff028314c1a"/>
      <w:footerReference w:type="first" r:id="Ra7edae8b176246cf"/>
      <w:footerReference w:type="default" r:id="R89cf8e6f7f6a4605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>
            <w:spacing w:before="100"/>
          </w:pPr>
          <w:r>
            <w:rPr>
              <w:color w:val="FFFFFF"/>
            </w:rPr>
            <w:t>Toms Telecom 2016</w:t>
          </w:r>
        </w:p>
      </w:tc>
      <w:tc>
        <w:tcPr>
          <w:tcW w:w="2310" w:type="pct"/>
        </w:tcPr>
        <w:p>
          <w:pPr>
            <w:jc w:val="right"/>
          </w:pPr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85750"/>
                <wp:effectExtent l="0" t="0" r="0" b="0"/>
                <wp:wrapNone/>
                <wp:docPr id="2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59fb77a379dd4c0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ColorfulGrid"/>
      <w:tblW w:w="5000" w:type="pct"/>
      <w:tblLook w:val="04A0"/>
    </w:tblPr>
    <w:tblGrid>
      <w:gridCol w:w="2310"/>
      <w:gridCol w:w="2310"/>
    </w:tblGrid>
    <w:tr>
      <w:tc>
        <w:tcPr>
          <w:tcW w:w="2310" w:type="pct"/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 simplePos="0" relativeHeight="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52500" cy="285750"/>
                <wp:effectExtent l="0" t="0" r="0" b="0"/>
                <wp:wrapNone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60513504f2c4b5f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2310" w:type="pct"/>
        </w:tcPr>
        <w:p>
          <w:pPr>
            <w:spacing w:before="100"/>
            <w:jc w:val="right"/>
          </w:pPr>
          <w:r>
            <w:rPr>
              <w:color w:val="FFFFFF"/>
            </w:rPr>
            <w:t>Toms Telecom Annual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">
    <w:name w:val="Colorful Grid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d533eddcf6f4da7" /><Relationship Type="http://schemas.openxmlformats.org/officeDocument/2006/relationships/numbering" Target="/word/numbering.xml" Id="R2dbb9a912a774323" /><Relationship Type="http://schemas.openxmlformats.org/officeDocument/2006/relationships/settings" Target="/word/settings.xml" Id="R390cb9b9c5cb4110" /><Relationship Type="http://schemas.openxmlformats.org/officeDocument/2006/relationships/header" Target="/word/header1.xml" Id="R77848e5e4f1f4fe0" /><Relationship Type="http://schemas.openxmlformats.org/officeDocument/2006/relationships/header" Target="/word/header2.xml" Id="Ra29a378666834780" /><Relationship Type="http://schemas.openxmlformats.org/officeDocument/2006/relationships/header" Target="/word/header3.xml" Id="R0dba46ce65d64840" /><Relationship Type="http://schemas.openxmlformats.org/officeDocument/2006/relationships/footer" Target="/word/footer1.xml" Id="Re3cddff028314c1a" /><Relationship Type="http://schemas.openxmlformats.org/officeDocument/2006/relationships/footer" Target="/word/footer2.xml" Id="Ra7edae8b176246cf" /><Relationship Type="http://schemas.openxmlformats.org/officeDocument/2006/relationships/footer" Target="/word/footer3.xml" Id="R89cf8e6f7f6a4605" /><Relationship Type="http://schemas.openxmlformats.org/officeDocument/2006/relationships/image" Target="/word/media/1106faa4-c20b-4d21-bcad-28ee560506a8.png" Id="R83dc6952773f43d2" /><Relationship Type="http://schemas.openxmlformats.org/officeDocument/2006/relationships/chart" Target="/word/charts/chart1.xml" Id="rId1" /><Relationship Type="http://schemas.openxmlformats.org/officeDocument/2006/relationships/chart" Target="/word/charts/chart2.xml" Id="rId2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image" Target="/word/media/1106faa4-c20b-4d21-bcad-28ee560506a8.png" Id="R59fb77a379dd4c02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1106faa4-c20b-4d21-bcad-28ee560506a8.png" Id="R860513504f2c4b5f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Sales Per Month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2500</c:v>
                </c:pt>
                <c:pt idx="1">
                  <c:v>3000</c:v>
                </c:pt>
                <c:pt idx="2">
                  <c:v>2850</c:v>
                </c:pt>
                <c:pt idx="3">
                  <c:v>1050</c:v>
                </c:pt>
                <c:pt idx="4">
                  <c:v>1200</c:v>
                </c:pt>
                <c:pt idx="5">
                  <c:v>2900</c:v>
                </c:pt>
                <c:pt idx="6">
                  <c:v>3450</c:v>
                </c:pt>
                <c:pt idx="7">
                  <c:v>3800</c:v>
                </c:pt>
                <c:pt idx="8">
                  <c:v>2900</c:v>
                </c:pt>
                <c:pt idx="9">
                  <c:v>2600</c:v>
                </c:pt>
                <c:pt idx="10">
                  <c:v>3000</c:v>
                </c:pt>
                <c:pt idx="11">
                  <c:v>2500</c:v>
                </c:pt>
              </c:numCache>
            </c:numRef>
          </c:val>
        </c:ser>
      </c:bar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Call Number Per Month</c:v>
                </c:pt>
              </c:strCache>
            </c:strRef>
          </c:tx>
          <c:invertIfNegative>0</c:invertIfNegative>
          <c:cat>
            <c:strRef>
              <c:f/>
              <c:strCache>
                <c:ptCount val="12"/>
                <c:pt idx="0">
                  <c:v>Jan</c:v>
                </c:pt>
                <c:pt idx="1">
                  <c:v>Fev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/>
              <c:numCache>
                <c:formatCode>General</c:formatCode>
                <c:ptCount val="12"/>
                <c:pt idx="0">
                  <c:v>1200</c:v>
                </c:pt>
                <c:pt idx="1">
                  <c:v>1400</c:v>
                </c:pt>
                <c:pt idx="2">
                  <c:v>400</c:v>
                </c:pt>
                <c:pt idx="3">
                  <c:v>50</c:v>
                </c:pt>
                <c:pt idx="4">
                  <c:v>220</c:v>
                </c:pt>
                <c:pt idx="5">
                  <c:v>400</c:v>
                </c:pt>
                <c:pt idx="6">
                  <c:v>880</c:v>
                </c:pt>
                <c:pt idx="7">
                  <c:v>220</c:v>
                </c:pt>
                <c:pt idx="8">
                  <c:v>550</c:v>
                </c:pt>
                <c:pt idx="9">
                  <c:v>790</c:v>
                </c:pt>
                <c:pt idx="10">
                  <c:v>990</c:v>
                </c:pt>
                <c:pt idx="11">
                  <c:v>1300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