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 w:line="360" w:lineRule="auto"/>
        <w:jc w:val="center"/>
      </w:pPr>
      <w:r>
        <w:rPr>
          <w:b/>
          <w:rFonts w:ascii="黑体" w:hAnsi="黑体" w:eastAsia="黑体"/>
          <w:sz w:val="44"/>
          <w:szCs w:val="44"/>
        </w:rPr>
        <w:t>案件分析报告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sz w:val="24"/>
          <w:szCs w:val="24"/>
        </w:rPr>
        <w:t>恒信建材诉华远装饰买卖合同纠纷 · 被告方立场 · 全模块分析</w:t>
      </w:r>
    </w:p>
    <w:p>
      <w:pPr>
        <w:spacing w:after="60" w:line="360" w:lineRule="auto"/>
        <w:jc w:val="left"/>
      </w:pPr>
      <w:r>
        <w:rPr>
          <w:b/>
          <w:rFonts w:ascii="黑体" w:hAnsi="黑体" w:eastAsia="黑体"/>
          <w:sz w:val="24"/>
          <w:szCs w:val="24"/>
        </w:rPr>
        <w:t>我方立场：</w:t>
      </w:r>
      <w:r>
        <w:rPr>
          <w:rFonts w:ascii="宋体" w:hAnsi="宋体" w:eastAsia="宋体"/>
          <w:sz w:val="24"/>
          <w:szCs w:val="24"/>
        </w:rPr>
        <w:t>被告方（华远装饰工程有限公司）</w:t>
      </w:r>
    </w:p>
    <w:p>
      <w:pPr>
        <w:spacing w:after="60" w:line="360" w:lineRule="auto"/>
        <w:jc w:val="left"/>
      </w:pPr>
      <w:r>
        <w:rPr>
          <w:b/>
          <w:rFonts w:ascii="黑体" w:hAnsi="黑体" w:eastAsia="黑体"/>
          <w:sz w:val="24"/>
          <w:szCs w:val="24"/>
        </w:rPr>
        <w:t>分析侧重：</w:t>
      </w:r>
      <w:r>
        <w:rPr>
          <w:rFonts w:ascii="宋体" w:hAnsi="宋体" w:eastAsia="宋体"/>
          <w:sz w:val="24"/>
          <w:szCs w:val="24"/>
        </w:rPr>
        <w:t>全模块完整分析</w:t>
      </w:r>
    </w:p>
    <w:p>
      <w:pPr>
        <w:spacing w:after="60" w:line="360" w:lineRule="auto"/>
        <w:jc w:val="left"/>
      </w:pPr>
      <w:r>
        <w:rPr>
          <w:b/>
          <w:rFonts w:ascii="黑体" w:hAnsi="黑体" w:eastAsia="黑体"/>
          <w:sz w:val="24"/>
          <w:szCs w:val="24"/>
        </w:rPr>
        <w:t>材料清单：</w:t>
      </w:r>
      <w:r>
        <w:rPr>
          <w:rFonts w:ascii="宋体" w:hAnsi="宋体" w:eastAsia="宋体"/>
          <w:sz w:val="24"/>
          <w:szCs w:val="24"/>
        </w:rPr>
        <w:t>民事起诉状（原告提交）／《瓷砖等建材采购合同》关键条款与对账记录／微信沟通记录与往来函件摘录</w:t>
      </w:r>
    </w:p>
    <w:p>
      <w:pPr>
        <w:spacing w:after="60" w:line="360" w:lineRule="auto"/>
        <w:jc w:val="left"/>
      </w:pPr>
      <w:r>
        <w:rPr>
          <w:b/>
          <w:rFonts w:ascii="黑体" w:hAnsi="黑体" w:eastAsia="黑体"/>
          <w:sz w:val="24"/>
          <w:szCs w:val="24"/>
        </w:rPr>
        <w:t>生成日期：</w:t>
      </w:r>
      <w:r>
        <w:rPr>
          <w:rFonts w:ascii="宋体" w:hAnsi="宋体" w:eastAsia="宋体"/>
          <w:sz w:val="24"/>
          <w:szCs w:val="24"/>
        </w:rPr>
        <w:t>2026-08-28</w:t>
      </w:r>
    </w:p>
    <w:p>
      <w:pPr>
        <w:spacing w:after="60" w:line="360" w:lineRule="auto"/>
        <w:jc w:val="left"/>
      </w:pPr>
      <w:r>
        <w:rPr>
          <w:b/>
          <w:rFonts w:ascii="黑体" w:hAnsi="黑体" w:eastAsia="黑体"/>
          <w:sz w:val="24"/>
          <w:szCs w:val="24"/>
        </w:rPr>
        <w:t>案件编号：</w:t>
      </w:r>
      <w:r>
        <w:rPr>
          <w:rFonts w:ascii="宋体" w:hAnsi="宋体" w:eastAsia="宋体"/>
          <w:sz w:val="24"/>
          <w:szCs w:val="24"/>
        </w:rPr>
        <w:t>未提供（待补充）</w:t>
      </w:r>
    </w:p>
    <w:p>
      <w:pPr>
        <w:spacing w:after="120" w:line="360" w:lineRule="auto"/>
        <w:jc w:val="both"/>
      </w:pPr>
    </w:p>
    <w:p>
      <w:pPr>
        <w:spacing w:after="100" w:line="360" w:lineRule="auto"/>
        <w:jc w:val="left"/>
      </w:pPr>
      <w:r>
        <w:rPr>
          <w:b/>
          <w:rFonts w:ascii="黑体" w:hAnsi="黑体" w:eastAsia="黑体"/>
          <w:sz w:val="30"/>
          <w:szCs w:val="30"/>
        </w:rPr>
        <w:t>一、案件概况与事实梳理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3. 事实三分：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（一）双方无争议事实：合同签订及其核心条款；五批供货累计876,000元且已开票（对接群确认过发货数量）；被告已付款400,000元（2024-05-20、07-05各200,000元）；欠付货款476,000元；原告三次催告及被告未回应；被告2024-09-10发函主张折价120,000元、原告09-15回函拒绝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（二）争议事实：①第三、四批瓷砖是否存在色差与尺寸偏差及程度（被告主张、无检测依据，原告否认）；②空鼓是否系瓷砖本身质量缺陷（被告项目经理称货有问题，原告主张系铺贴工艺问题，双方均无检测或鉴定支撑，且空鼓对应批次不明——2024-06-18提出时尚在第三批7日异议期内，亦可能针对已铺贴的第一、二批）；③微信提出空鼓是否构成合同第四条所称书面质量异议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（三）材料未覆盖的待查事实：各批签收／验收记录（货到日、验收确认、有无质量备注）；报价单内容；空鼓现场影像与铺贴工艺、基层处理记录；催告函与两函送达凭证；被告付款银行回单；开票及抵扣记录；签约人授权情况；是否存在其他口头约定（分期、以物抵债、返工补偿等）。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日期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事件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来源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是否争议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2024-03-06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签订《瓷砖等建材采购合同》：第一条按订单供货、第四条货到后7日内书面质量异议（逾期视为合格）、第五条货到验收后30日内付款、第八条逾期按日万分之五付违约金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合同条款摘录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无争议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2024-04-12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第一批供货186,000元（已开票），付款期限约2024-05-12届满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对账记录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数量无争议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2024-05-08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第二批供货142,000元（已开票），付款期限约2024-06-07届满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对账记录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数量无争议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2024-05-20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被告付款200,000元（先抵第一批186,000元及第二批14,000元）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对账记录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无争议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2024-06-15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第三批供货224,000元（已开票），付款期限约2024-07-15届满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对账记录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数量无争议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2024-06-18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被告项目经理刘某在对接群提出三楼瓷砖空鼓、货有问题；原告销售王某回复空鼓多系铺贴砂浆不饱满或基层处理不当所致，建议查施工工艺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微信摘录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争议（质量是否成立、对应批次不明）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2024-06-20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刘某称先记录、到时候再说；此后至2024年8月双方未再就空鼓问题正式交涉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微信摘录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事实本身无争议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2024-07-05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被告付款200,000元（先抵第二批余128,000元及第三批72,000元）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对账记录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无争议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2024-07-22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第四批供货158,000元（已开票），付款期限约2024-08-21届满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对账记录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数量无争议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2024-08-19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第五批供货166,000元（已开票），付款期限约2024-09-18届满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对账记录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数量无争议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2024-09-02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原告第一次《付款催告函》，被告未付款亦未书面回应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催款记录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无争议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2024-09-10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被告发《关于瓷砖质量问题的函》：称第三、四批存在色差与尺寸偏差，要求退货折价120,000元，否则不予支付剩余货款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往来函件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2024-09-15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原告《回函》：第三批6-15、第四批7-22签收，均已超过合同第四条7日书面异议期；色差尺寸偏差无检测依据，不予认可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往来函件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2024-10-15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原告第二次《付款催告函》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催款记录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无争议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2024-11-06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原告第三次《付款催告函》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催款记录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无争议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2024-11-18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原告起诉：诉请货款476,000元＋违约金95,200元（日万分之五暂计至起诉日）＋诉讼费由被告承担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起诉状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</w:tr>
    </w:tbl>
    <w:p>
      <w:pPr>
        <w:spacing w:after="80" w:line="360" w:lineRule="auto"/>
        <w:jc w:val="both"/>
      </w:pPr>
    </w:p>
    <w:p>
      <w:pPr>
        <w:spacing w:after="100" w:line="360" w:lineRule="auto"/>
        <w:jc w:val="left"/>
      </w:pPr>
      <w:r>
        <w:rPr>
          <w:b/>
          <w:rFonts w:ascii="黑体" w:hAnsi="黑体" w:eastAsia="黑体"/>
          <w:sz w:val="30"/>
          <w:szCs w:val="30"/>
        </w:rPr>
        <w:t>二、法律关系分析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1. 主法律关系：买卖合同（《民法典》第五百九十五条：出卖人转移标的物所有权、买受人支付价款的合同）。构成要件：①主体适格（两公司均具法人资格）；②标的物为瓷砖等建材（种类物）；③对价约定（按双方确认报价单执行）；④交付与付款互为对待给付。本案原告已交付五批货物，各批付款期限（货到验收后30日）均已届满，被告欠付476,000元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2. 从法律关系与关联关系：本案无担保、保证、连带责任等从法律关系。合同签署与履行通过双方人员（项目经理刘某、销售王某）在项目对接群进行，若合同非由法定代表人签署，需核实签署人授权（职务行为／表见代理认定），实践中一般认可，此项风险低。被告系装饰施工企业，将瓷砖用于装修工程不影响买卖合同定性，不适用建设工程施工合同特别规则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3. 竞合与选择：本案不存在违约与侵权请求权竞合。需特别区分：质量瑕疵救济（《民法典》第五百八十二条：修理、更换、退货、减价或赔偿损失）与付款义务是两条路径——质量瑕疵成立与否并不消灭已届期的付款义务，被告若主张质量减价，应通过抗辩或反诉提出并承担举证责任（可能涉及司法鉴定）。路径建议：以抗辩主张减价＋调解折价为主，而非拒付到底。</w:t>
      </w:r>
    </w:p>
    <w:p>
      <w:pPr>
        <w:spacing w:after="100" w:line="360" w:lineRule="auto"/>
        <w:jc w:val="left"/>
      </w:pPr>
      <w:r>
        <w:rPr>
          <w:b/>
          <w:rFonts w:ascii="黑体" w:hAnsi="黑体" w:eastAsia="黑体"/>
          <w:sz w:val="30"/>
          <w:szCs w:val="30"/>
        </w:rPr>
        <w:t>三、争议焦点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焦点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类型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双方主张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权重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1. 质量异议是否成立（空鼓＋第三、四批色差与尺寸偏差），能否支持退货折价120,000元并抵减货款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事实焦点为主、法律焦点为辅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原告：第三、四批签收已远超7日书面异议期，视为质量合格；空鼓系铺贴工艺问题，且无检测依据。被告：货物存在质量问题，已发函主张折价，否则拒付剩余货款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高（直接决定476,000元是否扣减120,000元及违约金起算）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2. 逾期付款违约金数额：基数、起算点及是否过高应予酌减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法律焦点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原告：按未付款项日万分之五计至起诉日为95,200元。被告：原告计算方式错误（基数含已付款项、起算点早于应付日、未分批计算），且日万分之五折合年化18.25%过高，请求酌减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高（决定95,200元能否成立及支持幅度）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3. 欠付货款本金476,000元是否成立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事实焦点（争议性低）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原告：对账＋开票＋付款记录。被告：对数量与已付款无争议，仅以质量折价抗辩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4. 微信提出空鼓是否构成合同第四条书面质量异议，是否阻却检验期间经过的法律效果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法律焦点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原告：未按约定方式在7日内提出书面异议，视为合格；且空鼓与色差尺寸偏差系不同主张。被告：微信记录属数据电文（《民法典》第四百六十九条），已及时提出异议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</w:t>
            </w:r>
          </w:p>
        </w:tc>
      </w:tr>
    </w:tbl>
    <w:p>
      <w:pPr>
        <w:spacing w:after="80" w:line="360" w:lineRule="auto"/>
        <w:jc w:val="both"/>
      </w:pPr>
    </w:p>
    <w:p>
      <w:pPr>
        <w:spacing w:after="100" w:line="360" w:lineRule="auto"/>
        <w:jc w:val="left"/>
      </w:pPr>
      <w:r>
        <w:rPr>
          <w:b/>
          <w:rFonts w:ascii="黑体" w:hAnsi="黑体" w:eastAsia="黑体"/>
          <w:sz w:val="30"/>
          <w:szCs w:val="30"/>
        </w:rPr>
        <w:t>四、证据审查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1. 举证责任分配：原告就合同成立生效、已交付、欠款数额承担举证责任（《民事诉讼法》第六十七条、《民诉法解释》第九十、九十一条），其提交合同、对账记录（数量经群确认）、开票与付款记录即可完成初步举证，被告确认供货数量与已付款后，欠付476,000元基本坐实；被告就质量瑕疵及拒付正当性承担举证责任，就检验期间经过之例外（出卖人明知瑕疵，《民法典》第六百二十一条第三款）亦由被告举证；违约金过高酌减的主张由被告举证过分高于损失（《合同编通则解释》第六十四、六十五条），法院综合衡量，原告可反证约定合理性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2. 逐份证据三性审查（第7-11项为材料未提供证据，基于常规形态作假设性评估并明示假设）：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立即调取并保存银行付款回单（2024-05-20、07-05两笔各200,000元），固定已付400,000元事实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保全微信原始载体（手机不清理聊天记录、完整导出并公证），证明2024-06-18已即时提出空鼓异议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调取施工日志、铺贴班组记录、基层验收资料，证明空鼓系砂浆不饱满或基层问题（若属实则与货物质量无关）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若坚持质量抗辩：委托有资质检测机构对留样／现场瓷砖检测（色差、尺寸偏差对照国标GB/T 4100），并评估是否申请司法鉴定（预交鉴定费、耗时数月、结论不确定，慎用）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调取各批送货签收单存根，核对货到日与验收日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收集被告资金成本与正常履约记录（两笔付款均按期），证明原告实际损失仅为资金占用损失（LPR），违约金明显过高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催告函、质量函的EMS面单与查询记录，固定函件往来与送达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证据名称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举证方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真实性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合法性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关联性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证明力评估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《瓷砖等建材采购合同》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待核对原件与签署页（双方各执一份，一般无争议）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高（合同关系、异议期、付款与违约金条款的直接依据）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高：核心证据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对账记录（原告财务整理）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部分：数量经对接群确认可信，金额系单方制作需与开票、回单印证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中高：欠款数额的定量证据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微信沟通记录（对接群）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原告／被告均可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需原始载体（手机）当庭核对，导出件易被质疑完整性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中高（依法取证的电子数据可采）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高（空鼓异议提出过程、催告沟通）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中：对双方均有利有弊——被告曾提出质量异议的唯一书面痕迹，亦是原告主张未在7日内正式书面异议的佐证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付款催告函×3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需送达凭证（EMS面单、签收记录）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高（催告与被告消极态度）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中：证明催告事实，佐证拒付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被告《关于瓷砖质量问题的函》（2024-09-10）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被告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被告留存原件，需送达凭证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高（质量主张的书面载体）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中：单方主张，无检测依据，证明力有限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原告《回函》（2024-09-15）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需送达凭证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中高：锁定检验期抗辩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送货单／签收单／验收记录（材料外）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待核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高（货到日、验收日决定付款期限与违约金起算点）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关键缺口：各批货到验收后30日的准确起算依据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付款凭证（银行回单，材料外）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被告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被告掌握，高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高：证明已付400,000元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报价单（材料外）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双方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待核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高（单价依据）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中高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空鼓现场照片／视频／检测报告（材料外）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被告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待核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中（取证合规性）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中：若系第三方检测，可实质改变质量抗辩强弱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开票记录及进项抵扣（材料外）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税务系统可查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中：佐证供货金额</w:t>
            </w:r>
          </w:p>
        </w:tc>
      </w:tr>
    </w:tbl>
    <w:p>
      <w:pPr>
        <w:spacing w:after="80" w:line="360" w:lineRule="auto"/>
        <w:jc w:val="both"/>
      </w:pPr>
    </w:p>
    <w:p>
      <w:pPr>
        <w:spacing w:after="100" w:line="360" w:lineRule="auto"/>
        <w:jc w:val="left"/>
      </w:pPr>
      <w:r>
        <w:rPr>
          <w:b/>
          <w:rFonts w:ascii="黑体" w:hAnsi="黑体" w:eastAsia="黑体"/>
          <w:sz w:val="30"/>
          <w:szCs w:val="30"/>
        </w:rPr>
        <w:t>五、请求权基础分析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3. 抗辩权检视：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（一）检验期间抗辩（对被告最不利）：合同第四条约定7日书面异议期，第三、四批签收后原告09-15回函即援引。依《民法典》第六百二十一条第一款，被告怠于通知视为质量符合约定；色差、尺寸偏差属外观瑕疵，7日期限通常不认定过短（《买卖合同司法解释》第二十条的调整以约定的检验期间短到难以完成检验为前提，本案不适用）。唯一例外是出卖人知道或应当知道瑕疵（第三款），被告难以举证。结论：被告质量抗辩成立可能性低（预估10%-20%）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（二）空鼓问题的特殊性：2024-06-18微信群即时提出，早于第三批异议期届满日（6-22），若空鼓对应第三批且微信被认定构成书面异议，该批异议未逾期；但①空鼓成因未鉴定，原告已指出施工工艺可能；②被告06-20称先记录再说，至8月未再交涉，09-10函又转而主张色差尺寸偏差，主张前后不一致；③若空鼓对应第一、二批（6-18时已铺贴至三楼，第一、二批付款期限早已届满），则更接近已验收合格后使用。结论：空鼓抗辩证据薄弱、性质存疑，不宜作为主防线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（三）同时履行／先履行抗辩（《民法典》第五百二十五、五百二十六条）：被告为后履行方，原告已履行交付义务，被告无抗辩空间；质量问题只能通过减价、退货、赔偿等路径主张，不能永久拒付。结论：不成立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（四）违约金酌减（《民法典》第五百八十五条第二款、《合同编通则解释》第六十五条）：日万分之五折合年化18.25%，对照2024年11月一年期LPR 3.1%（现约3.0%）明显偏高；参照无约定情形按LPR加计30%-50%计算逾期损失的裁判基准，法院大概率酌减，常见调整区间为LPR的1.3-1.5倍至四倍之间——按本案分段计算基数，对应违约金约0.5万-1.5万元区间；最坏情形为按约全额支持21,670元。结论：酌减成立可能性较高，是本案被告最有力的防御点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（五）诉讼时效：交易发生于2024年、起诉于2024-11-18，未超三年（《民法典》第一百八十八条）。结论：不成立，无需主张。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请求权基础／要件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案件事实对应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证据支撑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涵摄结论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货款请求权（民法典626条）：①买卖合同有效成立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2024-03-06签约，双方无争议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合同文本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满足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②出卖人已交付标的物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五批累计876,000元，数量经群确认、已开票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合同＋对账＋开票（签收单待补）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满足（签收单补强）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③付款期限届满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各批货到验收后30日：最早2024-05-12、最晚2024-09-18均已届满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合同第五条＋签收记录（待查）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满足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④买受人未支付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仅付400,000元，余476,000元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付款回单（被告掌握）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满足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违约金请求权（民法典577条＋585条＋合同第八条）：①逾期付款事实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自各批应付日次日起持续逾期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同上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满足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②违约金计算正确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按全额476,000元计至2024-11-18得出95,200元（相当于自2024-05-02起算，早于任何应付日），但各批付款期限分批届满，应按各批未付额自各批逾期日起分段计算——按货到日为基准约计21,670元（第三批9,576＋第四批7,031＋第五批5,063），起算点依实际验收日微调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合同第五条、第八条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不满足（计算错误，需纠正）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③违约金不过分高于损失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日万分之五折合年化18.25%，为同期1年期LPR（3.1%）约5.9倍，亦超过LPR四倍（12.4%），明显高于资金占用损失（按LPR计约3,700元）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LPR公告；原告损失证据（无）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存疑→酌减空间大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被告质量减价抗辩（民法典617条、582条、621条）：①货物质量不符合约定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被告主张色差、尺寸偏差、空鼓，无检测依据；空鼓成因指向施工工艺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质量函＋微信（无检测报告）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存疑（无证据支撑）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②在检验期间内提出异议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第三批签收6-15、第四批7-22，至9-10才书面提出，远超7日；微信空鼓异议是否构成书面存争议且未继续交涉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合同第四条＋微信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不满足（视为质量合格，621条第一款）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③检验期间过短或出卖人明知瑕疵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色差、尺寸偏差属外观瑕疵，7日检验期通常被认定合理；无原告明知瑕疵的证据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不满足（例外难以适用）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④减价数额120,000元合理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无评估、无检测、无折价依据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—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不满足（数额无据）</w:t>
            </w:r>
          </w:p>
        </w:tc>
      </w:tr>
    </w:tbl>
    <w:p>
      <w:pPr>
        <w:spacing w:after="80" w:line="360" w:lineRule="auto"/>
        <w:jc w:val="both"/>
      </w:pPr>
    </w:p>
    <w:p>
      <w:pPr>
        <w:spacing w:after="100" w:line="360" w:lineRule="auto"/>
        <w:jc w:val="left"/>
      </w:pPr>
      <w:r>
        <w:rPr>
          <w:b/>
          <w:rFonts w:ascii="黑体" w:hAnsi="黑体" w:eastAsia="黑体"/>
          <w:sz w:val="30"/>
          <w:szCs w:val="30"/>
        </w:rPr>
        <w:t>六、诉讼风险评估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1. 程序风险：①保全——收到应诉材料前即应评估资金安排，预留现金或资产应对冻结，必要时以担保置换或主张超标的查封；②鉴定——被告若主张质量抗辩需预交鉴定费并承受结论不利风险，且鉴定期间违约金继续计算，时间成本对被告不利；③诉讼费——本案标的571,200元，受理费约9,512元，按胜败比例分担，被告本金部分败诉将承担约8,000元上下；④律师费双方各自负担（合同未约定由败诉方承担）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2. 对方策略推演：原告将①以对账＋开票＋付款记录完成本金举证；②援引合同第四条7日异议期与《民法典》第六百二十一条视为合格封堵质量抗辩；③主张商事主体应恪守明确约定的违约金条款、拒绝酌减；④可能申请保全施压并拖延调解。原告弱点：违约金计算明显虚高（95,200元对正确计算约21,670元），法院释明后酌减空间大，原告接受调解的可能性较高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3. 关键变量与敏感度：①若被告取得第三方检测报告证明瓷砖色差、尺寸偏差超标，质量抗辩升级为真实争点，折价谈判筹码大增；②若微信原始记录显示空鼓系货物缺陷且原告明知，第六百二十一条第三款例外或可打开缺口（概率低）；③承办法院所在地区对日万分之五违约金的酌减口径（宁波地区商事裁判通常酌减至LPR基准区间）；④签收单若显示验收当日即发现并备注质量问题，将直接影响检验期抗辩。据此取证优先级：付款回单＞微信原始载体＞签收单＞施工记录＞检测报告（先评估再定）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4. 结论与策略建议：本案被告对欠付本金476,000元的败诉风险很高（约九成），主战场在违约金数额；质量抗辩证据薄弱、异议期已过，不宜作为主防线，但可作为调解筹码。建议：①答辩以认可本金＋违约金计算错误＋过高酌减为主线，避免被认定为恶意拖延；②质量折价以抗辩＋调解筹码方式提出，不轻易启动鉴定；③积极调解，可接受方案：本金476,000元分期（或一次性）＋违约金按LPR基准计付（约1万-2万元区间）＋诉讼费合理分担，力争以本金加少量违约金和解，规避保全与鉴定成本；④同步固定证据、准备反担保预案。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0"/>
        <w:gridCol w:w="3000"/>
        <w:gridCol w:w="3000"/>
      </w:tblGrid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事项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评估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b/>
                <w:rFonts w:ascii="宋体" w:hAnsi="宋体" w:eastAsia="宋体"/>
                <w:sz w:val="21"/>
                <w:szCs w:val="21"/>
              </w:rPr>
              <w:t>等级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本金476,000元最终支持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被告对数量与欠款无实质抗辩，法院支持概率约85%-95%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高（对我方不利）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违约金95,200元全额支持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计算方式错误（基数、起算点、未分段），全额支持概率极低（低于5%）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低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违约金酌减前景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分段正确计算约21,670元（以货到日为基准）；酌减至LPR基准区间（约0.5万-1.5万元）概率较高；不调减按约支持21,670元为最坏情形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中低（对我方有利）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质量折价120,000元抗辩／反诉成立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异议期已过＋无检测依据，成立概率约10%-20%；若启动鉴定，结论不确定、费用数万元、审限延长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高（作为主防线时）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质量抗辩作谈判筹码价值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以折价3-5万元＋放弃违约金主张换调解，有现实空间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中（正面）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原告申请财产保全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原告三次催告未果后起诉，申请保全概率较高，可能冻结账户影响经营现金流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中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管辖／程序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被告住所地法院管辖，无管辖权异议空间；普通程序审限6个月，鉴定可延长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低（程序本身）</w:t>
            </w:r>
          </w:p>
        </w:tc>
      </w:tr>
      <w:tr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调解前景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双方对本金无争议，争点集中于违约金与质量折价，调解空间较大</w:t>
            </w:r>
          </w:p>
        </w:tc>
        <w:tc>
          <w:tcPr>
            <w:tcW w:w="1200" w:type="dxa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  <w:szCs w:val="21"/>
              </w:rPr>
              <w:t>正面（较优）</w:t>
            </w:r>
          </w:p>
        </w:tc>
      </w:tr>
    </w:tbl>
    <w:p>
      <w:pPr>
        <w:spacing w:after="80" w:line="360" w:lineRule="auto"/>
        <w:jc w:val="both"/>
      </w:pPr>
    </w:p>
    <w:p>
      <w:pPr>
        <w:spacing w:after="100" w:line="360" w:lineRule="auto"/>
        <w:jc w:val="left"/>
      </w:pPr>
      <w:r>
        <w:rPr>
          <w:b/>
          <w:rFonts w:ascii="黑体" w:hAnsi="黑体" w:eastAsia="黑体"/>
          <w:sz w:val="30"/>
          <w:szCs w:val="30"/>
        </w:rPr>
        <w:t>七、待补充材料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五批送货单／签收单／验收记录（确定货到日与验收日，违约金起算的关键）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合同原件及签字盖章页、报价单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被告两笔付款的银行回单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微信聊天记录原始载体及完整导出件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三份催告函与两封往来函的送达凭证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空鼓现场照片、视频、施工日志、铺贴班组与基层验收记录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瓷砖检测报告或司法鉴定意见（如有或拟申请）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原告开票明细及被告进项抵扣记录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双方营业执照、签约人员授权材料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· 被告资金成本证明（用于违约金酌减举证，如贷款合同）</w:t>
      </w:r>
    </w:p>
    <w:p>
      <w:pPr>
        <w:spacing w:after="100" w:line="360" w:lineRule="auto"/>
        <w:jc w:val="left"/>
      </w:pPr>
      <w:r>
        <w:rPr>
          <w:b/>
          <w:rFonts w:ascii="黑体" w:hAnsi="黑体" w:eastAsia="黑体"/>
          <w:sz w:val="30"/>
          <w:szCs w:val="30"/>
        </w:rPr>
        <w:t>八、法规核验说明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本会话未配置法规数据库检索工具（元典法规／案例检索不可用），相关法条结论基于公开渠道核验与既有法律知识得出，未经官方法规库逐条复核；引用条文均标注法律名称与条款号，请办案律师以官方来源（国家法律法规数据库、人民法院案例库）复核后使用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已通过公开渠道核验的要点：①2024年11月20日全国银行间同业拆借中心公布一年期LPR为3.1%；②检验期间内怠于通知视为标的物符合约定、超出检验期限主张质量异议难获支持；③普通诉讼时效三年（《民法典》第一百八十八条）；④数据电文（含微信记录）可构成书面形式（《民法典》第四百六十九条）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主要参考来源（供复核）：中国人民银行南昌中心支行2024年11月LPR公告（nanchang.pbc.gov.cn）；黑龙江法院全民学习民法典·买卖合同解读（yjfy.hljcourt.gov.cn）；阳城县法院超出检验期限主张质量问题释法（jcycfy.shanxify.gov.cn）；贵州法院每日一典·诉讼时效（guizhoucourt.gov.cn）。违约金超过造成损失30%即认定过分高于的量化标准源自《最高人民法院关于适用〈中华人民共和国民法典〉合同编通则若干问题的解释》第六十五条，建议以官方文本复核。</w:t>
      </w:r>
    </w:p>
    <w:p>
      <w:pPr>
        <w:spacing w:after="100" w:line="360" w:lineRule="auto"/>
        <w:jc w:val="left"/>
      </w:pPr>
      <w:r>
        <w:rPr>
          <w:b/>
          <w:rFonts w:ascii="黑体" w:hAnsi="黑体" w:eastAsia="黑体"/>
          <w:sz w:val="30"/>
          <w:szCs w:val="30"/>
        </w:rPr>
        <w:t>免责声明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本报告由 AI 律师工作台辅助生成，仅供办案参考，不构成正式法律意见；引用法条与案例请以官方来源复核。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4"/>
        <w:szCs w:val="24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