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line="360" w:lineRule="auto"/>
        <w:jc w:val="center"/>
      </w:pPr>
      <w:r>
        <w:rPr>
          <w:b/>
          <w:rFonts w:ascii="黑体" w:hAnsi="黑体" w:eastAsia="黑体"/>
          <w:sz w:val="44"/>
          <w:szCs w:val="44"/>
        </w:rPr>
        <w:t>合同审核报告</w:t>
      </w:r>
    </w:p>
    <w:p>
      <w:pPr>
        <w:spacing w:after="240" w:line="360" w:lineRule="auto"/>
        <w:jc w:val="center"/>
      </w:pPr>
      <w:r>
        <w:rPr>
          <w:rFonts w:ascii="宋体" w:hAnsi="宋体" w:eastAsia="宋体"/>
          <w:sz w:val="24"/>
          <w:szCs w:val="24"/>
        </w:rPr>
        <w:t>《软件开发委托合同》（编号：YM-2026-017）· 乙方立场</w:t>
      </w:r>
    </w:p>
    <w:p>
      <w:pPr>
        <w:spacing w:after="60" w:line="360" w:lineRule="auto"/>
        <w:jc w:val="left"/>
      </w:pPr>
      <w:r>
        <w:rPr>
          <w:b/>
          <w:rFonts w:ascii="黑体" w:hAnsi="黑体" w:eastAsia="黑体"/>
          <w:sz w:val="24"/>
          <w:szCs w:val="24"/>
        </w:rPr>
        <w:t>我方立场：</w:t>
      </w:r>
      <w:r>
        <w:rPr>
          <w:rFonts w:ascii="宋体" w:hAnsi="宋体" w:eastAsia="宋体"/>
          <w:sz w:val="24"/>
          <w:szCs w:val="24"/>
        </w:rPr>
        <w:t>乙方（受托方：睿码信息技术有限公司）</w:t>
      </w:r>
    </w:p>
    <w:p>
      <w:pPr>
        <w:spacing w:after="60" w:line="360" w:lineRule="auto"/>
        <w:jc w:val="left"/>
      </w:pPr>
      <w:r>
        <w:rPr>
          <w:b/>
          <w:rFonts w:ascii="黑体" w:hAnsi="黑体" w:eastAsia="黑体"/>
          <w:sz w:val="24"/>
          <w:szCs w:val="24"/>
        </w:rPr>
        <w:t>审核严格程度：</w:t>
      </w:r>
      <w:r>
        <w:rPr>
          <w:rFonts w:ascii="宋体" w:hAnsi="宋体" w:eastAsia="宋体"/>
          <w:sz w:val="24"/>
          <w:szCs w:val="24"/>
        </w:rPr>
        <w:t>严格——逐条深挖，一切可疑条款均列明，法规核查全覆盖</w:t>
      </w:r>
    </w:p>
    <w:p>
      <w:pPr>
        <w:spacing w:after="60" w:line="360" w:lineRule="auto"/>
        <w:jc w:val="left"/>
      </w:pPr>
      <w:r>
        <w:rPr>
          <w:b/>
          <w:rFonts w:ascii="黑体" w:hAnsi="黑体" w:eastAsia="黑体"/>
          <w:sz w:val="24"/>
          <w:szCs w:val="24"/>
        </w:rPr>
        <w:t>修订人署名：</w:t>
      </w:r>
      <w:r>
        <w:rPr>
          <w:rFonts w:ascii="宋体" w:hAnsi="宋体" w:eastAsia="宋体"/>
          <w:sz w:val="24"/>
          <w:szCs w:val="24"/>
        </w:rPr>
        <w:t>甲律师事务所-李律师</w:t>
      </w:r>
    </w:p>
    <w:p>
      <w:pPr>
        <w:spacing w:after="60" w:line="360" w:lineRule="auto"/>
        <w:jc w:val="left"/>
      </w:pPr>
      <w:r>
        <w:rPr>
          <w:b/>
          <w:rFonts w:ascii="黑体" w:hAnsi="黑体" w:eastAsia="黑体"/>
          <w:sz w:val="24"/>
          <w:szCs w:val="24"/>
        </w:rPr>
        <w:t>合同来源：</w:t>
      </w:r>
      <w:r>
        <w:rPr>
          <w:rFonts w:ascii="宋体" w:hAnsi="宋体" w:eastAsia="宋体"/>
          <w:sz w:val="24"/>
          <w:szCs w:val="24"/>
        </w:rPr>
        <w:t>内嵌文本（已重建基线 docx：软件开发委托合同（待审稿）.docx，共 53 段）</w:t>
      </w:r>
    </w:p>
    <w:p>
      <w:pPr>
        <w:spacing w:after="60" w:line="360" w:lineRule="auto"/>
        <w:jc w:val="left"/>
      </w:pPr>
      <w:r>
        <w:rPr>
          <w:b/>
          <w:rFonts w:ascii="黑体" w:hAnsi="黑体" w:eastAsia="黑体"/>
          <w:sz w:val="24"/>
          <w:szCs w:val="24"/>
        </w:rPr>
        <w:t>法规核查方式：</w:t>
      </w:r>
      <w:r>
        <w:rPr>
          <w:rFonts w:ascii="宋体" w:hAnsi="宋体" w:eastAsia="宋体"/>
          <w:sz w:val="24"/>
          <w:szCs w:val="24"/>
        </w:rPr>
        <w:t>公开权威渠道检索（最高法院发布《合同编通则解释》全文、法院官网、法信等）；本会话未接入元典法规数据库，条文以官方来源复核为准</w:t>
      </w:r>
    </w:p>
    <w:p>
      <w:pPr>
        <w:spacing w:after="120" w:line="360" w:lineRule="auto"/>
        <w:jc w:val="both"/>
      </w:pPr>
    </w:p>
    <w:p>
      <w:pPr>
        <w:spacing w:after="100" w:line="360" w:lineRule="auto"/>
        <w:jc w:val="left"/>
      </w:pPr>
      <w:r>
        <w:rPr>
          <w:b/>
          <w:rFonts w:ascii="黑体" w:hAnsi="黑体" w:eastAsia="黑体"/>
          <w:sz w:val="30"/>
          <w:szCs w:val="30"/>
        </w:rPr>
        <w:t>一、风险清单</w:t>
      </w:r>
    </w:p>
    <w:p>
      <w:pPr>
        <w:spacing w:after="120" w:line="360" w:lineRule="auto"/>
        <w:ind w:firstLineChars="200" w:firstLine="480"/>
        <w:jc w:val="both"/>
      </w:pPr>
      <w:r>
        <w:rPr>
          <w:rFonts w:ascii="宋体" w:hAnsi="宋体" w:eastAsia="宋体"/>
          <w:sz w:val="24"/>
          <w:szCs w:val="24"/>
        </w:rPr>
        <w:t>下表按风险等级排序（高→低），条款位置以基线 docx 全文段落号标注（1 起，见修订留痕审阅稿）。修改建议给出建议新文本，均已落入审阅稿修订留痕。</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50"/>
        <w:gridCol w:w="2250"/>
        <w:gridCol w:w="2250"/>
        <w:gridCol w:w="2250"/>
      </w:tblGrid>
      <w:tr>
        <w:tc>
          <w:tcPr>
            <w:tcW w:w="1200" w:type="dxa"/>
          </w:tcPr>
          <w:p>
            <w:pPr>
              <w:spacing w:after="40"/>
              <w:jc w:val="left"/>
            </w:pPr>
            <w:r>
              <w:rPr>
                <w:b/>
                <w:rFonts w:ascii="宋体" w:hAnsi="宋体" w:eastAsia="宋体"/>
                <w:sz w:val="21"/>
                <w:szCs w:val="21"/>
              </w:rPr>
              <w:t>条款位置（段落号）</w:t>
            </w:r>
          </w:p>
        </w:tc>
        <w:tc>
          <w:tcPr>
            <w:tcW w:w="1200" w:type="dxa"/>
          </w:tcPr>
          <w:p>
            <w:pPr>
              <w:spacing w:after="40"/>
              <w:jc w:val="left"/>
            </w:pPr>
            <w:r>
              <w:rPr>
                <w:b/>
                <w:rFonts w:ascii="宋体" w:hAnsi="宋体" w:eastAsia="宋体"/>
                <w:sz w:val="21"/>
                <w:szCs w:val="21"/>
              </w:rPr>
              <w:t>风险描述</w:t>
            </w:r>
          </w:p>
        </w:tc>
        <w:tc>
          <w:tcPr>
            <w:tcW w:w="1200" w:type="dxa"/>
          </w:tcPr>
          <w:p>
            <w:pPr>
              <w:spacing w:after="40"/>
              <w:jc w:val="left"/>
            </w:pPr>
            <w:r>
              <w:rPr>
                <w:b/>
                <w:rFonts w:ascii="宋体" w:hAnsi="宋体" w:eastAsia="宋体"/>
                <w:sz w:val="21"/>
                <w:szCs w:val="21"/>
              </w:rPr>
              <w:t>等级</w:t>
            </w:r>
          </w:p>
        </w:tc>
        <w:tc>
          <w:tcPr>
            <w:tcW w:w="1200" w:type="dxa"/>
          </w:tcPr>
          <w:p>
            <w:pPr>
              <w:spacing w:after="40"/>
              <w:jc w:val="left"/>
            </w:pPr>
            <w:r>
              <w:rPr>
                <w:b/>
                <w:rFonts w:ascii="宋体" w:hAnsi="宋体" w:eastAsia="宋体"/>
                <w:sz w:val="21"/>
                <w:szCs w:val="21"/>
              </w:rPr>
              <w:t>修改建议（建议新文本）</w:t>
            </w:r>
          </w:p>
        </w:tc>
      </w:tr>
      <w:tr>
        <w:tc>
          <w:tcPr>
            <w:tcW w:w="1200" w:type="dxa"/>
          </w:tcPr>
          <w:p>
            <w:pPr>
              <w:spacing w:after="40"/>
              <w:jc w:val="left"/>
            </w:pPr>
            <w:r>
              <w:rPr>
                <w:rFonts w:ascii="宋体" w:hAnsi="宋体" w:eastAsia="宋体"/>
                <w:sz w:val="21"/>
                <w:szCs w:val="21"/>
              </w:rPr>
              <w:t>第十条（第38段）</w:t>
            </w:r>
          </w:p>
        </w:tc>
        <w:tc>
          <w:tcPr>
            <w:tcW w:w="1200" w:type="dxa"/>
          </w:tcPr>
          <w:p>
            <w:pPr>
              <w:spacing w:after="40"/>
              <w:jc w:val="left"/>
            </w:pPr>
            <w:r>
              <w:rPr>
                <w:rFonts w:ascii="宋体" w:hAnsi="宋体" w:eastAsia="宋体"/>
                <w:sz w:val="21"/>
                <w:szCs w:val="21"/>
              </w:rPr>
              <w:t>甲方可"随时解除"合同且仅支付已完成开发工作量对应款项的50%，显失公平：远低于法定解除补偿标准（承揽合同定作人解除应赔偿损失，民法典第787条；委托合同任意解除应赔偿直接损失+可得利益，民法典第933条），实质是甲方低价获取阶段性成果；"随时"亦未限定解除时点，验收后仍可解除</w:t>
            </w:r>
          </w:p>
        </w:tc>
        <w:tc>
          <w:tcPr>
            <w:tcW w:w="1200" w:type="dxa"/>
          </w:tcPr>
          <w:p>
            <w:pPr>
              <w:spacing w:after="40"/>
              <w:jc w:val="left"/>
            </w:pPr>
            <w:r>
              <w:rPr>
                <w:rFonts w:ascii="宋体" w:hAnsi="宋体" w:eastAsia="宋体"/>
                <w:sz w:val="21"/>
                <w:szCs w:val="21"/>
              </w:rPr>
              <w:t>高</w:t>
            </w:r>
          </w:p>
        </w:tc>
        <w:tc>
          <w:tcPr>
            <w:tcW w:w="1200" w:type="dxa"/>
          </w:tcPr>
          <w:p>
            <w:pPr>
              <w:spacing w:after="40"/>
              <w:jc w:val="left"/>
            </w:pPr>
            <w:r>
              <w:rPr>
                <w:rFonts w:ascii="宋体" w:hAnsi="宋体" w:eastAsia="宋体"/>
                <w:sz w:val="21"/>
                <w:szCs w:val="21"/>
              </w:rPr>
              <w:t>"甲方有权在乙方交付验收前书面通知解除本合同，但应：（1）按已完成并经确认的工作量对应的合同价款全额支付；（2）赔偿乙方为履行本合同已实际发生的合理费用及合理利润损失。解除前乙方已交付的阶段性成果，甲方按约定付款后方可使用。"</w:t>
            </w:r>
          </w:p>
        </w:tc>
      </w:tr>
      <w:tr>
        <w:tc>
          <w:tcPr>
            <w:tcW w:w="1200" w:type="dxa"/>
          </w:tcPr>
          <w:p>
            <w:pPr>
              <w:spacing w:after="40"/>
              <w:jc w:val="left"/>
            </w:pPr>
            <w:r>
              <w:rPr>
                <w:rFonts w:ascii="宋体" w:hAnsi="宋体" w:eastAsia="宋体"/>
                <w:sz w:val="21"/>
                <w:szCs w:val="21"/>
              </w:rPr>
              <w:t>第九条（第34段）</w:t>
            </w:r>
          </w:p>
        </w:tc>
        <w:tc>
          <w:tcPr>
            <w:tcW w:w="1200" w:type="dxa"/>
          </w:tcPr>
          <w:p>
            <w:pPr>
              <w:spacing w:after="40"/>
              <w:jc w:val="left"/>
            </w:pPr>
            <w:r>
              <w:rPr>
                <w:rFonts w:ascii="宋体" w:hAnsi="宋体" w:eastAsia="宋体"/>
                <w:sz w:val="21"/>
                <w:szCs w:val="21"/>
              </w:rPr>
              <w:t>乙方逾期交付违约金"千分之五/日"（年化约182.5%、按合同总价计），显著过高：司法实践对超过造成损失30%的违约金一般认定"过分高于"，法院可依申请调减（民法典第585条、《最高人民法院关于适用〈中华人民共和国民法典〉合同编通则若干问题的解释》法释〔2023〕13号）；且与甲方逾期付款费率（万分之三/日）相差约16.7倍，权利义务严重失衡</w:t>
            </w:r>
          </w:p>
        </w:tc>
        <w:tc>
          <w:tcPr>
            <w:tcW w:w="1200" w:type="dxa"/>
          </w:tcPr>
          <w:p>
            <w:pPr>
              <w:spacing w:after="40"/>
              <w:jc w:val="left"/>
            </w:pPr>
            <w:r>
              <w:rPr>
                <w:rFonts w:ascii="宋体" w:hAnsi="宋体" w:eastAsia="宋体"/>
                <w:sz w:val="21"/>
                <w:szCs w:val="21"/>
              </w:rPr>
              <w:t>高</w:t>
            </w:r>
          </w:p>
        </w:tc>
        <w:tc>
          <w:tcPr>
            <w:tcW w:w="1200" w:type="dxa"/>
          </w:tcPr>
          <w:p>
            <w:pPr>
              <w:spacing w:after="40"/>
              <w:jc w:val="left"/>
            </w:pPr>
            <w:r>
              <w:rPr>
                <w:rFonts w:ascii="宋体" w:hAnsi="宋体" w:eastAsia="宋体"/>
                <w:sz w:val="21"/>
                <w:szCs w:val="21"/>
              </w:rPr>
              <w:t>"每逾期一日按合同总价的万分之五向甲方支付违约金"（与甲方费率对等，年化约18.25%）</w:t>
            </w:r>
          </w:p>
        </w:tc>
      </w:tr>
      <w:tr>
        <w:tc>
          <w:tcPr>
            <w:tcW w:w="1200" w:type="dxa"/>
          </w:tcPr>
          <w:p>
            <w:pPr>
              <w:spacing w:after="40"/>
              <w:jc w:val="left"/>
            </w:pPr>
            <w:r>
              <w:rPr>
                <w:rFonts w:ascii="宋体" w:hAnsi="宋体" w:eastAsia="宋体"/>
                <w:sz w:val="21"/>
                <w:szCs w:val="21"/>
              </w:rPr>
              <w:t>第五条（第25段）</w:t>
            </w:r>
          </w:p>
        </w:tc>
        <w:tc>
          <w:tcPr>
            <w:tcW w:w="1200" w:type="dxa"/>
          </w:tcPr>
          <w:p>
            <w:pPr>
              <w:spacing w:after="40"/>
              <w:jc w:val="left"/>
            </w:pPr>
            <w:r>
              <w:rPr>
                <w:rFonts w:ascii="宋体" w:hAnsi="宋体" w:eastAsia="宋体"/>
                <w:sz w:val="21"/>
                <w:szCs w:val="21"/>
              </w:rPr>
              <w:t>验收标准为"系统符合甲方的业务需求"，纯主观标准：甲方可任意主张"不符合业务需求"而拒绝验收、拒付40%尾款，验收纠纷时乙方举证困难</w:t>
            </w:r>
          </w:p>
        </w:tc>
        <w:tc>
          <w:tcPr>
            <w:tcW w:w="1200" w:type="dxa"/>
          </w:tcPr>
          <w:p>
            <w:pPr>
              <w:spacing w:after="40"/>
              <w:jc w:val="left"/>
            </w:pPr>
            <w:r>
              <w:rPr>
                <w:rFonts w:ascii="宋体" w:hAnsi="宋体" w:eastAsia="宋体"/>
                <w:sz w:val="21"/>
                <w:szCs w:val="21"/>
              </w:rPr>
              <w:t>高</w:t>
            </w:r>
          </w:p>
        </w:tc>
        <w:tc>
          <w:tcPr>
            <w:tcW w:w="1200" w:type="dxa"/>
          </w:tcPr>
          <w:p>
            <w:pPr>
              <w:spacing w:after="40"/>
              <w:jc w:val="left"/>
            </w:pPr>
            <w:r>
              <w:rPr>
                <w:rFonts w:ascii="宋体" w:hAnsi="宋体" w:eastAsia="宋体"/>
                <w:sz w:val="21"/>
                <w:szCs w:val="21"/>
              </w:rPr>
              <w:t>"验收标准为系统功能符合经双方书面确认的《需求规格说明书》及本合同约定"</w:t>
            </w:r>
          </w:p>
        </w:tc>
      </w:tr>
      <w:tr>
        <w:tc>
          <w:tcPr>
            <w:tcW w:w="1200" w:type="dxa"/>
          </w:tcPr>
          <w:p>
            <w:pPr>
              <w:spacing w:after="40"/>
              <w:jc w:val="left"/>
            </w:pPr>
            <w:r>
              <w:rPr>
                <w:rFonts w:ascii="宋体" w:hAnsi="宋体" w:eastAsia="宋体"/>
                <w:sz w:val="21"/>
                <w:szCs w:val="21"/>
              </w:rPr>
              <w:t>第二条（第15段）</w:t>
            </w:r>
          </w:p>
        </w:tc>
        <w:tc>
          <w:tcPr>
            <w:tcW w:w="1200" w:type="dxa"/>
          </w:tcPr>
          <w:p>
            <w:pPr>
              <w:spacing w:after="40"/>
              <w:jc w:val="left"/>
            </w:pPr>
            <w:r>
              <w:rPr>
                <w:rFonts w:ascii="宋体" w:hAnsi="宋体" w:eastAsia="宋体"/>
                <w:sz w:val="21"/>
                <w:szCs w:val="21"/>
              </w:rPr>
              <w:t>条款自相矛盾：前句约定"因甲方原因导致需求变更或确认延误的，工期相应顺延"，后句又约定"甲方未书面确认变更的，乙方仍应按原工期交付"——甲方口头变更又不书面确认时，乙方既须按变更后需求开发，又须按原工期交付，等于无偿承担变更工作量，且给甲方留出"先口头变更加压、再以逾期追责"的操作空间</w:t>
            </w:r>
          </w:p>
        </w:tc>
        <w:tc>
          <w:tcPr>
            <w:tcW w:w="1200" w:type="dxa"/>
          </w:tcPr>
          <w:p>
            <w:pPr>
              <w:spacing w:after="40"/>
              <w:jc w:val="left"/>
            </w:pPr>
            <w:r>
              <w:rPr>
                <w:rFonts w:ascii="宋体" w:hAnsi="宋体" w:eastAsia="宋体"/>
                <w:sz w:val="21"/>
                <w:szCs w:val="21"/>
              </w:rPr>
              <w:t>高</w:t>
            </w:r>
          </w:p>
        </w:tc>
        <w:tc>
          <w:tcPr>
            <w:tcW w:w="1200" w:type="dxa"/>
          </w:tcPr>
          <w:p>
            <w:pPr>
              <w:spacing w:after="40"/>
              <w:jc w:val="left"/>
            </w:pPr>
            <w:r>
              <w:rPr>
                <w:rFonts w:ascii="宋体" w:hAnsi="宋体" w:eastAsia="宋体"/>
                <w:sz w:val="21"/>
                <w:szCs w:val="21"/>
              </w:rPr>
              <w:t>删除"但甲方未书面确认变更的，乙方仍应按原工期交付"，改为："甲方提出的需求变更须经双方书面确认后方为有效，未经书面确认的变更乙方无义务实施，且不因此承担逾期责任。"</w:t>
            </w:r>
          </w:p>
        </w:tc>
      </w:tr>
      <w:tr>
        <w:tc>
          <w:tcPr>
            <w:tcW w:w="1200" w:type="dxa"/>
          </w:tcPr>
          <w:p>
            <w:pPr>
              <w:spacing w:after="40"/>
              <w:jc w:val="left"/>
            </w:pPr>
            <w:r>
              <w:rPr>
                <w:rFonts w:ascii="宋体" w:hAnsi="宋体" w:eastAsia="宋体"/>
                <w:sz w:val="21"/>
                <w:szCs w:val="21"/>
              </w:rPr>
              <w:t>第一条（第13段）</w:t>
            </w:r>
          </w:p>
        </w:tc>
        <w:tc>
          <w:tcPr>
            <w:tcW w:w="1200" w:type="dxa"/>
          </w:tcPr>
          <w:p>
            <w:pPr>
              <w:spacing w:after="40"/>
              <w:jc w:val="left"/>
            </w:pPr>
            <w:r>
              <w:rPr>
                <w:rFonts w:ascii="宋体" w:hAnsi="宋体" w:eastAsia="宋体"/>
                <w:sz w:val="21"/>
                <w:szCs w:val="21"/>
              </w:rPr>
              <w:t>《需求规格说明书》由甲方提供、乙方仅"协助评审"，乙方对需求定义话语权弱；且说明书未列为合同附件，验收标准与工期起算均缺乏合同依据</w:t>
            </w:r>
          </w:p>
        </w:tc>
        <w:tc>
          <w:tcPr>
            <w:tcW w:w="1200" w:type="dxa"/>
          </w:tcPr>
          <w:p>
            <w:pPr>
              <w:spacing w:after="40"/>
              <w:jc w:val="left"/>
            </w:pPr>
            <w:r>
              <w:rPr>
                <w:rFonts w:ascii="宋体" w:hAnsi="宋体" w:eastAsia="宋体"/>
                <w:sz w:val="21"/>
                <w:szCs w:val="21"/>
              </w:rPr>
              <w:t>高</w:t>
            </w:r>
          </w:p>
        </w:tc>
        <w:tc>
          <w:tcPr>
            <w:tcW w:w="1200" w:type="dxa"/>
          </w:tcPr>
          <w:p>
            <w:pPr>
              <w:spacing w:after="40"/>
              <w:jc w:val="left"/>
            </w:pPr>
            <w:r>
              <w:rPr>
                <w:rFonts w:ascii="宋体" w:hAnsi="宋体" w:eastAsia="宋体"/>
                <w:sz w:val="21"/>
                <w:szCs w:val="21"/>
              </w:rPr>
              <w:t>改为："乙方在收到后10个工作日内提出书面评审意见，双方共同确认后作为本合同附件及验收依据；需求未经双方书面确认的，乙方有权不予实施，相应工期顺延。"</w:t>
            </w:r>
          </w:p>
        </w:tc>
      </w:tr>
      <w:tr>
        <w:tc>
          <w:tcPr>
            <w:tcW w:w="1200" w:type="dxa"/>
          </w:tcPr>
          <w:p>
            <w:pPr>
              <w:spacing w:after="40"/>
              <w:jc w:val="left"/>
            </w:pPr>
            <w:r>
              <w:rPr>
                <w:rFonts w:ascii="宋体" w:hAnsi="宋体" w:eastAsia="宋体"/>
                <w:sz w:val="21"/>
                <w:szCs w:val="21"/>
              </w:rPr>
              <w:t>第十一条（第40段）</w:t>
            </w:r>
          </w:p>
        </w:tc>
        <w:tc>
          <w:tcPr>
            <w:tcW w:w="1200" w:type="dxa"/>
          </w:tcPr>
          <w:p>
            <w:pPr>
              <w:spacing w:after="40"/>
              <w:jc w:val="left"/>
            </w:pPr>
            <w:r>
              <w:rPr>
                <w:rFonts w:ascii="宋体" w:hAnsi="宋体" w:eastAsia="宋体"/>
                <w:sz w:val="21"/>
                <w:szCs w:val="21"/>
              </w:rPr>
              <w:t>保密义务单向（仅约束乙方）、无限期、范围"一切信息（无论是否标注保密）"无边界：属不合理加重乙方责任，存在被认定无效或难以执行的风险；源代码交付后甲方掌握乙方技术成果却不受对等保密约束</w:t>
            </w:r>
          </w:p>
        </w:tc>
        <w:tc>
          <w:tcPr>
            <w:tcW w:w="1200" w:type="dxa"/>
          </w:tcPr>
          <w:p>
            <w:pPr>
              <w:spacing w:after="40"/>
              <w:jc w:val="left"/>
            </w:pPr>
            <w:r>
              <w:rPr>
                <w:rFonts w:ascii="宋体" w:hAnsi="宋体" w:eastAsia="宋体"/>
                <w:sz w:val="21"/>
                <w:szCs w:val="21"/>
              </w:rPr>
              <w:t>高</w:t>
            </w:r>
          </w:p>
        </w:tc>
        <w:tc>
          <w:tcPr>
            <w:tcW w:w="1200" w:type="dxa"/>
          </w:tcPr>
          <w:p>
            <w:pPr>
              <w:spacing w:after="40"/>
              <w:jc w:val="left"/>
            </w:pPr>
            <w:r>
              <w:rPr>
                <w:rFonts w:ascii="宋体" w:hAnsi="宋体" w:eastAsia="宋体"/>
                <w:sz w:val="21"/>
                <w:szCs w:val="21"/>
              </w:rPr>
              <w:t>改为："双方对在合作过程中知悉的对方未公开的商业秘密及本合同内容负有保密义务，保密期限为本合同有效期内及合同终止后3年；法律另有规定或信息已进入公有领域的除外。未经披露方书面同意，任何一方不得向第三方披露或用于本合同以外的目的。"</w:t>
            </w:r>
          </w:p>
        </w:tc>
      </w:tr>
      <w:tr>
        <w:tc>
          <w:tcPr>
            <w:tcW w:w="1200" w:type="dxa"/>
          </w:tcPr>
          <w:p>
            <w:pPr>
              <w:spacing w:after="40"/>
              <w:jc w:val="left"/>
            </w:pPr>
            <w:r>
              <w:rPr>
                <w:rFonts w:ascii="宋体" w:hAnsi="宋体" w:eastAsia="宋体"/>
                <w:sz w:val="21"/>
                <w:szCs w:val="21"/>
              </w:rPr>
              <w:t>第七条（第30段）</w:t>
            </w:r>
          </w:p>
        </w:tc>
        <w:tc>
          <w:tcPr>
            <w:tcW w:w="1200" w:type="dxa"/>
          </w:tcPr>
          <w:p>
            <w:pPr>
              <w:spacing w:after="40"/>
              <w:jc w:val="left"/>
            </w:pPr>
            <w:r>
              <w:rPr>
                <w:rFonts w:ascii="宋体" w:hAnsi="宋体" w:eastAsia="宋体"/>
                <w:sz w:val="21"/>
                <w:szCs w:val="21"/>
              </w:rPr>
              <w:t>知识产权"全部归甲方所有"未排除乙方背景技术与可复用通用组件（乙方既有技术积累可能随项目整体转让）；"系统交付且付清全款后"之前的过渡期权利归属不明，甲方在付清全款前擅自使用无约束</w:t>
            </w:r>
          </w:p>
        </w:tc>
        <w:tc>
          <w:tcPr>
            <w:tcW w:w="1200" w:type="dxa"/>
          </w:tcPr>
          <w:p>
            <w:pPr>
              <w:spacing w:after="40"/>
              <w:jc w:val="left"/>
            </w:pPr>
            <w:r>
              <w:rPr>
                <w:rFonts w:ascii="宋体" w:hAnsi="宋体" w:eastAsia="宋体"/>
                <w:sz w:val="21"/>
                <w:szCs w:val="21"/>
              </w:rPr>
              <w:t>高</w:t>
            </w:r>
          </w:p>
        </w:tc>
        <w:tc>
          <w:tcPr>
            <w:tcW w:w="1200" w:type="dxa"/>
          </w:tcPr>
          <w:p>
            <w:pPr>
              <w:spacing w:after="40"/>
              <w:jc w:val="left"/>
            </w:pPr>
            <w:r>
              <w:rPr>
                <w:rFonts w:ascii="宋体" w:hAnsi="宋体" w:eastAsia="宋体"/>
                <w:sz w:val="21"/>
                <w:szCs w:val="21"/>
              </w:rPr>
              <w:t>补充："乙方开发过程中形成的、可独立于本合同成果使用的通用组件、工具、模板及乙方既有背景知识产权仍归乙方所有，乙方就此授予甲方在本合同成果范围内永久、不可撤销的免费使用许可。甲方付清全部合同价款前，不得将交付成果用于商业运营或向第三方披露。"</w:t>
            </w:r>
          </w:p>
        </w:tc>
      </w:tr>
      <w:tr>
        <w:tc>
          <w:tcPr>
            <w:tcW w:w="1200" w:type="dxa"/>
          </w:tcPr>
          <w:p>
            <w:pPr>
              <w:spacing w:after="40"/>
              <w:jc w:val="left"/>
            </w:pPr>
            <w:r>
              <w:rPr>
                <w:rFonts w:ascii="宋体" w:hAnsi="宋体" w:eastAsia="宋体"/>
                <w:sz w:val="21"/>
                <w:szCs w:val="21"/>
              </w:rPr>
              <w:t>第十二条（第42段）</w:t>
            </w:r>
          </w:p>
        </w:tc>
        <w:tc>
          <w:tcPr>
            <w:tcW w:w="1200" w:type="dxa"/>
          </w:tcPr>
          <w:p>
            <w:pPr>
              <w:spacing w:after="40"/>
              <w:jc w:val="left"/>
            </w:pPr>
            <w:r>
              <w:rPr>
                <w:rFonts w:ascii="宋体" w:hAnsi="宋体" w:eastAsia="宋体"/>
                <w:sz w:val="21"/>
                <w:szCs w:val="21"/>
              </w:rPr>
              <w:t>乙方对知识产权纠纷承担"全部责任"且未区分侵权原因：甲方自行修改成果、甲方提供素材或指定功能导致的侵权亦由乙方担责；无通知与协助抗辩义务</w:t>
            </w:r>
          </w:p>
        </w:tc>
        <w:tc>
          <w:tcPr>
            <w:tcW w:w="1200" w:type="dxa"/>
          </w:tcPr>
          <w:p>
            <w:pPr>
              <w:spacing w:after="40"/>
              <w:jc w:val="left"/>
            </w:pPr>
            <w:r>
              <w:rPr>
                <w:rFonts w:ascii="宋体" w:hAnsi="宋体" w:eastAsia="宋体"/>
                <w:sz w:val="21"/>
                <w:szCs w:val="21"/>
              </w:rPr>
              <w:t>高</w:t>
            </w:r>
          </w:p>
        </w:tc>
        <w:tc>
          <w:tcPr>
            <w:tcW w:w="1200" w:type="dxa"/>
          </w:tcPr>
          <w:p>
            <w:pPr>
              <w:spacing w:after="40"/>
              <w:jc w:val="left"/>
            </w:pPr>
            <w:r>
              <w:rPr>
                <w:rFonts w:ascii="宋体" w:hAnsi="宋体" w:eastAsia="宋体"/>
                <w:sz w:val="21"/>
                <w:szCs w:val="21"/>
              </w:rPr>
              <w:t>"乙方保证其交付成果不侵犯任何第三方知识产权；因交付成果本身侵犯第三方知识产权引发纠纷的，由乙方负责处理并赔偿甲方因此支出的合理费用；因甲方修改交付成果、甲方提供的资料或甲方指定的功能要求导致侵权的，由甲方自行承担责任。发生侵权指控时，双方应及时相互通知并协助抗辩。"</w:t>
            </w:r>
          </w:p>
        </w:tc>
      </w:tr>
      <w:tr>
        <w:tc>
          <w:tcPr>
            <w:tcW w:w="1200" w:type="dxa"/>
          </w:tcPr>
          <w:p>
            <w:pPr>
              <w:spacing w:after="40"/>
              <w:jc w:val="left"/>
            </w:pPr>
            <w:r>
              <w:rPr>
                <w:rFonts w:ascii="宋体" w:hAnsi="宋体" w:eastAsia="宋体"/>
                <w:sz w:val="21"/>
                <w:szCs w:val="21"/>
              </w:rPr>
              <w:t>第四条（第22段）</w:t>
            </w:r>
          </w:p>
        </w:tc>
        <w:tc>
          <w:tcPr>
            <w:tcW w:w="1200" w:type="dxa"/>
          </w:tcPr>
          <w:p>
            <w:pPr>
              <w:spacing w:after="40"/>
              <w:jc w:val="left"/>
            </w:pPr>
            <w:r>
              <w:rPr>
                <w:rFonts w:ascii="宋体" w:hAnsi="宋体" w:eastAsia="宋体"/>
                <w:sz w:val="21"/>
                <w:szCs w:val="21"/>
              </w:rPr>
              <w:t>40%尾款于验收合格后60日支付，回收周期过长；叠加第七条"付清全款后知识产权才转移"，乙方交付源代码（含文档）后仍有两重回收风险：甲方拖延付款期间既无知识产权（不能主张权利转移）又无款项</w:t>
            </w:r>
          </w:p>
        </w:tc>
        <w:tc>
          <w:tcPr>
            <w:tcW w:w="1200" w:type="dxa"/>
          </w:tcPr>
          <w:p>
            <w:pPr>
              <w:spacing w:after="40"/>
              <w:jc w:val="left"/>
            </w:pPr>
            <w:r>
              <w:rPr>
                <w:rFonts w:ascii="宋体" w:hAnsi="宋体" w:eastAsia="宋体"/>
                <w:sz w:val="21"/>
                <w:szCs w:val="21"/>
              </w:rPr>
              <w:t>高</w:t>
            </w:r>
          </w:p>
        </w:tc>
        <w:tc>
          <w:tcPr>
            <w:tcW w:w="1200" w:type="dxa"/>
          </w:tcPr>
          <w:p>
            <w:pPr>
              <w:spacing w:after="40"/>
              <w:jc w:val="left"/>
            </w:pPr>
            <w:r>
              <w:rPr>
                <w:rFonts w:ascii="宋体" w:hAnsi="宋体" w:eastAsia="宋体"/>
                <w:sz w:val="21"/>
                <w:szCs w:val="21"/>
              </w:rPr>
              <w:t>"剩余40%尾款于系统验收合格后10个工作日内一次性支付"；若甲方坚持60日，建议拆分为验收后20%+质保期满后20%</w:t>
            </w:r>
          </w:p>
        </w:tc>
      </w:tr>
      <w:tr>
        <w:tc>
          <w:tcPr>
            <w:tcW w:w="1200" w:type="dxa"/>
          </w:tcPr>
          <w:p>
            <w:pPr>
              <w:spacing w:after="40"/>
              <w:jc w:val="left"/>
            </w:pPr>
            <w:r>
              <w:rPr>
                <w:rFonts w:ascii="宋体" w:hAnsi="宋体" w:eastAsia="宋体"/>
                <w:sz w:val="21"/>
                <w:szCs w:val="21"/>
              </w:rPr>
              <w:t>第五条（第24、26段）</w:t>
            </w:r>
          </w:p>
        </w:tc>
        <w:tc>
          <w:tcPr>
            <w:tcW w:w="1200" w:type="dxa"/>
          </w:tcPr>
          <w:p>
            <w:pPr>
              <w:spacing w:after="40"/>
              <w:jc w:val="left"/>
            </w:pPr>
            <w:r>
              <w:rPr>
                <w:rFonts w:ascii="宋体" w:hAnsi="宋体" w:eastAsia="宋体"/>
                <w:sz w:val="21"/>
                <w:szCs w:val="21"/>
              </w:rPr>
              <w:t>"10日内组织验收"与"逾期未提出书面异议视为验收合格"均按自然日且口径不一（付款条款均按工作日）；视为验收条款未覆盖"既不组织验收也不提异议"情形，存在被甲方以"期限过短不合理"抗辩、否定视为验收的风险</w:t>
            </w:r>
          </w:p>
        </w:tc>
        <w:tc>
          <w:tcPr>
            <w:tcW w:w="1200" w:type="dxa"/>
          </w:tcPr>
          <w:p>
            <w:pPr>
              <w:spacing w:after="40"/>
              <w:jc w:val="left"/>
            </w:pPr>
            <w:r>
              <w:rPr>
                <w:rFonts w:ascii="宋体" w:hAnsi="宋体" w:eastAsia="宋体"/>
                <w:sz w:val="21"/>
                <w:szCs w:val="21"/>
              </w:rPr>
              <w:t>中</w:t>
            </w:r>
          </w:p>
        </w:tc>
        <w:tc>
          <w:tcPr>
            <w:tcW w:w="1200" w:type="dxa"/>
          </w:tcPr>
          <w:p>
            <w:pPr>
              <w:spacing w:after="40"/>
              <w:jc w:val="left"/>
            </w:pPr>
            <w:r>
              <w:rPr>
                <w:rFonts w:ascii="宋体" w:hAnsi="宋体" w:eastAsia="宋体"/>
                <w:sz w:val="21"/>
                <w:szCs w:val="21"/>
              </w:rPr>
              <w:t>第1款"10日"统一为"10个工作日"；第3款改为"甲方逾期未组织验收亦未提出书面异议的，视为验收合格"</w:t>
            </w:r>
          </w:p>
        </w:tc>
      </w:tr>
      <w:tr>
        <w:tc>
          <w:tcPr>
            <w:tcW w:w="1200" w:type="dxa"/>
          </w:tcPr>
          <w:p>
            <w:pPr>
              <w:spacing w:after="40"/>
              <w:jc w:val="left"/>
            </w:pPr>
            <w:r>
              <w:rPr>
                <w:rFonts w:ascii="宋体" w:hAnsi="宋体" w:eastAsia="宋体"/>
                <w:sz w:val="21"/>
                <w:szCs w:val="21"/>
              </w:rPr>
              <w:t>第九条（第35段）</w:t>
            </w:r>
          </w:p>
        </w:tc>
        <w:tc>
          <w:tcPr>
            <w:tcW w:w="1200" w:type="dxa"/>
          </w:tcPr>
          <w:p>
            <w:pPr>
              <w:spacing w:after="40"/>
              <w:jc w:val="left"/>
            </w:pPr>
            <w:r>
              <w:rPr>
                <w:rFonts w:ascii="宋体" w:hAnsi="宋体" w:eastAsia="宋体"/>
                <w:sz w:val="21"/>
                <w:szCs w:val="21"/>
              </w:rPr>
              <w:t>甲方逾期付款仅"万分之三/日"（年化约10.95%），对甲方付款约束力弱，与乙方逾期费率相差约16.7倍，权利义务失衡（法院或按显失公平/格式条款审查）</w:t>
            </w:r>
          </w:p>
        </w:tc>
        <w:tc>
          <w:tcPr>
            <w:tcW w:w="1200" w:type="dxa"/>
          </w:tcPr>
          <w:p>
            <w:pPr>
              <w:spacing w:after="40"/>
              <w:jc w:val="left"/>
            </w:pPr>
            <w:r>
              <w:rPr>
                <w:rFonts w:ascii="宋体" w:hAnsi="宋体" w:eastAsia="宋体"/>
                <w:sz w:val="21"/>
                <w:szCs w:val="21"/>
              </w:rPr>
              <w:t>中</w:t>
            </w:r>
          </w:p>
        </w:tc>
        <w:tc>
          <w:tcPr>
            <w:tcW w:w="1200" w:type="dxa"/>
          </w:tcPr>
          <w:p>
            <w:pPr>
              <w:spacing w:after="40"/>
              <w:jc w:val="left"/>
            </w:pPr>
            <w:r>
              <w:rPr>
                <w:rFonts w:ascii="宋体" w:hAnsi="宋体" w:eastAsia="宋体"/>
                <w:sz w:val="21"/>
                <w:szCs w:val="21"/>
              </w:rPr>
              <w:t>"每逾期一日按应付未付款项的万分之五向乙方支付违约金"（与乙方费率对等）</w:t>
            </w:r>
          </w:p>
        </w:tc>
      </w:tr>
      <w:tr>
        <w:tc>
          <w:tcPr>
            <w:tcW w:w="1200" w:type="dxa"/>
          </w:tcPr>
          <w:p>
            <w:pPr>
              <w:spacing w:after="40"/>
              <w:jc w:val="left"/>
            </w:pPr>
            <w:r>
              <w:rPr>
                <w:rFonts w:ascii="宋体" w:hAnsi="宋体" w:eastAsia="宋体"/>
                <w:sz w:val="21"/>
                <w:szCs w:val="21"/>
              </w:rPr>
              <w:t>第八条（第32段）</w:t>
            </w:r>
          </w:p>
        </w:tc>
        <w:tc>
          <w:tcPr>
            <w:tcW w:w="1200" w:type="dxa"/>
          </w:tcPr>
          <w:p>
            <w:pPr>
              <w:spacing w:after="40"/>
              <w:jc w:val="left"/>
            </w:pPr>
            <w:r>
              <w:rPr>
                <w:rFonts w:ascii="宋体" w:hAnsi="宋体" w:eastAsia="宋体"/>
                <w:sz w:val="21"/>
                <w:szCs w:val="21"/>
              </w:rPr>
              <w:t>"系统缺陷"未定义，质保范围可能被甲方扩大解释（任何不符合其主观预期的情形均要求免费修复）；另行收费的故障类型笼统；无服务响应时限</w:t>
            </w:r>
          </w:p>
        </w:tc>
        <w:tc>
          <w:tcPr>
            <w:tcW w:w="1200" w:type="dxa"/>
          </w:tcPr>
          <w:p>
            <w:pPr>
              <w:spacing w:after="40"/>
              <w:jc w:val="left"/>
            </w:pPr>
            <w:r>
              <w:rPr>
                <w:rFonts w:ascii="宋体" w:hAnsi="宋体" w:eastAsia="宋体"/>
                <w:sz w:val="21"/>
                <w:szCs w:val="21"/>
              </w:rPr>
              <w:t>中</w:t>
            </w:r>
          </w:p>
        </w:tc>
        <w:tc>
          <w:tcPr>
            <w:tcW w:w="1200" w:type="dxa"/>
          </w:tcPr>
          <w:p>
            <w:pPr>
              <w:spacing w:after="40"/>
              <w:jc w:val="left"/>
            </w:pPr>
            <w:r>
              <w:rPr>
                <w:rFonts w:ascii="宋体" w:hAnsi="宋体" w:eastAsia="宋体"/>
                <w:sz w:val="21"/>
                <w:szCs w:val="21"/>
              </w:rPr>
              <w:t>限定缺陷为"因乙方开发原因导致的功能错误或与《需求规格说明书》不符之处"；明确另行收费情形（甲方自行修改、甲方提供的第三方软件或运行环境原因）；增加"收到故障通知后2个工作日内响应"</w:t>
            </w:r>
          </w:p>
        </w:tc>
      </w:tr>
      <w:tr>
        <w:tc>
          <w:tcPr>
            <w:tcW w:w="1200" w:type="dxa"/>
          </w:tcPr>
          <w:p>
            <w:pPr>
              <w:spacing w:after="40"/>
              <w:jc w:val="left"/>
            </w:pPr>
            <w:r>
              <w:rPr>
                <w:rFonts w:ascii="宋体" w:hAnsi="宋体" w:eastAsia="宋体"/>
                <w:sz w:val="21"/>
                <w:szCs w:val="21"/>
              </w:rPr>
              <w:t>第十四条（第46段）</w:t>
            </w:r>
          </w:p>
        </w:tc>
        <w:tc>
          <w:tcPr>
            <w:tcW w:w="1200" w:type="dxa"/>
          </w:tcPr>
          <w:p>
            <w:pPr>
              <w:spacing w:after="40"/>
              <w:jc w:val="left"/>
            </w:pPr>
            <w:r>
              <w:rPr>
                <w:rFonts w:ascii="宋体" w:hAnsi="宋体" w:eastAsia="宋体"/>
                <w:sz w:val="21"/>
                <w:szCs w:val="21"/>
              </w:rPr>
              <w:t>不可抗力条款过于简略，未约定通知、证明与减损义务及解除权（民法典第590条要求及时通知并在合理期限内提供证明），发生不可抗力时程序争议风险高</w:t>
            </w:r>
          </w:p>
        </w:tc>
        <w:tc>
          <w:tcPr>
            <w:tcW w:w="1200" w:type="dxa"/>
          </w:tcPr>
          <w:p>
            <w:pPr>
              <w:spacing w:after="40"/>
              <w:jc w:val="left"/>
            </w:pPr>
            <w:r>
              <w:rPr>
                <w:rFonts w:ascii="宋体" w:hAnsi="宋体" w:eastAsia="宋体"/>
                <w:sz w:val="21"/>
                <w:szCs w:val="21"/>
              </w:rPr>
              <w:t>中</w:t>
            </w:r>
          </w:p>
        </w:tc>
        <w:tc>
          <w:tcPr>
            <w:tcW w:w="1200" w:type="dxa"/>
          </w:tcPr>
          <w:p>
            <w:pPr>
              <w:spacing w:after="40"/>
              <w:jc w:val="left"/>
            </w:pPr>
            <w:r>
              <w:rPr>
                <w:rFonts w:ascii="宋体" w:hAnsi="宋体" w:eastAsia="宋体"/>
                <w:sz w:val="21"/>
                <w:szCs w:val="21"/>
              </w:rPr>
              <w:t>补全："遭受不可抗力的一方应在不可抗力发生后7日内书面通知对方，并在合理期限内提供证明；未及时通知导致损失扩大的，就扩大部分不得免除责任。不可抗力致使合同目的不能实现的，任何一方均有权解除本合同。"</w:t>
            </w:r>
          </w:p>
        </w:tc>
      </w:tr>
      <w:tr>
        <w:tc>
          <w:tcPr>
            <w:tcW w:w="1200" w:type="dxa"/>
          </w:tcPr>
          <w:p>
            <w:pPr>
              <w:spacing w:after="40"/>
              <w:jc w:val="left"/>
            </w:pPr>
            <w:r>
              <w:rPr>
                <w:rFonts w:ascii="宋体" w:hAnsi="宋体" w:eastAsia="宋体"/>
                <w:sz w:val="21"/>
                <w:szCs w:val="21"/>
              </w:rPr>
              <w:t>第十五条（第48段）</w:t>
            </w:r>
          </w:p>
        </w:tc>
        <w:tc>
          <w:tcPr>
            <w:tcW w:w="1200" w:type="dxa"/>
          </w:tcPr>
          <w:p>
            <w:pPr>
              <w:spacing w:after="40"/>
              <w:jc w:val="left"/>
            </w:pPr>
            <w:r>
              <w:rPr>
                <w:rFonts w:ascii="宋体" w:hAnsi="宋体" w:eastAsia="宋体"/>
                <w:sz w:val="21"/>
                <w:szCs w:val="21"/>
              </w:rPr>
              <w:t>约定"甲方所在地"法院管辖，乙方处于被动地位（异地应诉、主场劣势）；双方同城（西湖区 vs 滨江区）实际影响可控，但按民事诉讼法第35条乙方可主张"与争议有实际联系的地点"中更中立的选择</w:t>
            </w:r>
          </w:p>
        </w:tc>
        <w:tc>
          <w:tcPr>
            <w:tcW w:w="1200" w:type="dxa"/>
          </w:tcPr>
          <w:p>
            <w:pPr>
              <w:spacing w:after="40"/>
              <w:jc w:val="left"/>
            </w:pPr>
            <w:r>
              <w:rPr>
                <w:rFonts w:ascii="宋体" w:hAnsi="宋体" w:eastAsia="宋体"/>
                <w:sz w:val="21"/>
                <w:szCs w:val="21"/>
              </w:rPr>
              <w:t>中</w:t>
            </w:r>
          </w:p>
        </w:tc>
        <w:tc>
          <w:tcPr>
            <w:tcW w:w="1200" w:type="dxa"/>
          </w:tcPr>
          <w:p>
            <w:pPr>
              <w:spacing w:after="40"/>
              <w:jc w:val="left"/>
            </w:pPr>
            <w:r>
              <w:rPr>
                <w:rFonts w:ascii="宋体" w:hAnsi="宋体" w:eastAsia="宋体"/>
                <w:sz w:val="21"/>
                <w:szCs w:val="21"/>
              </w:rPr>
              <w:t>争取改为"提交合同签订地（杭州市西湖区）有管辖权的人民法院诉讼解决"，或"被告住所地"</w:t>
            </w:r>
          </w:p>
        </w:tc>
      </w:tr>
      <w:tr>
        <w:tc>
          <w:tcPr>
            <w:tcW w:w="1200" w:type="dxa"/>
          </w:tcPr>
          <w:p>
            <w:pPr>
              <w:spacing w:after="40"/>
              <w:jc w:val="left"/>
            </w:pPr>
            <w:r>
              <w:rPr>
                <w:rFonts w:ascii="宋体" w:hAnsi="宋体" w:eastAsia="宋体"/>
                <w:sz w:val="21"/>
                <w:szCs w:val="21"/>
              </w:rPr>
              <w:t>第十三条（第44段）</w:t>
            </w:r>
          </w:p>
        </w:tc>
        <w:tc>
          <w:tcPr>
            <w:tcW w:w="1200" w:type="dxa"/>
          </w:tcPr>
          <w:p>
            <w:pPr>
              <w:spacing w:after="40"/>
              <w:jc w:val="left"/>
            </w:pPr>
            <w:r>
              <w:rPr>
                <w:rFonts w:ascii="宋体" w:hAnsi="宋体" w:eastAsia="宋体"/>
                <w:sz w:val="21"/>
                <w:szCs w:val="21"/>
              </w:rPr>
              <w:t>条款援引"首部载明的……电子邮箱"，但合同首部未载明任何电子邮箱，条款落空；未约定电子送达到达时间，涉送达效力争议</w:t>
            </w:r>
          </w:p>
        </w:tc>
        <w:tc>
          <w:tcPr>
            <w:tcW w:w="1200" w:type="dxa"/>
          </w:tcPr>
          <w:p>
            <w:pPr>
              <w:spacing w:after="40"/>
              <w:jc w:val="left"/>
            </w:pPr>
            <w:r>
              <w:rPr>
                <w:rFonts w:ascii="宋体" w:hAnsi="宋体" w:eastAsia="宋体"/>
                <w:sz w:val="21"/>
                <w:szCs w:val="21"/>
              </w:rPr>
              <w:t>中</w:t>
            </w:r>
          </w:p>
        </w:tc>
        <w:tc>
          <w:tcPr>
            <w:tcW w:w="1200" w:type="dxa"/>
          </w:tcPr>
          <w:p>
            <w:pPr>
              <w:spacing w:after="40"/>
              <w:jc w:val="left"/>
            </w:pPr>
            <w:r>
              <w:rPr>
                <w:rFonts w:ascii="宋体" w:hAnsi="宋体" w:eastAsia="宋体"/>
                <w:sz w:val="21"/>
                <w:szCs w:val="21"/>
              </w:rPr>
              <w:t>改为"双方以本合同首部载明的地址及双方另行书面确认的电子邮箱为送达地址；以电子邮件方式送达的，邮件进入对方指定邮箱系统之日视为送达"</w:t>
            </w:r>
          </w:p>
        </w:tc>
      </w:tr>
      <w:tr>
        <w:tc>
          <w:tcPr>
            <w:tcW w:w="1200" w:type="dxa"/>
          </w:tcPr>
          <w:p>
            <w:pPr>
              <w:spacing w:after="40"/>
              <w:jc w:val="left"/>
            </w:pPr>
            <w:r>
              <w:rPr>
                <w:rFonts w:ascii="宋体" w:hAnsi="宋体" w:eastAsia="宋体"/>
                <w:sz w:val="21"/>
                <w:szCs w:val="21"/>
              </w:rPr>
              <w:t>签署页（第52、53段）</w:t>
            </w:r>
          </w:p>
        </w:tc>
        <w:tc>
          <w:tcPr>
            <w:tcW w:w="1200" w:type="dxa"/>
          </w:tcPr>
          <w:p>
            <w:pPr>
              <w:spacing w:after="40"/>
              <w:jc w:val="left"/>
            </w:pPr>
            <w:r>
              <w:rPr>
                <w:rFonts w:ascii="宋体" w:hAnsi="宋体" w:eastAsia="宋体"/>
                <w:sz w:val="21"/>
                <w:szCs w:val="21"/>
              </w:rPr>
              <w:t>授权代表栏空白、无签署日期；如签署人非法定代表人，无授权委托书安排</w:t>
            </w:r>
          </w:p>
        </w:tc>
        <w:tc>
          <w:tcPr>
            <w:tcW w:w="1200" w:type="dxa"/>
          </w:tcPr>
          <w:p>
            <w:pPr>
              <w:spacing w:after="40"/>
              <w:jc w:val="left"/>
            </w:pPr>
            <w:r>
              <w:rPr>
                <w:rFonts w:ascii="宋体" w:hAnsi="宋体" w:eastAsia="宋体"/>
                <w:sz w:val="21"/>
                <w:szCs w:val="21"/>
              </w:rPr>
              <w:t>中</w:t>
            </w:r>
          </w:p>
        </w:tc>
        <w:tc>
          <w:tcPr>
            <w:tcW w:w="1200" w:type="dxa"/>
          </w:tcPr>
          <w:p>
            <w:pPr>
              <w:spacing w:after="40"/>
              <w:jc w:val="left"/>
            </w:pPr>
            <w:r>
              <w:rPr>
                <w:rFonts w:ascii="宋体" w:hAnsi="宋体" w:eastAsia="宋体"/>
                <w:sz w:val="21"/>
                <w:szCs w:val="21"/>
              </w:rPr>
              <w:t>签署时填写授权代表姓名及签署日期；非法定代表人签署时附授权委托书；建议加盖骑缝章</w:t>
            </w:r>
          </w:p>
        </w:tc>
      </w:tr>
      <w:tr>
        <w:tc>
          <w:tcPr>
            <w:tcW w:w="1200" w:type="dxa"/>
          </w:tcPr>
          <w:p>
            <w:pPr>
              <w:spacing w:after="40"/>
              <w:jc w:val="left"/>
            </w:pPr>
            <w:r>
              <w:rPr>
                <w:rFonts w:ascii="宋体" w:hAnsi="宋体" w:eastAsia="宋体"/>
                <w:sz w:val="21"/>
                <w:szCs w:val="21"/>
              </w:rPr>
              <w:t>第九条（第36段）</w:t>
            </w:r>
          </w:p>
        </w:tc>
        <w:tc>
          <w:tcPr>
            <w:tcW w:w="1200" w:type="dxa"/>
          </w:tcPr>
          <w:p>
            <w:pPr>
              <w:spacing w:after="40"/>
              <w:jc w:val="left"/>
            </w:pPr>
            <w:r>
              <w:rPr>
                <w:rFonts w:ascii="宋体" w:hAnsi="宋体" w:eastAsia="宋体"/>
                <w:sz w:val="21"/>
                <w:szCs w:val="21"/>
              </w:rPr>
              <w:t>违约金上限均为合同总价30%，但基数不同：乙方按总价48万元计（封顶14.4万元），甲方按应付未付金额计（尾款19.2万元×30%=5.76万元封顶），实际封顶额不对等</w:t>
            </w:r>
          </w:p>
        </w:tc>
        <w:tc>
          <w:tcPr>
            <w:tcW w:w="1200" w:type="dxa"/>
          </w:tcPr>
          <w:p>
            <w:pPr>
              <w:spacing w:after="40"/>
              <w:jc w:val="left"/>
            </w:pPr>
            <w:r>
              <w:rPr>
                <w:rFonts w:ascii="宋体" w:hAnsi="宋体" w:eastAsia="宋体"/>
                <w:sz w:val="21"/>
                <w:szCs w:val="21"/>
              </w:rPr>
              <w:t>低</w:t>
            </w:r>
          </w:p>
        </w:tc>
        <w:tc>
          <w:tcPr>
            <w:tcW w:w="1200" w:type="dxa"/>
          </w:tcPr>
          <w:p>
            <w:pPr>
              <w:spacing w:after="40"/>
              <w:jc w:val="left"/>
            </w:pPr>
            <w:r>
              <w:rPr>
                <w:rFonts w:ascii="宋体" w:hAnsi="宋体" w:eastAsia="宋体"/>
                <w:sz w:val="21"/>
                <w:szCs w:val="21"/>
              </w:rPr>
              <w:t>保留双方对等上限；建议明确"违约金不足以弥补实际损失的，守约方有权另行主张差额赔偿"（民法典第585条第2款）</w:t>
            </w:r>
          </w:p>
        </w:tc>
      </w:tr>
      <w:tr>
        <w:tc>
          <w:tcPr>
            <w:tcW w:w="1200" w:type="dxa"/>
          </w:tcPr>
          <w:p>
            <w:pPr>
              <w:spacing w:after="40"/>
              <w:jc w:val="left"/>
            </w:pPr>
            <w:r>
              <w:rPr>
                <w:rFonts w:ascii="宋体" w:hAnsi="宋体" w:eastAsia="宋体"/>
                <w:sz w:val="21"/>
                <w:szCs w:val="21"/>
              </w:rPr>
              <w:t>第四条（第19段）</w:t>
            </w:r>
          </w:p>
        </w:tc>
        <w:tc>
          <w:tcPr>
            <w:tcW w:w="1200" w:type="dxa"/>
          </w:tcPr>
          <w:p>
            <w:pPr>
              <w:spacing w:after="40"/>
              <w:jc w:val="left"/>
            </w:pPr>
            <w:r>
              <w:rPr>
                <w:rFonts w:ascii="宋体" w:hAnsi="宋体" w:eastAsia="宋体"/>
                <w:sz w:val="21"/>
                <w:szCs w:val="21"/>
              </w:rPr>
              <w:t>预付款仅10%（4.8万元），难以覆盖需求分析与原型设计阶段投入；甲方中途解约（见第十条）时前期投入回收风险大</w:t>
            </w:r>
          </w:p>
        </w:tc>
        <w:tc>
          <w:tcPr>
            <w:tcW w:w="1200" w:type="dxa"/>
          </w:tcPr>
          <w:p>
            <w:pPr>
              <w:spacing w:after="40"/>
              <w:jc w:val="left"/>
            </w:pPr>
            <w:r>
              <w:rPr>
                <w:rFonts w:ascii="宋体" w:hAnsi="宋体" w:eastAsia="宋体"/>
                <w:sz w:val="21"/>
                <w:szCs w:val="21"/>
              </w:rPr>
              <w:t>低</w:t>
            </w:r>
          </w:p>
        </w:tc>
        <w:tc>
          <w:tcPr>
            <w:tcW w:w="1200" w:type="dxa"/>
          </w:tcPr>
          <w:p>
            <w:pPr>
              <w:spacing w:after="40"/>
              <w:jc w:val="left"/>
            </w:pPr>
            <w:r>
              <w:rPr>
                <w:rFonts w:ascii="宋体" w:hAnsi="宋体" w:eastAsia="宋体"/>
                <w:sz w:val="21"/>
                <w:szCs w:val="21"/>
              </w:rPr>
              <w:t>提高至20%及以上；如甲方不接受，可争取15%并压缩后续付款周期</w:t>
            </w:r>
          </w:p>
        </w:tc>
      </w:tr>
      <w:tr>
        <w:tc>
          <w:tcPr>
            <w:tcW w:w="1200" w:type="dxa"/>
          </w:tcPr>
          <w:p>
            <w:pPr>
              <w:spacing w:after="40"/>
              <w:jc w:val="left"/>
            </w:pPr>
            <w:r>
              <w:rPr>
                <w:rFonts w:ascii="宋体" w:hAnsi="宋体" w:eastAsia="宋体"/>
                <w:sz w:val="21"/>
                <w:szCs w:val="21"/>
              </w:rPr>
              <w:t>第十六条（第50段）</w:t>
            </w:r>
          </w:p>
        </w:tc>
        <w:tc>
          <w:tcPr>
            <w:tcW w:w="1200" w:type="dxa"/>
          </w:tcPr>
          <w:p>
            <w:pPr>
              <w:spacing w:after="40"/>
              <w:jc w:val="left"/>
            </w:pPr>
            <w:r>
              <w:rPr>
                <w:rFonts w:ascii="宋体" w:hAnsi="宋体" w:eastAsia="宋体"/>
                <w:sz w:val="21"/>
                <w:szCs w:val="21"/>
              </w:rPr>
              <w:t>未约定合同附件构成及效力，《需求规格说明书》等文件与正文关系无合同依据</w:t>
            </w:r>
          </w:p>
        </w:tc>
        <w:tc>
          <w:tcPr>
            <w:tcW w:w="1200" w:type="dxa"/>
          </w:tcPr>
          <w:p>
            <w:pPr>
              <w:spacing w:after="40"/>
              <w:jc w:val="left"/>
            </w:pPr>
            <w:r>
              <w:rPr>
                <w:rFonts w:ascii="宋体" w:hAnsi="宋体" w:eastAsia="宋体"/>
                <w:sz w:val="21"/>
                <w:szCs w:val="21"/>
              </w:rPr>
              <w:t>低</w:t>
            </w:r>
          </w:p>
        </w:tc>
        <w:tc>
          <w:tcPr>
            <w:tcW w:w="1200" w:type="dxa"/>
          </w:tcPr>
          <w:p>
            <w:pPr>
              <w:spacing w:after="40"/>
              <w:jc w:val="left"/>
            </w:pPr>
            <w:r>
              <w:rPr>
                <w:rFonts w:ascii="宋体" w:hAnsi="宋体" w:eastAsia="宋体"/>
                <w:sz w:val="21"/>
                <w:szCs w:val="21"/>
              </w:rPr>
              <w:t>增加"本合同及其附件构成合同整体，附件与正文具有同等法律效力"</w:t>
            </w:r>
          </w:p>
        </w:tc>
      </w:tr>
      <w:tr>
        <w:tc>
          <w:tcPr>
            <w:tcW w:w="1200" w:type="dxa"/>
          </w:tcPr>
          <w:p>
            <w:pPr>
              <w:spacing w:after="40"/>
              <w:jc w:val="left"/>
            </w:pPr>
            <w:r>
              <w:rPr>
                <w:rFonts w:ascii="宋体" w:hAnsi="宋体" w:eastAsia="宋体"/>
                <w:sz w:val="21"/>
                <w:szCs w:val="21"/>
              </w:rPr>
              <w:t>全文（第4、17段等）</w:t>
            </w:r>
          </w:p>
        </w:tc>
        <w:tc>
          <w:tcPr>
            <w:tcW w:w="1200" w:type="dxa"/>
          </w:tcPr>
          <w:p>
            <w:pPr>
              <w:spacing w:after="40"/>
              <w:jc w:val="left"/>
            </w:pPr>
            <w:r>
              <w:rPr>
                <w:rFonts w:ascii="宋体" w:hAnsi="宋体" w:eastAsia="宋体"/>
                <w:sz w:val="21"/>
                <w:szCs w:val="21"/>
              </w:rPr>
              <w:t>文本质量："2026 年 3 月 2 日""480,000 元""10 日"等数字与单位间存在多余空格，正式文书排版瑕疵</w:t>
            </w:r>
          </w:p>
        </w:tc>
        <w:tc>
          <w:tcPr>
            <w:tcW w:w="1200" w:type="dxa"/>
          </w:tcPr>
          <w:p>
            <w:pPr>
              <w:spacing w:after="40"/>
              <w:jc w:val="left"/>
            </w:pPr>
            <w:r>
              <w:rPr>
                <w:rFonts w:ascii="宋体" w:hAnsi="宋体" w:eastAsia="宋体"/>
                <w:sz w:val="21"/>
                <w:szCs w:val="21"/>
              </w:rPr>
              <w:t>低</w:t>
            </w:r>
          </w:p>
        </w:tc>
        <w:tc>
          <w:tcPr>
            <w:tcW w:w="1200" w:type="dxa"/>
          </w:tcPr>
          <w:p>
            <w:pPr>
              <w:spacing w:after="40"/>
              <w:jc w:val="left"/>
            </w:pPr>
            <w:r>
              <w:rPr>
                <w:rFonts w:ascii="宋体" w:hAnsi="宋体" w:eastAsia="宋体"/>
                <w:sz w:val="21"/>
                <w:szCs w:val="21"/>
              </w:rPr>
              <w:t>统一排版（去空格、统一全角数字）后用印</w:t>
            </w:r>
          </w:p>
        </w:tc>
      </w:tr>
      <w:tr>
        <w:tc>
          <w:tcPr>
            <w:tcW w:w="1200" w:type="dxa"/>
          </w:tcPr>
          <w:p>
            <w:pPr>
              <w:spacing w:after="40"/>
              <w:jc w:val="left"/>
            </w:pPr>
            <w:r>
              <w:rPr>
                <w:rFonts w:ascii="宋体" w:hAnsi="宋体" w:eastAsia="宋体"/>
                <w:sz w:val="21"/>
                <w:szCs w:val="21"/>
              </w:rPr>
              <w:t>第一条（第13段）</w:t>
            </w:r>
          </w:p>
        </w:tc>
        <w:tc>
          <w:tcPr>
            <w:tcW w:w="1200" w:type="dxa"/>
          </w:tcPr>
          <w:p>
            <w:pPr>
              <w:spacing w:after="40"/>
              <w:jc w:val="left"/>
            </w:pPr>
            <w:r>
              <w:rPr>
                <w:rFonts w:ascii="宋体" w:hAnsi="宋体" w:eastAsia="宋体"/>
                <w:sz w:val="21"/>
                <w:szCs w:val="21"/>
              </w:rPr>
              <w:t>CRM系统含客户档案、商机管理等模块，如涉及个人信息处理，未约定数据合规安排（个人信息处理者/受托处理者、数据来源合法性、安全责任），存在个保法合规风险</w:t>
            </w:r>
          </w:p>
        </w:tc>
        <w:tc>
          <w:tcPr>
            <w:tcW w:w="1200" w:type="dxa"/>
          </w:tcPr>
          <w:p>
            <w:pPr>
              <w:spacing w:after="40"/>
              <w:jc w:val="left"/>
            </w:pPr>
            <w:r>
              <w:rPr>
                <w:rFonts w:ascii="宋体" w:hAnsi="宋体" w:eastAsia="宋体"/>
                <w:sz w:val="21"/>
                <w:szCs w:val="21"/>
              </w:rPr>
              <w:t>高</w:t>
            </w:r>
          </w:p>
        </w:tc>
        <w:tc>
          <w:tcPr>
            <w:tcW w:w="1200" w:type="dxa"/>
          </w:tcPr>
          <w:p>
            <w:pPr>
              <w:spacing w:after="40"/>
              <w:jc w:val="left"/>
            </w:pPr>
            <w:r>
              <w:rPr>
                <w:rFonts w:ascii="宋体" w:hAnsi="宋体" w:eastAsia="宋体"/>
                <w:sz w:val="21"/>
                <w:szCs w:val="21"/>
              </w:rPr>
              <w:t>建议增设数据处理条款：按《个人信息保护法》第21条明确甲方为个人信息处理者、乙方为受托处理者，数据来源合法性与合规责任由甲方承担；乙方按约定目的和方式处理并采取安全措施</w:t>
            </w:r>
          </w:p>
        </w:tc>
      </w:tr>
    </w:tbl>
    <w:p>
      <w:pPr>
        <w:spacing w:after="80" w:line="360" w:lineRule="auto"/>
        <w:jc w:val="both"/>
      </w:pPr>
    </w:p>
    <w:p>
      <w:pPr>
        <w:spacing w:after="100" w:line="360" w:lineRule="auto"/>
        <w:jc w:val="left"/>
      </w:pPr>
      <w:r>
        <w:rPr>
          <w:b/>
          <w:rFonts w:ascii="黑体" w:hAnsi="黑体" w:eastAsia="黑体"/>
          <w:sz w:val="30"/>
          <w:szCs w:val="30"/>
        </w:rPr>
        <w:t>二、整体结论</w:t>
      </w:r>
    </w:p>
    <w:p>
      <w:pPr>
        <w:spacing w:after="120" w:line="360" w:lineRule="auto"/>
        <w:ind w:firstLineChars="200" w:firstLine="480"/>
        <w:jc w:val="both"/>
      </w:pPr>
      <w:r>
        <w:rPr>
          <w:rFonts w:ascii="宋体" w:hAnsi="宋体" w:eastAsia="宋体"/>
          <w:sz w:val="24"/>
          <w:szCs w:val="24"/>
        </w:rPr>
        <w:t>本合同为定制软件开发委托合同（兼具承揽与技术开发合同特征），标的、价款、期限明确，框架完整。但经逐条审核，条款整体明显偏向甲方：付款节点（尾款40%验收后60日）、验收标准（主观"业务需求"）、违约金（双向费率相差约16.7倍）、单方解除权（随时解除+仅付50%）、知识产权（未保留乙方背景技术）、保密义务（单向无限期）等核心条款均对乙方单向不利，其中违约金费率、解除补偿比例、保密范围三项与法定标准或司法裁量基准显著偏离，如按现状签署，乙方将承担与48万元价款不成比例的风险。</w:t>
      </w:r>
    </w:p>
    <w:p>
      <w:pPr>
        <w:spacing w:after="120" w:line="360" w:lineRule="auto"/>
        <w:ind w:firstLineChars="200" w:firstLine="480"/>
        <w:jc w:val="both"/>
      </w:pPr>
      <w:r>
        <w:rPr>
          <w:rFonts w:ascii="宋体" w:hAnsi="宋体" w:eastAsia="宋体"/>
          <w:sz w:val="24"/>
          <w:szCs w:val="24"/>
        </w:rPr>
        <w:t>结论：建议有条件签署。签署前应至少完成以下必改项谈判：①第九条第1款违约金费率对等下调；②第十条解除补偿恢复法定标准；③第十一条改为双向限期保密；④第十二条责任限缩至交付成果本身侵权；⑤第二条确立变更书面确认程序；⑥第五条验收标准客观化并以《需求规格说明书》为准；⑦第七条补充背景知识产权保留与全款付清前使用权限制；⑧第四条尾款支付期限缩短或拆分。如甲方拒绝全部核心修改，建议评估放弃本项目或提高报价对冲风险。</w:t>
      </w:r>
    </w:p>
    <w:p>
      <w:pPr>
        <w:spacing w:after="120" w:line="360" w:lineRule="auto"/>
        <w:ind w:firstLineChars="200" w:firstLine="480"/>
        <w:jc w:val="both"/>
      </w:pPr>
      <w:r>
        <w:rPr>
          <w:rFonts w:ascii="宋体" w:hAnsi="宋体" w:eastAsia="宋体"/>
          <w:sz w:val="24"/>
          <w:szCs w:val="24"/>
        </w:rPr>
        <w:t>法规核查说明：本报告法条核查经公开权威渠道检索核实（最高人民法院公布《民法典合同编通则司法解释》全文、法院官网类案文章、法信数据库等，来源见对话内引用）；本会话未接入元典法规数据库，相关结论未经元典库逐条核验，正式出具前请以官方来源复核。</w:t>
      </w:r>
    </w:p>
    <w:p>
      <w:pPr>
        <w:spacing w:after="100" w:line="360" w:lineRule="auto"/>
        <w:jc w:val="left"/>
      </w:pPr>
      <w:r>
        <w:rPr>
          <w:b/>
          <w:rFonts w:ascii="黑体" w:hAnsi="黑体" w:eastAsia="黑体"/>
          <w:sz w:val="30"/>
          <w:szCs w:val="30"/>
        </w:rPr>
        <w:t>三、待决策事项</w:t>
      </w:r>
    </w:p>
    <w:p>
      <w:pPr>
        <w:spacing w:after="60" w:line="360" w:lineRule="auto"/>
        <w:jc w:val="left"/>
      </w:pPr>
      <w:r>
        <w:rPr>
          <w:rFonts w:ascii="宋体" w:hAnsi="宋体" w:eastAsia="宋体"/>
          <w:sz w:val="24"/>
          <w:szCs w:val="24"/>
        </w:rPr>
        <w:t>· 违约金方案：接受对等"万分之五/日"，还是进一步压低（如万分之三/日）；是否在合同中明确违约金与损失赔偿的关系表述</w:t>
      </w:r>
    </w:p>
    <w:p>
      <w:pPr>
        <w:spacing w:after="60" w:line="360" w:lineRule="auto"/>
        <w:jc w:val="left"/>
      </w:pPr>
      <w:r>
        <w:rPr>
          <w:rFonts w:ascii="宋体" w:hAnsi="宋体" w:eastAsia="宋体"/>
          <w:sz w:val="24"/>
          <w:szCs w:val="24"/>
        </w:rPr>
        <w:t>· 尾款支付：10个工作日一次性 vs 拆分（验收合格后20%+质保期满后20%）——需权衡现金流回收与甲方接受度</w:t>
      </w:r>
    </w:p>
    <w:p>
      <w:pPr>
        <w:spacing w:after="60" w:line="360" w:lineRule="auto"/>
        <w:jc w:val="left"/>
      </w:pPr>
      <w:r>
        <w:rPr>
          <w:rFonts w:ascii="宋体" w:hAnsi="宋体" w:eastAsia="宋体"/>
          <w:sz w:val="24"/>
          <w:szCs w:val="24"/>
        </w:rPr>
        <w:t>· 预付款比例：20%、30%或维持10%但要求缩短后续付款节点周期</w:t>
      </w:r>
    </w:p>
    <w:p>
      <w:pPr>
        <w:spacing w:after="60" w:line="360" w:lineRule="auto"/>
        <w:jc w:val="left"/>
      </w:pPr>
      <w:r>
        <w:rPr>
          <w:rFonts w:ascii="宋体" w:hAnsi="宋体" w:eastAsia="宋体"/>
          <w:sz w:val="24"/>
          <w:szCs w:val="24"/>
        </w:rPr>
        <w:t>· 管辖法院：合同签订地（西湖区）/ 乙方住所地（滨江区）/ 维持甲方所在地——双方同城，诉讼成本差异有限，可作让步筹码换取其他条款</w:t>
      </w:r>
    </w:p>
    <w:p>
      <w:pPr>
        <w:spacing w:after="60" w:line="360" w:lineRule="auto"/>
        <w:jc w:val="left"/>
      </w:pPr>
      <w:r>
        <w:rPr>
          <w:rFonts w:ascii="宋体" w:hAnsi="宋体" w:eastAsia="宋体"/>
          <w:sz w:val="24"/>
          <w:szCs w:val="24"/>
        </w:rPr>
        <w:t>· 知识产权：通用组件与背景技术保留条款的谈判底线——需评估乙方可复用模块在本项目中的占比及商业价值，确定可接受的许可范围</w:t>
      </w:r>
    </w:p>
    <w:p>
      <w:pPr>
        <w:spacing w:after="60" w:line="360" w:lineRule="auto"/>
        <w:jc w:val="left"/>
      </w:pPr>
      <w:r>
        <w:rPr>
          <w:rFonts w:ascii="宋体" w:hAnsi="宋体" w:eastAsia="宋体"/>
          <w:sz w:val="24"/>
          <w:szCs w:val="24"/>
        </w:rPr>
        <w:t>· 保密条款：期限定3年、5年还是合同期内+2年；是否另行约定违反保密义务的违约金</w:t>
      </w:r>
    </w:p>
    <w:p>
      <w:pPr>
        <w:spacing w:after="60" w:line="360" w:lineRule="auto"/>
        <w:jc w:val="left"/>
      </w:pPr>
      <w:r>
        <w:rPr>
          <w:rFonts w:ascii="宋体" w:hAnsi="宋体" w:eastAsia="宋体"/>
          <w:sz w:val="24"/>
          <w:szCs w:val="24"/>
        </w:rPr>
        <w:t>· 质保响应时限：是否接受"2个工作日响应"承诺（影响乙方运维人力安排与成本）</w:t>
      </w:r>
    </w:p>
    <w:p>
      <w:pPr>
        <w:spacing w:after="100" w:line="360" w:lineRule="auto"/>
        <w:jc w:val="left"/>
      </w:pPr>
      <w:r>
        <w:rPr>
          <w:b/>
          <w:rFonts w:ascii="黑体" w:hAnsi="黑体" w:eastAsia="黑体"/>
          <w:sz w:val="30"/>
          <w:szCs w:val="30"/>
        </w:rPr>
        <w:t>四、待核实项</w:t>
      </w:r>
    </w:p>
    <w:p>
      <w:pPr>
        <w:spacing w:after="60" w:line="360" w:lineRule="auto"/>
        <w:jc w:val="left"/>
      </w:pPr>
      <w:r>
        <w:rPr>
          <w:rFonts w:ascii="宋体" w:hAnsi="宋体" w:eastAsia="宋体"/>
          <w:sz w:val="24"/>
          <w:szCs w:val="24"/>
        </w:rPr>
        <w:t>· 甲方主体资格、涉诉情况与付款能力：建议签订前通过国家企业信用信息公示系统、中国裁判文书网等渠道核实云启科技有限公司资信</w:t>
      </w:r>
    </w:p>
    <w:p>
      <w:pPr>
        <w:spacing w:after="60" w:line="360" w:lineRule="auto"/>
        <w:jc w:val="left"/>
      </w:pPr>
      <w:r>
        <w:rPr>
          <w:rFonts w:ascii="宋体" w:hAnsi="宋体" w:eastAsia="宋体"/>
          <w:sz w:val="24"/>
          <w:szCs w:val="24"/>
        </w:rPr>
        <w:t>· 《需求规格说明书》尚未形成：其范围直接决定工期、验收标准与尾款支付，建议谈判阶段同步形成初稿并作为合同附件</w:t>
      </w:r>
    </w:p>
    <w:p>
      <w:pPr>
        <w:spacing w:after="60" w:line="360" w:lineRule="auto"/>
        <w:jc w:val="left"/>
      </w:pPr>
      <w:r>
        <w:rPr>
          <w:rFonts w:ascii="宋体" w:hAnsi="宋体" w:eastAsia="宋体"/>
          <w:sz w:val="24"/>
          <w:szCs w:val="24"/>
        </w:rPr>
        <w:t>· CRM系统是否实际处理个人信息（客户档案模块通常涉及）：若涉及，应按《个人信息保护法》增设数据处理条款（见风险清单末项）</w:t>
      </w:r>
    </w:p>
    <w:p>
      <w:pPr>
        <w:spacing w:after="60" w:line="360" w:lineRule="auto"/>
        <w:jc w:val="left"/>
      </w:pPr>
      <w:r>
        <w:rPr>
          <w:rFonts w:ascii="宋体" w:hAnsi="宋体" w:eastAsia="宋体"/>
          <w:sz w:val="24"/>
          <w:szCs w:val="24"/>
        </w:rPr>
        <w:t>· 乙方交付源代码中第三方/开源组件清单及许可合规性（如GPL等传染性许可）：建议乙方内部核查并在交付物中列明，防范交付后被甲方追责</w:t>
      </w:r>
    </w:p>
    <w:p>
      <w:pPr>
        <w:spacing w:after="60" w:line="360" w:lineRule="auto"/>
        <w:jc w:val="left"/>
      </w:pPr>
      <w:r>
        <w:rPr>
          <w:rFonts w:ascii="宋体" w:hAnsi="宋体" w:eastAsia="宋体"/>
          <w:sz w:val="24"/>
          <w:szCs w:val="24"/>
        </w:rPr>
        <w:t>· "服务器等第三方费用"的具体范围（云服务器、第三方软件授权、短信/邮件服务费等）未列明，建议以附件形式明确，避免结算争议</w:t>
      </w:r>
    </w:p>
    <w:p>
      <w:pPr>
        <w:spacing w:after="60" w:line="360" w:lineRule="auto"/>
        <w:jc w:val="left"/>
      </w:pPr>
      <w:r>
        <w:rPr>
          <w:rFonts w:ascii="宋体" w:hAnsi="宋体" w:eastAsia="宋体"/>
          <w:sz w:val="24"/>
          <w:szCs w:val="24"/>
        </w:rPr>
        <w:t>· 合同价款是否含税及发票类型（增值税专用/普通发票）未约定，需与甲方财务确认</w:t>
      </w:r>
    </w:p>
    <w:p>
      <w:pPr>
        <w:spacing w:after="60" w:line="360" w:lineRule="auto"/>
        <w:jc w:val="left"/>
      </w:pPr>
      <w:r>
        <w:rPr>
          <w:rFonts w:ascii="宋体" w:hAnsi="宋体" w:eastAsia="宋体"/>
          <w:sz w:val="24"/>
          <w:szCs w:val="24"/>
        </w:rPr>
        <w:t>· 甲方是否要求乙方驻场开发、系统是否需等保测评/数据出境评估等特别合规要求（视行业而定）</w:t>
      </w:r>
    </w:p>
    <w:p>
      <w:pPr>
        <w:spacing w:after="100" w:line="360" w:lineRule="auto"/>
        <w:jc w:val="left"/>
      </w:pPr>
      <w:r>
        <w:rPr>
          <w:b/>
          <w:rFonts w:ascii="黑体" w:hAnsi="黑体" w:eastAsia="黑体"/>
          <w:sz w:val="30"/>
          <w:szCs w:val="30"/>
        </w:rPr>
        <w:t>免责声明</w:t>
      </w:r>
    </w:p>
    <w:p>
      <w:pPr>
        <w:spacing w:after="120" w:line="360" w:lineRule="auto"/>
        <w:ind w:firstLineChars="200" w:firstLine="480"/>
        <w:jc w:val="both"/>
      </w:pPr>
      <w:r>
        <w:rPr>
          <w:rFonts w:ascii="宋体" w:hAnsi="宋体" w:eastAsia="宋体"/>
          <w:sz w:val="24"/>
          <w:szCs w:val="24"/>
        </w:rPr>
        <w:t>本报告由 AI 律师工作台辅助生成，仅供办案参考，不构成正式法律意见；引用法条与案例请以官方来源复核。</w:t>
      </w:r>
    </w:p>
    <w:sectPr>
      <w:pgSz w:w="11906" w:h="16838"/>
      <w:pgMar w:top="1440" w:right="1440" w:bottom="1440" w:left="1440"/>
    </w:sectPr>
  </w:body>
</w:document>
</file>

<file path=word/styles.xml><?xml version="1.0" encoding="utf-8"?>
<w:styles xmlns:w="http://schemas.openxmlformats.org/wordprocessingml/2006/main">
  <w:docDefaults>
    <w:rPrDefault>
      <w:rPr>
        <w:rFonts w:ascii="宋体" w:hAnsi="宋体" w:eastAsia="宋体"/>
        <w:sz w:val="24"/>
        <w:szCs w:val="24"/>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