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line="360" w:lineRule="auto"/>
        <w:jc w:val="center"/>
      </w:pPr>
      <w:r>
        <w:rPr>
          <w:b/>
          <w:rFonts w:ascii="黑体" w:hAnsi="黑体" w:eastAsia="黑体"/>
          <w:sz w:val="44"/>
          <w:szCs w:val="44"/>
        </w:rPr>
        <w:t>代理词</w:t>
      </w:r>
    </w:p>
    <w:p>
      <w:pPr>
        <w:spacing w:after="240" w:line="360" w:lineRule="auto"/>
        <w:jc w:val="center"/>
      </w:pPr>
      <w:r>
        <w:rPr>
          <w:rFonts w:ascii="宋体" w:hAnsi="宋体" w:eastAsia="宋体"/>
          <w:sz w:val="24"/>
          <w:szCs w:val="24"/>
        </w:rPr>
        <w:t>陈某某与王某、XX财产保险公司机动车交通事故责任纠纷案（一审）</w:t>
      </w:r>
    </w:p>
    <w:p>
      <w:pPr>
        <w:spacing w:after="60" w:line="360" w:lineRule="auto"/>
        <w:jc w:val="left"/>
      </w:pPr>
      <w:r>
        <w:rPr>
          <w:rFonts w:ascii="宋体" w:hAnsi="宋体" w:eastAsia="宋体"/>
          <w:sz w:val="24"/>
          <w:szCs w:val="24"/>
        </w:rPr>
        <w:t>尊敬的审判长、审判员：</w:t>
      </w:r>
    </w:p>
    <w:p>
      <w:pPr>
        <w:spacing w:after="120" w:line="360" w:lineRule="auto"/>
        <w:ind w:firstLineChars="200" w:firstLine="480"/>
        <w:jc w:val="both"/>
      </w:pPr>
      <w:r>
        <w:rPr>
          <w:rFonts w:ascii="宋体" w:hAnsi="宋体" w:eastAsia="宋体"/>
          <w:sz w:val="24"/>
          <w:szCs w:val="24"/>
        </w:rPr>
        <w:t>XX 律师事务所接受本案原告陈某某的委托，指派本所李律师担任原告陈某某与被告王某、被告 XX 财产保险公司机动车交通事故责任纠纷一案的一审诉讼代理人。代理人依法参加了本案庭审，现结合庭审查明的事实及相关法律规定，就本案争议焦点发表如下代理意见，供合议庭参考。</w:t>
      </w:r>
    </w:p>
    <w:p>
      <w:pPr>
        <w:spacing w:after="60" w:line="360" w:lineRule="auto"/>
        <w:jc w:val="left"/>
      </w:pPr>
      <w:r>
        <w:rPr>
          <w:b/>
          <w:rFonts w:ascii="黑体" w:hAnsi="黑体" w:eastAsia="黑体"/>
          <w:sz w:val="24"/>
          <w:szCs w:val="24"/>
        </w:rPr>
        <w:t>一、误工费应按原告作为个体经营者的实际收入认定，原告主张误工费 54,000 元具有事实与法律依据</w:t>
      </w:r>
    </w:p>
    <w:p>
      <w:pPr>
        <w:spacing w:after="120" w:line="360" w:lineRule="auto"/>
        <w:ind w:firstLineChars="200" w:firstLine="480"/>
        <w:jc w:val="both"/>
      </w:pPr>
      <w:r>
        <w:rPr>
          <w:rFonts w:ascii="宋体" w:hAnsi="宋体" w:eastAsia="宋体"/>
          <w:sz w:val="24"/>
          <w:szCs w:val="24"/>
        </w:rPr>
        <w:t>被告 XX 财产保险公司主张原告无固定工资流水，误工费应按居民服务业平均工资标准计算，该抗辩不能成立。原告系个体餐饮经营者，经营收入系其收入的主要来源，属于《最高人民法院关于审理人身损害赔偿案件适用法律若干问题的解释》第七条所称的固定收入。原告已提交近两年的经营流水及纳税申报记录，二者相互印证，足以证明原告事故前月均经营收入约为 9,000 元。司法鉴定意见书认定原告误工期为 180 日，误工期间原告因伤无法经营，收入实际减少 54,000 元，损失客观存在。</w:t>
      </w:r>
    </w:p>
    <w:p>
      <w:pPr>
        <w:spacing w:after="120" w:line="360" w:lineRule="auto"/>
        <w:ind w:firstLineChars="200" w:firstLine="480"/>
        <w:jc w:val="both"/>
      </w:pPr>
      <w:r>
        <w:rPr>
          <w:rFonts w:ascii="宋体" w:hAnsi="宋体" w:eastAsia="宋体"/>
          <w:sz w:val="24"/>
          <w:szCs w:val="24"/>
        </w:rPr>
        <w:t>《中华人民共和国民法典》第一千一百七十九条规定，侵害他人造成人身损害的，应当赔偿为治疗和康复支出的合理费用以及因误工减少的收入。《最高人民法院关于审理人身损害赔偿案件适用法律若干问题的解释》第七条规定：“受害人有固定收入的，误工费按照实际减少的收入计算；受害人无固定收入的，按照其最近三年的平均收入计算；受害人不能举证证明其最近三年的平均收入状况的，可以参照受诉法院所在地相同或者相近行业上一年度职工的平均工资计算。”本案中，原告已就自身收入状况充分举证：经营流水客观记录了原告的经营收入，纳税申报记录系原告向税务机关如实申报并经其认可的经营成果，两者相互印证、证明力强，无需借助行业平均工资这一参照标准。参照行业平均工资计算的前提是“受害人不能举证证明其最近三年的平均收入状况”，本案显然不满足该前提。故误工费应按原告实际收入每月 9,000 元计算，即 9,000 元/月 × 6 个月（180 日）＝54,000 元，恳请法庭予以全额支持。</w:t>
      </w:r>
    </w:p>
    <w:p>
      <w:pPr>
        <w:spacing w:after="60" w:line="360" w:lineRule="auto"/>
        <w:jc w:val="left"/>
      </w:pPr>
      <w:r>
        <w:rPr>
          <w:b/>
          <w:rFonts w:ascii="黑体" w:hAnsi="黑体" w:eastAsia="黑体"/>
          <w:sz w:val="24"/>
          <w:szCs w:val="24"/>
        </w:rPr>
        <w:t>二、原告主张精神损害抚慰金 10,000 元合理，应予支持</w:t>
      </w:r>
    </w:p>
    <w:p>
      <w:pPr>
        <w:spacing w:after="120" w:line="360" w:lineRule="auto"/>
        <w:ind w:firstLineChars="200" w:firstLine="480"/>
        <w:jc w:val="both"/>
      </w:pPr>
      <w:r>
        <w:rPr>
          <w:rFonts w:ascii="宋体" w:hAnsi="宋体" w:eastAsia="宋体"/>
          <w:sz w:val="24"/>
          <w:szCs w:val="24"/>
        </w:rPr>
        <w:t>被告主张十级伤残的精神损害抚慰金应酌定为 5,000 元，与本案实际情况不符。本次事故中，被告王某驾驶机动车转弯时未让直行的原告先行，负事故全部责任，原告无任何过错。原告因事故致右胫腓骨骨折，行切开复位内固定手术，住院治疗 21 天，医嘱休养康复 5 个月，并经司法鉴定构成十级伤残。手术创伤、长期康复及遗留伤残，对原告的身体机能、精神心理和日常生活均造成严重且持续的损害，原告依法有权请求精神损害赔偿。</w:t>
      </w:r>
    </w:p>
    <w:p>
      <w:pPr>
        <w:spacing w:after="120" w:line="360" w:lineRule="auto"/>
        <w:ind w:firstLineChars="200" w:firstLine="480"/>
        <w:jc w:val="both"/>
      </w:pPr>
      <w:r>
        <w:rPr>
          <w:rFonts w:ascii="宋体" w:hAnsi="宋体" w:eastAsia="宋体"/>
          <w:sz w:val="24"/>
          <w:szCs w:val="24"/>
        </w:rPr>
        <w:t>《中华人民共和国民法典》第一千一百八十三条第一款规定：“侵害自然人人身权益造成严重精神损害的，被侵权人有权请求精神损害赔偿。”《最高人民法院关于确定民事侵权精神损害赔偿责任若干问题的解释》第五条规定，确定精神损害抚慰金数额应综合侵权人的过错程度、侵害的手段与行为方式等具体情节、侵权行为所造成的后果、侵权人承担责任的经济能力、受诉法院所在地的平均生活水平等因素。本案中：其一，被告王某负事故全部责任，过错程度较重，原告无任何过错；其二，原告伤情严重、治疗痛苦、康复周期长，侵权行为造成的后果严重；其三，受诉法院所在地杭州经济发达，平均生活水平较高；其四，事故车辆投保足额保险，赔付能力充足。综合上述因素，原告主张精神损害抚慰金 10,000 元，处于同类案件司法实践支持幅度的合理上限以内，数额适当，恳请法庭予以支持。</w:t>
      </w:r>
    </w:p>
    <w:p>
      <w:pPr>
        <w:spacing w:after="60" w:line="360" w:lineRule="auto"/>
        <w:jc w:val="left"/>
      </w:pPr>
      <w:r>
        <w:rPr>
          <w:b/>
          <w:rFonts w:ascii="黑体" w:hAnsi="黑体" w:eastAsia="黑体"/>
          <w:sz w:val="24"/>
          <w:szCs w:val="24"/>
        </w:rPr>
        <w:t>三、二次手术费 12,000 元有医嘱证明支持，应与已发生的医疗费一并赔偿</w:t>
      </w:r>
    </w:p>
    <w:p>
      <w:pPr>
        <w:spacing w:after="120" w:line="360" w:lineRule="auto"/>
        <w:ind w:firstLineChars="200" w:firstLine="480"/>
        <w:jc w:val="both"/>
      </w:pPr>
      <w:r>
        <w:rPr>
          <w:rFonts w:ascii="宋体" w:hAnsi="宋体" w:eastAsia="宋体"/>
          <w:sz w:val="24"/>
          <w:szCs w:val="24"/>
        </w:rPr>
        <w:t>被告主张内固定物取出二次手术费应待实际发生后另行主张，于法无据。原告右胫腓骨骨折行切开复位内固定术后，取出内固定物系骨折治疗的必经后续环节，该费用必然发生。主治医院已在医嘱证明中明确记载内固定物取出二次手术及其预计费用 12,000 元，费用金额确定，并非或然性、不确定的后续治疗支出。</w:t>
      </w:r>
    </w:p>
    <w:p>
      <w:pPr>
        <w:spacing w:after="120" w:line="360" w:lineRule="auto"/>
        <w:ind w:firstLineChars="200" w:firstLine="480"/>
        <w:jc w:val="both"/>
      </w:pPr>
      <w:r>
        <w:rPr>
          <w:rFonts w:ascii="宋体" w:hAnsi="宋体" w:eastAsia="宋体"/>
          <w:sz w:val="24"/>
          <w:szCs w:val="24"/>
        </w:rPr>
        <w:t>《最高人民法院关于审理人身损害赔偿案件适用法律若干问题的解释》第六条第二款规定：“器官功能恢复训练所必要的康复费、适当的整容费以及其他后续治疗费，赔偿权利人可以待实际发生后另行起诉。但根据医疗证明或者鉴定结论确定必然发生的费用，可以与已经发生的医疗费一并予以赔偿。”本案二次手术费用已有医嘱证明确定必然发生，完全符合上述但书规定，应与已经发生的医疗费一并赔偿。若要求原告另行起诉主张，徒增当事人讼累，亦有悖于一次性解决纠纷的诉讼经济原则。</w:t>
      </w:r>
    </w:p>
    <w:p>
      <w:pPr>
        <w:spacing w:after="60" w:line="360" w:lineRule="auto"/>
        <w:jc w:val="left"/>
      </w:pPr>
      <w:r>
        <w:rPr>
          <w:b/>
          <w:rFonts w:ascii="黑体" w:hAnsi="黑体" w:eastAsia="黑体"/>
          <w:sz w:val="24"/>
          <w:szCs w:val="24"/>
        </w:rPr>
        <w:t>四、被告 XX 财产保险公司应在交强险及商业三者险责任限额内承担赔偿责任</w:t>
      </w:r>
    </w:p>
    <w:p>
      <w:pPr>
        <w:spacing w:after="120" w:line="360" w:lineRule="auto"/>
        <w:ind w:firstLineChars="200" w:firstLine="480"/>
        <w:jc w:val="both"/>
      </w:pPr>
      <w:r>
        <w:rPr>
          <w:rFonts w:ascii="宋体" w:hAnsi="宋体" w:eastAsia="宋体"/>
          <w:sz w:val="24"/>
          <w:szCs w:val="24"/>
        </w:rPr>
        <w:t>事故车辆在被告 XX 财产保险公司投保了交强险及 200 万元商业第三者责任险（含不计免赔）。根据《中华人民共和国民法典》第一千二百一十三条的规定，机动车发生交通事故造成损害，属于该机动车一方责任的，先由承保机动车强制保险的保险人在强制保险责任限额范围内予以赔偿；不足部分，由承保机动车商业保险的保险人按照保险合同的约定予以赔偿。本案原告各项损失合计约 304,144 元，未超出交强险及商业三者险责任限额，故原告的全部损失应由被告 XX 财产保险公司在保险责任限额范围内直接予以赔付。</w:t>
      </w:r>
    </w:p>
    <w:p>
      <w:pPr>
        <w:spacing w:after="120" w:line="360" w:lineRule="auto"/>
        <w:ind w:firstLineChars="200" w:firstLine="480"/>
        <w:jc w:val="both"/>
      </w:pPr>
      <w:r>
        <w:rPr>
          <w:rFonts w:ascii="宋体" w:hAnsi="宋体" w:eastAsia="宋体"/>
          <w:sz w:val="24"/>
          <w:szCs w:val="24"/>
        </w:rPr>
        <w:t>综上所述，原告的各项诉讼请求事实清楚、证据确实充分、于法有据。恳请合议庭依法采纳本代理意见，支持原告的全部诉讼请求，以维护原告的合法权益。</w:t>
      </w:r>
    </w:p>
    <w:p>
      <w:pPr>
        <w:spacing w:after="120" w:line="360" w:lineRule="auto"/>
        <w:jc w:val="both"/>
      </w:pPr>
    </w:p>
    <w:p>
      <w:pPr>
        <w:spacing w:after="120" w:line="360" w:lineRule="auto"/>
        <w:ind w:firstLineChars="200" w:firstLine="480"/>
        <w:jc w:val="both"/>
      </w:pPr>
      <w:r>
        <w:rPr>
          <w:rFonts w:ascii="宋体" w:hAnsi="宋体" w:eastAsia="宋体"/>
          <w:sz w:val="24"/>
          <w:szCs w:val="24"/>
        </w:rPr>
        <w:t>此致</w:t>
      </w:r>
    </w:p>
    <w:p>
      <w:pPr>
        <w:spacing w:after="60" w:line="360" w:lineRule="auto"/>
        <w:jc w:val="left"/>
      </w:pPr>
      <w:r>
        <w:rPr>
          <w:rFonts w:ascii="宋体" w:hAnsi="宋体" w:eastAsia="宋体"/>
          <w:sz w:val="24"/>
          <w:szCs w:val="24"/>
        </w:rPr>
        <w:t>杭州市拱墅区人民法院</w:t>
      </w:r>
    </w:p>
    <w:p>
      <w:pPr>
        <w:spacing w:after="120" w:line="360" w:lineRule="auto"/>
        <w:jc w:val="both"/>
      </w:pPr>
    </w:p>
    <w:p>
      <w:pPr>
        <w:spacing w:after="60" w:line="360" w:lineRule="auto"/>
        <w:jc w:val="right"/>
      </w:pPr>
      <w:r>
        <w:rPr>
          <w:rFonts w:ascii="宋体" w:hAnsi="宋体" w:eastAsia="宋体"/>
          <w:sz w:val="24"/>
          <w:szCs w:val="24"/>
        </w:rPr>
        <w:t>代理人：李律师（原告特别授权代理人）</w:t>
      </w:r>
    </w:p>
    <w:p>
      <w:pPr>
        <w:spacing w:after="60" w:line="360" w:lineRule="auto"/>
        <w:jc w:val="right"/>
      </w:pPr>
      <w:r>
        <w:rPr>
          <w:rFonts w:ascii="宋体" w:hAnsi="宋体" w:eastAsia="宋体"/>
          <w:sz w:val="24"/>
          <w:szCs w:val="24"/>
        </w:rPr>
        <w:t>XX 律师事务所</w:t>
      </w:r>
    </w:p>
    <w:p>
      <w:pPr>
        <w:spacing w:after="60" w:line="360" w:lineRule="auto"/>
        <w:jc w:val="right"/>
      </w:pPr>
      <w:r>
        <w:rPr>
          <w:rFonts w:ascii="宋体" w:hAnsi="宋体" w:eastAsia="宋体"/>
          <w:sz w:val="24"/>
          <w:szCs w:val="24"/>
        </w:rPr>
        <w:t>【待填：2025 年　月　日】</w:t>
      </w:r>
    </w:p>
    <w:sectPr>
      <w:pgSz w:w="11906" w:h="16838"/>
      <w:pgMar w:top="1440" w:right="1440" w:bottom="1440" w:left="1440"/>
    </w:sectPr>
  </w:body>
</w:document>
</file>

<file path=word/styles.xml><?xml version="1.0" encoding="utf-8"?>
<w:styles xmlns:w="http://schemas.openxmlformats.org/wordprocessingml/2006/main">
  <w:docDefaults>
    <w:rPrDefault>
      <w:rPr>
        <w:rFonts w:ascii="宋体" w:hAnsi="宋体" w:eastAsia="宋体"/>
        <w:sz w:val="24"/>
        <w:szCs w:val="24"/>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word/styles.xml"/></Relationships>
</file>