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 w:line="360" w:lineRule="auto"/>
        <w:jc w:val="center"/>
      </w:pPr>
      <w:r>
        <w:rPr>
          <w:b/>
          <w:rFonts w:ascii="黑体" w:hAnsi="黑体" w:eastAsia="黑体"/>
          <w:sz w:val="44"/>
          <w:szCs w:val="44"/>
        </w:rPr>
        <w:t>民事答辩状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sz w:val="24"/>
          <w:szCs w:val="24"/>
        </w:rPr>
        <w:t>恒信建材有限公司诉华远装饰工程有限公司买卖合同纠纷</w:t>
      </w:r>
    </w:p>
    <w:p>
      <w:pPr>
        <w:spacing w:after="40" w:line="360" w:lineRule="auto"/>
        <w:jc w:val="left"/>
      </w:pPr>
      <w:r>
        <w:rPr>
          <w:rFonts w:ascii="宋体" w:hAnsi="宋体" w:eastAsia="宋体"/>
          <w:sz w:val="24"/>
          <w:szCs w:val="24"/>
        </w:rPr>
        <w:t>答辩人（本案被告）：华远装饰工程有限公司，住所地：宁波市海曙区中山西路 XX 号，统一社会信用代码：【待填：统一社会信用代码】。法定代表人：郑志远，职务：【待填：职务】。联系电话：【待填：联系电话】。</w:t>
      </w:r>
    </w:p>
    <w:p>
      <w:pPr>
        <w:spacing w:after="40" w:line="360" w:lineRule="auto"/>
        <w:jc w:val="left"/>
      </w:pPr>
      <w:r>
        <w:rPr>
          <w:rFonts w:ascii="宋体" w:hAnsi="宋体" w:eastAsia="宋体"/>
          <w:sz w:val="24"/>
          <w:szCs w:val="24"/>
        </w:rPr>
        <w:t>被答辩人（本案原告）：恒信建材有限公司，住所地：【待填：住所地】，统一社会信用代码：【待填：统一社会信用代码】。法定代表人：【待填：姓名】，职务：【待填：职务】。联系电话：【待填：联系电话】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答辩人因被答辩人诉答辩人买卖合同纠纷一案【案号：【待填：案号】】，依据《中华人民共和国民事诉讼法》第一百二十八条之规定，在答辩期限内提出答辩如下：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答辩意见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一、答辩人对双方买卖合同关系及供货、付款对账金额无异议。被答辩人于 2024 年 4 月至 8 月分五批向答辩人供应瓷砖等建材，货款累计 876,000 元；答辩人已支付 400,000 元，尚欠 476,000 元，对上述金额答辩人不持异议。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二、第三批、第四批瓷砖存在空鼓、色差等质量问题，答辩人依法有权主张减少价款，被答辩人诉请的货款 476,000 元中应扣除质量折价款 120,000 元，答辩人实际应支付 356,000 元。理由如下：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（一）2024 年 6 月 15 日签收的第三批、2024 年 7 月 22 日签收的第四批瓷砖，用于答辩人承接的某酒店装修项目，铺贴使用后酒店业主反映三楼区域瓷砖空鼓率偏高、部分区域色差明显，业主据此扣减答辩人工程款约 150,000 元。答辩人项目经理已于 2024 年 6 月 18 日在项目微信群向被答辩人提出空鼓质量问题，该时间距第三批货物签收仅三日，未超过合同约定的 7 日异议期；答辩人并于 2024 年 9 月 10 日向被答辩人发函，要求对存在质量问题的瓷砖退货折价 120,000 元，被答辩人未作处理。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二）依照《中华人民共和国民法典》第五百八十二条，履行不符合约定的，受损害方可以合理选择请求对方承担修理、重作、更换、退货、减少价款或者报酬等违约责任。涉案瓷砖空鼓、色差须经铺贴使用后方能显现，属于隐蔽瑕疵；合同约定的 7 日检验期明显过短，不足以完成对隐蔽瑕疵的检验，依照《中华人民共和国民法典》第六百二十二条，该期限仅应视为对表面瑕疵提出异议的期限，不能据此剥夺答辩人对隐蔽瑕疵主张权利。且被答辩人作为出卖人，对其交付的货物是否符合约定理应知晓，依照《中华人民共和国民法典》第六百二十一条第三款，答辩人不受前述通知期间的限制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（三）答辩人已就涉案瓷砖质量及空鼓成因申请司法鉴定，恳请人民法院依据鉴定意见认定质量问题是否成立及折价金额。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三、双方约定的逾期付款违约金按日万分之五计算（折合年利率约 18.25%），明显过分高于被答辩人因逾期付款所遭受的实际损失。依照《中华人民共和国民法典》第五百八十五条第二款，约定的违约金过分高于造成的损失的，人民法院可以根据当事人的请求予以适当减少。被答辩人未举证证明其实际损失，请求人民法院以其实际损失为基础，参照全国银行间同业拆借中心公布的一年期贷款市场报价利率（LPR）的合理标准，对违约金予以调减，并驳回其超出合理范围的诉请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综上所述，答辩人对欠付货款金额无异议，但主张依法扣减质量问题对应价款 120,000 元后支付剩余货款 356,000 元；被答辩人主张的逾期付款违约金明显过高，请求依法调减。恳请人民法院查明事实、依法裁判，以维护答辩人的合法权益。</w:t>
      </w:r>
    </w:p>
    <w:p>
      <w:pPr>
        <w:spacing w:after="120" w:line="360" w:lineRule="auto"/>
        <w:jc w:val="both"/>
      </w:pP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此致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宁波市海曙区人民法院</w:t>
      </w:r>
    </w:p>
    <w:p>
      <w:pPr>
        <w:spacing w:after="120" w:line="360" w:lineRule="auto"/>
        <w:jc w:val="both"/>
      </w:pPr>
    </w:p>
    <w:p>
      <w:pPr>
        <w:spacing w:after="60" w:line="360" w:lineRule="auto"/>
        <w:jc w:val="right"/>
      </w:pPr>
      <w:r>
        <w:rPr>
          <w:rFonts w:ascii="宋体" w:hAnsi="宋体" w:eastAsia="宋体"/>
          <w:sz w:val="24"/>
          <w:szCs w:val="24"/>
        </w:rPr>
        <w:t>答辩人：华远装饰工程有限公司</w:t>
      </w:r>
    </w:p>
    <w:p>
      <w:pPr>
        <w:spacing w:after="60" w:line="360" w:lineRule="auto"/>
        <w:jc w:val="right"/>
      </w:pPr>
      <w:r>
        <w:rPr>
          <w:rFonts w:ascii="宋体" w:hAnsi="宋体" w:eastAsia="宋体"/>
          <w:sz w:val="24"/>
          <w:szCs w:val="24"/>
        </w:rPr>
        <w:t>【待填：答辩人盖章】</w:t>
      </w:r>
    </w:p>
    <w:p>
      <w:pPr>
        <w:spacing w:after="60" w:line="360" w:lineRule="auto"/>
        <w:jc w:val="right"/>
      </w:pPr>
      <w:r>
        <w:rPr>
          <w:rFonts w:ascii="宋体" w:hAnsi="宋体" w:eastAsia="宋体"/>
          <w:sz w:val="24"/>
          <w:szCs w:val="24"/>
        </w:rPr>
        <w:t>【待填：日期】年【待填：月】月【待填：日】日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word/styles.xml"/></Relationships>
</file>