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line="360" w:lineRule="auto"/>
        <w:jc w:val="center"/>
      </w:pPr>
      <w:r>
        <w:rPr>
          <w:b/>
          <w:rFonts w:ascii="黑体" w:hAnsi="黑体" w:eastAsia="黑体"/>
          <w:sz w:val="44"/>
          <w:szCs w:val="44"/>
        </w:rPr>
        <w:t>关于启辰（杭州）创业投资合伙企业（有限合伙）受让恒达智能装备（嘉兴）有限公司30%股权之法律意见书</w:t>
      </w:r>
    </w:p>
    <w:p>
      <w:pPr>
        <w:spacing w:after="120" w:line="360" w:lineRule="auto"/>
        <w:ind w:firstLineChars="200" w:firstLine="480"/>
        <w:jc w:val="both"/>
      </w:pPr>
      <w:r>
        <w:rPr>
          <w:rFonts w:ascii="宋体" w:hAnsi="宋体" w:eastAsia="宋体"/>
          <w:sz w:val="24"/>
          <w:szCs w:val="24"/>
        </w:rPr>
        <w:t>致：启辰（杭州）创业投资合伙企业（有限合伙）（以下简称“贵企业”）</w:t>
      </w:r>
    </w:p>
    <w:p>
      <w:pPr>
        <w:spacing w:after="120" w:line="360" w:lineRule="auto"/>
        <w:jc w:val="both"/>
      </w:pPr>
    </w:p>
    <w:p>
      <w:pPr>
        <w:spacing w:after="60" w:line="360" w:lineRule="auto"/>
        <w:jc w:val="left"/>
      </w:pPr>
      <w:r>
        <w:rPr>
          <w:b/>
          <w:rFonts w:ascii="黑体" w:hAnsi="黑体" w:eastAsia="黑体"/>
          <w:sz w:val="24"/>
          <w:szCs w:val="24"/>
        </w:rPr>
        <w:t>前言</w:t>
      </w:r>
    </w:p>
    <w:p>
      <w:pPr>
        <w:spacing w:after="120" w:line="360" w:lineRule="auto"/>
        <w:ind w:firstLineChars="200" w:firstLine="480"/>
        <w:jc w:val="both"/>
      </w:pPr>
      <w:r>
        <w:rPr>
          <w:rFonts w:ascii="宋体" w:hAnsi="宋体" w:eastAsia="宋体"/>
          <w:sz w:val="24"/>
          <w:szCs w:val="24"/>
        </w:rPr>
        <w:t>受贵企业委托，本所律师就贵企业拟以现金人民币2,400万元受让林某某持有的恒达智能装备（嘉兴）有限公司（以下简称“目标公司”）30%股权之交易（以下简称“本次交易”）所涉主要法律风险，出具本法律意见书。</w:t>
      </w:r>
    </w:p>
    <w:p>
      <w:pPr>
        <w:spacing w:after="120" w:line="360" w:lineRule="auto"/>
        <w:ind w:firstLineChars="200" w:firstLine="480"/>
        <w:jc w:val="both"/>
      </w:pPr>
      <w:r>
        <w:rPr>
          <w:rFonts w:ascii="宋体" w:hAnsi="宋体" w:eastAsia="宋体"/>
          <w:sz w:val="24"/>
          <w:szCs w:val="24"/>
        </w:rPr>
        <w:t>本所律师审查的材料范围包括：贵企业提供的《股权转让尽职调查背景材料》（载明目标公司基本情况、尽职调查主要发现、交易方案要点）【待填：其他审查材料清单，如工商内档、审计报告、征信报告、专利登记簿等】。本意见书基于上述材料出具，未对材料所载事实进行独立核查，相关事实（含工商登记、不动产登记、征信记录、社保缴费记录等）应以贵企业委托专业机构核查的结果为准。</w:t>
      </w:r>
    </w:p>
    <w:p>
      <w:pPr>
        <w:spacing w:after="120" w:line="360" w:lineRule="auto"/>
        <w:ind w:firstLineChars="200" w:firstLine="480"/>
        <w:jc w:val="both"/>
      </w:pPr>
      <w:r>
        <w:rPr>
          <w:rFonts w:ascii="宋体" w:hAnsi="宋体" w:eastAsia="宋体"/>
          <w:sz w:val="24"/>
          <w:szCs w:val="24"/>
        </w:rPr>
        <w:t>出具依据：《中华人民共和国公司法》（2023年修订）、《中华人民共和国专利法》（2020年修正）、《中华人民共和国社会保险法》、《中华人民共和国土地管理法》（2019年修正）、《中华人民共和国城乡规划法》以及最高人民法院相关司法解释等现行有效法律法规。【待填：如有适用之地方性规定或监管要求，另行补充】</w:t>
      </w:r>
    </w:p>
    <w:p>
      <w:pPr>
        <w:spacing w:after="120" w:line="360" w:lineRule="auto"/>
        <w:jc w:val="both"/>
      </w:pPr>
    </w:p>
    <w:p>
      <w:pPr>
        <w:spacing w:after="60" w:line="360" w:lineRule="auto"/>
        <w:jc w:val="left"/>
      </w:pPr>
      <w:r>
        <w:rPr>
          <w:b/>
          <w:rFonts w:ascii="黑体" w:hAnsi="黑体" w:eastAsia="黑体"/>
          <w:sz w:val="24"/>
          <w:szCs w:val="24"/>
        </w:rPr>
        <w:t>一、事实概述</w:t>
      </w:r>
    </w:p>
    <w:p>
      <w:pPr>
        <w:spacing w:after="60" w:line="360" w:lineRule="auto"/>
        <w:jc w:val="left"/>
      </w:pPr>
      <w:r>
        <w:rPr>
          <w:b/>
          <w:rFonts w:ascii="黑体" w:hAnsi="黑体" w:eastAsia="黑体"/>
          <w:sz w:val="24"/>
          <w:szCs w:val="24"/>
        </w:rPr>
        <w:t>（一）目标公司基本情况（来源：《股权转让尽职调查背景材料》第二部分）</w:t>
      </w:r>
    </w:p>
    <w:p>
      <w:pPr>
        <w:spacing w:after="60" w:line="360" w:lineRule="auto"/>
        <w:jc w:val="left"/>
      </w:pPr>
      <w:r>
        <w:rPr>
          <w:rFonts w:ascii="宋体" w:hAnsi="宋体" w:eastAsia="宋体"/>
          <w:sz w:val="24"/>
          <w:szCs w:val="24"/>
        </w:rPr>
        <w:t>1. 目标公司成立于2021年9月，注册资本2,000万元（认缴制），住所地为嘉兴市南湖区，经营范围包括智能装备研发、制造、销售；公司治理规范，近三年无行政处罚记录。</w:t>
      </w:r>
    </w:p>
    <w:p>
      <w:pPr>
        <w:spacing w:after="60" w:line="360" w:lineRule="auto"/>
        <w:jc w:val="left"/>
      </w:pPr>
      <w:r>
        <w:rPr>
          <w:rFonts w:ascii="宋体" w:hAnsi="宋体" w:eastAsia="宋体"/>
          <w:sz w:val="24"/>
          <w:szCs w:val="24"/>
        </w:rPr>
        <w:t>2. 股权结构：林某某持股55%（认缴1,100万元，实缴600万元）；嘉兴恒达企业管理合伙企业（有限合伙）（员工持股平台）持股25%（认缴500万元，实缴200万元）；吴某某持股20%（认缴400万元，实缴200万元）。</w:t>
      </w:r>
    </w:p>
    <w:p>
      <w:pPr>
        <w:spacing w:after="60" w:line="360" w:lineRule="auto"/>
        <w:jc w:val="left"/>
      </w:pPr>
      <w:r>
        <w:rPr>
          <w:b/>
          <w:rFonts w:ascii="黑体" w:hAnsi="黑体" w:eastAsia="黑体"/>
          <w:sz w:val="24"/>
          <w:szCs w:val="24"/>
        </w:rPr>
        <w:t>（二）尽职调查主要发现（来源：同上前述材料第三部分）</w:t>
      </w:r>
    </w:p>
    <w:p>
      <w:pPr>
        <w:spacing w:after="60" w:line="360" w:lineRule="auto"/>
        <w:jc w:val="left"/>
      </w:pPr>
      <w:r>
        <w:rPr>
          <w:rFonts w:ascii="宋体" w:hAnsi="宋体" w:eastAsia="宋体"/>
          <w:sz w:val="24"/>
          <w:szCs w:val="24"/>
        </w:rPr>
        <w:t>1. 实缴瑕疵：三名股东合计认缴出资中尚有未实缴部分，材料载明“合计800万元”，但按上述分项数据核算（500万＋300万＋200万）为1,000万元，二者不一致，需进一步核实；公司章程约定的认缴期限为2031年12月31日。</w:t>
      </w:r>
    </w:p>
    <w:p>
      <w:pPr>
        <w:spacing w:after="60" w:line="360" w:lineRule="auto"/>
        <w:jc w:val="left"/>
      </w:pPr>
      <w:r>
        <w:rPr>
          <w:rFonts w:ascii="宋体" w:hAnsi="宋体" w:eastAsia="宋体"/>
          <w:sz w:val="24"/>
          <w:szCs w:val="24"/>
        </w:rPr>
        <w:t>2. 房产瑕疵：目标公司名下一处厂房（账面价值1,100万元）未取得不动产权证，系租赁集体建设用地后自行建设。</w:t>
      </w:r>
    </w:p>
    <w:p>
      <w:pPr>
        <w:spacing w:after="60" w:line="360" w:lineRule="auto"/>
        <w:jc w:val="left"/>
      </w:pPr>
      <w:r>
        <w:rPr>
          <w:rFonts w:ascii="宋体" w:hAnsi="宋体" w:eastAsia="宋体"/>
          <w:sz w:val="24"/>
          <w:szCs w:val="24"/>
        </w:rPr>
        <w:t>3. 专利权属：目标公司核心专利“高速分拣装置”系与某高校共有，共有协议未约定单方处分限制与商业化收益分配。</w:t>
      </w:r>
    </w:p>
    <w:p>
      <w:pPr>
        <w:spacing w:after="60" w:line="360" w:lineRule="auto"/>
        <w:jc w:val="left"/>
      </w:pPr>
      <w:r>
        <w:rPr>
          <w:rFonts w:ascii="宋体" w:hAnsi="宋体" w:eastAsia="宋体"/>
          <w:sz w:val="24"/>
          <w:szCs w:val="24"/>
        </w:rPr>
        <w:t>4. 对外担保：目标公司为控股股东林某某个人借款提供连带责任保证800万元（见央行征信报告），未在财务报表附注中披露。</w:t>
      </w:r>
    </w:p>
    <w:p>
      <w:pPr>
        <w:spacing w:after="60" w:line="360" w:lineRule="auto"/>
        <w:jc w:val="left"/>
      </w:pPr>
      <w:r>
        <w:rPr>
          <w:rFonts w:ascii="宋体" w:hAnsi="宋体" w:eastAsia="宋体"/>
          <w:sz w:val="24"/>
          <w:szCs w:val="24"/>
        </w:rPr>
        <w:t>5. 劳动用工：约15%一线员工未缴纳社会保险，存在补缴与行政处罚风险。</w:t>
      </w:r>
    </w:p>
    <w:p>
      <w:pPr>
        <w:spacing w:after="60" w:line="360" w:lineRule="auto"/>
        <w:jc w:val="left"/>
      </w:pPr>
      <w:r>
        <w:rPr>
          <w:rFonts w:ascii="宋体" w:hAnsi="宋体" w:eastAsia="宋体"/>
          <w:sz w:val="24"/>
          <w:szCs w:val="24"/>
        </w:rPr>
        <w:t>6. 涉诉情况：目标公司作为被告涉买卖合同纠纷一宗（标的96万元），一审败诉后已提起上诉，二审尚未开庭。</w:t>
      </w:r>
    </w:p>
    <w:p>
      <w:pPr>
        <w:spacing w:after="60" w:line="360" w:lineRule="auto"/>
        <w:jc w:val="left"/>
      </w:pPr>
      <w:r>
        <w:rPr>
          <w:b/>
          <w:rFonts w:ascii="黑体" w:hAnsi="黑体" w:eastAsia="黑体"/>
          <w:sz w:val="24"/>
          <w:szCs w:val="24"/>
        </w:rPr>
        <w:t>（三）交易方案要点（来源：同上前述材料第四部分）</w:t>
      </w:r>
    </w:p>
    <w:p>
      <w:pPr>
        <w:spacing w:after="120" w:line="360" w:lineRule="auto"/>
        <w:ind w:firstLineChars="200" w:firstLine="480"/>
        <w:jc w:val="both"/>
      </w:pPr>
      <w:r>
        <w:rPr>
          <w:rFonts w:ascii="宋体" w:hAnsi="宋体" w:eastAsia="宋体"/>
          <w:sz w:val="24"/>
          <w:szCs w:val="24"/>
        </w:rPr>
        <w:t>本次交易采用股权转让方式；交割先决条件包括：对外担保解除、共有专利权属及收益安排书面确认、社保补缴方案落地；价款分三期支付，即签约后支付30%、工商变更登记完成后支付40%、交割后6个月支付30%。</w:t>
      </w:r>
    </w:p>
    <w:p>
      <w:pPr>
        <w:spacing w:after="120" w:line="360" w:lineRule="auto"/>
        <w:jc w:val="both"/>
      </w:pPr>
    </w:p>
    <w:p>
      <w:pPr>
        <w:spacing w:after="60" w:line="360" w:lineRule="auto"/>
        <w:jc w:val="left"/>
      </w:pPr>
      <w:r>
        <w:rPr>
          <w:b/>
          <w:rFonts w:ascii="黑体" w:hAnsi="黑体" w:eastAsia="黑体"/>
          <w:sz w:val="24"/>
          <w:szCs w:val="24"/>
        </w:rPr>
        <w:t>二、法律分析</w:t>
      </w:r>
    </w:p>
    <w:p>
      <w:pPr>
        <w:spacing w:after="60" w:line="360" w:lineRule="auto"/>
        <w:jc w:val="left"/>
      </w:pPr>
      <w:r>
        <w:rPr>
          <w:b/>
          <w:rFonts w:ascii="黑体" w:hAnsi="黑体" w:eastAsia="黑体"/>
          <w:sz w:val="24"/>
          <w:szCs w:val="24"/>
        </w:rPr>
        <w:t>（一）受让未届出资期限认缴股权的出资责任承继风险</w:t>
      </w:r>
    </w:p>
    <w:p>
      <w:pPr>
        <w:spacing w:after="120" w:line="360" w:lineRule="auto"/>
        <w:ind w:firstLineChars="200" w:firstLine="480"/>
        <w:jc w:val="both"/>
      </w:pPr>
      <w:r>
        <w:rPr>
          <w:rFonts w:ascii="宋体" w:hAnsi="宋体" w:eastAsia="宋体"/>
          <w:sz w:val="24"/>
          <w:szCs w:val="24"/>
        </w:rPr>
        <w:t>1. 问题：贵企业受让的30%股权对应的认缴出资额为600万元（2,000万元×30%），其中未实缴部分的具体金额需以转让协议及工商登记载明为准（林某某认缴1,100万元、实缴600万元，未实缴500万元）。股权转让后，该等未实缴出资义务的承继规则及相应风险如下。</w:t>
      </w:r>
    </w:p>
    <w:p>
      <w:pPr>
        <w:spacing w:after="120" w:line="360" w:lineRule="auto"/>
        <w:ind w:firstLineChars="200" w:firstLine="480"/>
        <w:jc w:val="both"/>
      </w:pPr>
      <w:r>
        <w:rPr>
          <w:rFonts w:ascii="宋体" w:hAnsi="宋体" w:eastAsia="宋体"/>
          <w:sz w:val="24"/>
          <w:szCs w:val="24"/>
        </w:rPr>
        <w:t>2. 法律依据：《中华人民共和国公司法》第八十八条第一款规定，股东转让已认缴出资但未届出资期限的股权的，由受让人承担缴纳该出资的义务；受让人未按期足额缴纳出资的，转让人对受让人未按期缴纳的出资承担补充责任。第五十四条规定，公司不能清偿到期债务的，公司或者已到期债权的债权人有权要求已认缴出资但未届出资期限的股东提前缴纳出资。《最高人民法院关于民事执行中变更、追加当事人若干问题的规定》第十七条规定，作为被执行人的企业法人财产不足以清偿生效法律文书确定的债务时，申请执行人可申请变更、追加未缴纳或未足额缴纳出资的股东为被执行人，在尚未缴纳出资的范围内依法承担责任。</w:t>
      </w:r>
    </w:p>
    <w:p>
      <w:pPr>
        <w:spacing w:after="120" w:line="360" w:lineRule="auto"/>
        <w:ind w:firstLineChars="200" w:firstLine="480"/>
        <w:jc w:val="both"/>
      </w:pPr>
      <w:r>
        <w:rPr>
          <w:rFonts w:ascii="宋体" w:hAnsi="宋体" w:eastAsia="宋体"/>
          <w:sz w:val="24"/>
          <w:szCs w:val="24"/>
        </w:rPr>
        <w:t>3. 涵摄分析：本次转让发生于现行《公司法》施行后，应适用第八十八条第一款之规定。贵企业受让股权后即承继该部分股权对应的未实缴出资的缴纳义务，须按章程约定于2031年12月31日前足额缴纳。同时，对照《国务院关于实施〈中华人民共和国公司法〉注册资本登记管理制度的规定》（国务院令第784号）的过渡安排，目标公司认缴期限（2031年12月31日）自2027年7月1日起剩余约四年六个月，不超过五年，暂无需强制调整；但若目标公司届时不能清偿到期债务（如未决诉讼败诉且无力履行），债权人可依第五十四条主张股东出资加速到期，贵企业将面临在未实缴范围内提前出资、被追加为被执行人的风险。另依第八十八条第一款，贵企业未按期足额缴纳时，转让方林某某对未缴纳部分承担补充责任，贵企业可据此设置追偿安排。</w:t>
      </w:r>
    </w:p>
    <w:p>
      <w:pPr>
        <w:spacing w:after="120" w:line="360" w:lineRule="auto"/>
        <w:ind w:firstLineChars="200" w:firstLine="480"/>
        <w:jc w:val="both"/>
      </w:pPr>
      <w:r>
        <w:rPr>
          <w:rFonts w:ascii="宋体" w:hAnsi="宋体" w:eastAsia="宋体"/>
          <w:sz w:val="24"/>
          <w:szCs w:val="24"/>
        </w:rPr>
        <w:t>4. 结论与建议：（1）在股权转让协议中明确约定转让标的对应的认缴出资额、未实缴金额及缴纳安排，价款应按“实缴口径”核对调整；（2）将未实缴出资承继条款写入协议，并要求转让方就其补充责任提供担保或承诺；（3）将“目标公司无重大到期未清偿债务、未决诉讼风险可控”设为付款节点条件，使尾款支付与加速到期风险挂钩；（4）交割后按章程期限做好实缴资金规划，避免逾期。</w:t>
      </w:r>
    </w:p>
    <w:p>
      <w:pPr>
        <w:spacing w:after="60" w:line="360" w:lineRule="auto"/>
        <w:jc w:val="left"/>
      </w:pPr>
      <w:r>
        <w:rPr>
          <w:b/>
          <w:rFonts w:ascii="黑体" w:hAnsi="黑体" w:eastAsia="黑体"/>
          <w:sz w:val="24"/>
          <w:szCs w:val="24"/>
        </w:rPr>
        <w:t>（二）共有专利对目标资产完整性的影响与处置安排</w:t>
      </w:r>
    </w:p>
    <w:p>
      <w:pPr>
        <w:spacing w:after="120" w:line="360" w:lineRule="auto"/>
        <w:ind w:firstLineChars="200" w:firstLine="480"/>
        <w:jc w:val="both"/>
      </w:pPr>
      <w:r>
        <w:rPr>
          <w:rFonts w:ascii="宋体" w:hAnsi="宋体" w:eastAsia="宋体"/>
          <w:sz w:val="24"/>
          <w:szCs w:val="24"/>
        </w:rPr>
        <w:t>1. 问题：目标公司核心专利“高速分拣装置”系与某高校共有，共有协议未约定单方处分限制与商业化收益分配，可能影响目标公司对核心技术的排他性使用及标的资产完整性。</w:t>
      </w:r>
    </w:p>
    <w:p>
      <w:pPr>
        <w:spacing w:after="120" w:line="360" w:lineRule="auto"/>
        <w:ind w:firstLineChars="200" w:firstLine="480"/>
        <w:jc w:val="both"/>
      </w:pPr>
      <w:r>
        <w:rPr>
          <w:rFonts w:ascii="宋体" w:hAnsi="宋体" w:eastAsia="宋体"/>
          <w:sz w:val="24"/>
          <w:szCs w:val="24"/>
        </w:rPr>
        <w:t>2. 法律依据：《中华人民共和国专利法》第十五条规定，专利申请权或者专利权的共有人对权利的行使有约定的，从其约定；没有约定的，共有人可以单独实施或者以普通许可方式许可他人实施该专利，许可他人实施该专利收取的使用费应当在共有人之间分配；除前述情形外，行使共有的专利申请权或者专利权，应当取得全体共有人的同意。</w:t>
      </w:r>
    </w:p>
    <w:p>
      <w:pPr>
        <w:spacing w:after="120" w:line="360" w:lineRule="auto"/>
        <w:ind w:firstLineChars="200" w:firstLine="480"/>
        <w:jc w:val="both"/>
      </w:pPr>
      <w:r>
        <w:rPr>
          <w:rFonts w:ascii="宋体" w:hAnsi="宋体" w:eastAsia="宋体"/>
          <w:sz w:val="24"/>
          <w:szCs w:val="24"/>
        </w:rPr>
        <w:t>3. 涵摄分析：在无约定的情形下：（1）高校可单独实施该专利，亦可普通许可第三方实施，仅需向目标公司分配许可费，目标公司无法阻止高校对外普通许可，核心技术排他性存疑，可能影响资产估值与市场竞争地位；（2）目标公司若拟转让该专利或授予独占、排他许可，须经高校同意，处置自由度受限；（3）商业化收益分配规则缺失，易引发许可费分配争议。</w:t>
      </w:r>
    </w:p>
    <w:p>
      <w:pPr>
        <w:spacing w:after="120" w:line="360" w:lineRule="auto"/>
        <w:ind w:firstLineChars="200" w:firstLine="480"/>
        <w:jc w:val="both"/>
      </w:pPr>
      <w:r>
        <w:rPr>
          <w:rFonts w:ascii="宋体" w:hAnsi="宋体" w:eastAsia="宋体"/>
          <w:sz w:val="24"/>
          <w:szCs w:val="24"/>
        </w:rPr>
        <w:t>4. 结论与建议：（1）将“与高校就共有专利签署补充协议，明确单方处分限制、商业化收益分配与许可实施规则”列为交割先决条件（与交易方案一致）；（2）补充协议应至少明确：对外许可（含普通、独占、排他）须经双方书面同意、许可费分配比例及结算方式、专利转让与质押的限制、侵权维权的配合义务；（3）若无法达成补充协议，建议对交易估值作相应折减并设置价格调整机制；（4）交割前核查专利登记簿、共有协议原件，确认共有份额及权利状态。</w:t>
      </w:r>
    </w:p>
    <w:p>
      <w:pPr>
        <w:spacing w:after="60" w:line="360" w:lineRule="auto"/>
        <w:jc w:val="left"/>
      </w:pPr>
      <w:r>
        <w:rPr>
          <w:b/>
          <w:rFonts w:ascii="黑体" w:hAnsi="黑体" w:eastAsia="黑体"/>
          <w:sz w:val="24"/>
          <w:szCs w:val="24"/>
        </w:rPr>
        <w:t>（三）未披露对外担保的解除与交割先决条件设计</w:t>
      </w:r>
    </w:p>
    <w:p>
      <w:pPr>
        <w:spacing w:after="120" w:line="360" w:lineRule="auto"/>
        <w:ind w:firstLineChars="200" w:firstLine="480"/>
        <w:jc w:val="both"/>
      </w:pPr>
      <w:r>
        <w:rPr>
          <w:rFonts w:ascii="宋体" w:hAnsi="宋体" w:eastAsia="宋体"/>
          <w:sz w:val="24"/>
          <w:szCs w:val="24"/>
        </w:rPr>
        <w:t>1. 问题：目标公司为控股股东林某某个人借款提供连带责任保证800万元，材料未载明该担保是否经股东会决议，且未在财务报表附注披露，可能使目标公司承担担保责任或赔偿责任，并构成重大未披露负债。</w:t>
      </w:r>
    </w:p>
    <w:p>
      <w:pPr>
        <w:spacing w:after="120" w:line="360" w:lineRule="auto"/>
        <w:ind w:firstLineChars="200" w:firstLine="480"/>
        <w:jc w:val="both"/>
      </w:pPr>
      <w:r>
        <w:rPr>
          <w:rFonts w:ascii="宋体" w:hAnsi="宋体" w:eastAsia="宋体"/>
          <w:sz w:val="24"/>
          <w:szCs w:val="24"/>
        </w:rPr>
        <w:t>2. 法律依据：《中华人民共和国公司法》第十五条规定，公司为他人提供担保，依照公司章程的规定，由董事会或者股东会决议；公司为公司股东或者实际控制人提供担保的，应当经股东会决议，被担保的股东不得参加表决，该项表决由出席会议的其他股东所持表决权的过半数通过。《最高人民法院关于适用〈中华人民共和国民法典〉有关担保制度的解释》第七条规定，法定代表人违反公司法关于公司对外担保决议程序的规定超越权限订立担保合同，相对人善意的，担保合同对公司发生效力；相对人非善意的，担保合同对公司不发生效力，公司依法可能承担赔偿责任。</w:t>
      </w:r>
    </w:p>
    <w:p>
      <w:pPr>
        <w:spacing w:after="120" w:line="360" w:lineRule="auto"/>
        <w:ind w:firstLineChars="200" w:firstLine="480"/>
        <w:jc w:val="both"/>
      </w:pPr>
      <w:r>
        <w:rPr>
          <w:rFonts w:ascii="宋体" w:hAnsi="宋体" w:eastAsia="宋体"/>
          <w:sz w:val="24"/>
          <w:szCs w:val="24"/>
        </w:rPr>
        <w:t>3. 涵摄分析：目标公司为控股股东林某某个人借款提供担保，属关联担保，应经股东会决议且林某某回避表决。若未经决议，担保合同对目标公司不发生效力（相对人非善意时），但目标公司仍可能承担不超过800万元借款不能清偿部分二分之一的赔偿责任；若相对人善意，担保有效，目标公司须承担最高800万元（另计利息、费用）的连带清偿责任。无论效力如何，该担保均构成目标公司重大或有负债，且未披露亦构成财务报告瑕疵及转让方陈述与保证的违约事项。</w:t>
      </w:r>
    </w:p>
    <w:p>
      <w:pPr>
        <w:spacing w:after="120" w:line="360" w:lineRule="auto"/>
        <w:ind w:firstLineChars="200" w:firstLine="480"/>
        <w:jc w:val="both"/>
      </w:pPr>
      <w:r>
        <w:rPr>
          <w:rFonts w:ascii="宋体" w:hAnsi="宋体" w:eastAsia="宋体"/>
          <w:sz w:val="24"/>
          <w:szCs w:val="24"/>
        </w:rPr>
        <w:t>4. 结论与建议：（1）将“目标公司对外担保（含为林某某提供的800万元保证）全部解除”列为交割先决条件，并要求提供债权人出具的解除确认文件、还款凭证及更新后的央行征信报告；（2）若担保无法于交割前解除，建议按担保金额等额预留价款或要求转让方提供等额反担保，并约定转让方就目标公司因此遭受的损失承担全部赔偿责任；（3）在陈述与保证条款中要求转让方全面披露对外担保、负债及未决事项，设置违反陈述保证的赔偿与扣款机制；（4）交割后核查目标公司对外担保决议文件及担保登记情况，防范隐性担保。</w:t>
      </w:r>
    </w:p>
    <w:p>
      <w:pPr>
        <w:spacing w:after="60" w:line="360" w:lineRule="auto"/>
        <w:jc w:val="left"/>
      </w:pPr>
      <w:r>
        <w:rPr>
          <w:b/>
          <w:rFonts w:ascii="黑体" w:hAnsi="黑体" w:eastAsia="黑体"/>
          <w:sz w:val="24"/>
          <w:szCs w:val="24"/>
        </w:rPr>
        <w:t>（四）无证房产与社保补缴的风险量化</w:t>
      </w:r>
    </w:p>
    <w:p>
      <w:pPr>
        <w:spacing w:after="120" w:line="360" w:lineRule="auto"/>
        <w:ind w:firstLineChars="200" w:firstLine="480"/>
        <w:jc w:val="both"/>
      </w:pPr>
      <w:r>
        <w:rPr>
          <w:rFonts w:ascii="宋体" w:hAnsi="宋体" w:eastAsia="宋体"/>
          <w:sz w:val="24"/>
          <w:szCs w:val="24"/>
        </w:rPr>
        <w:t>1. 无证房产风险。问题：目标公司厂房（账面价值1,100万元）未取得不动产权证，系租赁集体建设用地后自行建设，存在被认定为违法建设而责令拆除、罚款及无法持续使用的风险，并影响资产完整性与融资能力。法律依据：《中华人民共和国土地管理法》第七十七条规定，未经批准非法占用土地的，责令退还非法占用的土地，限期拆除在非法占用的土地上新建的建筑物和其他设施或予以没收并处罚款；《中华人民共和国城乡规划法》第六十四条规定，未取得建设工程规划许可证进行建设的，责令停止建设，尚可采取改正措施的，限期改正并处建设工程造价百分之五以上百分之十以下罚款，无法采取改正措施的，限期拆除，不能拆除的，没收实物或者违法收入，可并处建设工程造价百分之十以下罚款。风险量化：（1）拆除风险敞口：若厂房被责令限期拆除，直接损失约为账面价值1,100万元，另加搬迁费用、停产损失及重建成本；（2）罚款敞口：按建设工程造价5%—10%计算（尚可改正情形），具体以工程造价核定为准；（3）间接影响：无证房产无法用于抵押融资，且存在被纳入违法建设整治的不确定性；（4）待核查事项：集体建设用地租赁的合法性（是否经依法登记入市、租赁合同效力）及建设规划手续。</w:t>
      </w:r>
    </w:p>
    <w:p>
      <w:pPr>
        <w:spacing w:after="120" w:line="360" w:lineRule="auto"/>
        <w:ind w:firstLineChars="200" w:firstLine="480"/>
        <w:jc w:val="both"/>
      </w:pPr>
      <w:r>
        <w:rPr>
          <w:rFonts w:ascii="宋体" w:hAnsi="宋体" w:eastAsia="宋体"/>
          <w:sz w:val="24"/>
          <w:szCs w:val="24"/>
        </w:rPr>
        <w:t>2. 社保补缴风险。问题：约15%一线员工未缴纳社会保险，存在被责令补缴、加收滞纳金、行政处罚及员工解除劳动合同并主张经济补偿的风险。法律依据：《中华人民共和国社会保险法》第五十八条、第六十条规定，用人单位应当自用工之日起三十日内为职工办理社会保险登记并按时足额缴纳；第八十六条规定，用人单位未按时足额缴纳社会保险费的，由社会保险费征收机构责令限期缴纳或者补足，并自欠缴之日起按日加收万分之五的滞纳金，逾期仍不缴纳的，处欠缴数额一倍以上三倍以下罚款。《中华人民共和国劳动合同法》第三十八条、第四十六条规定，用人单位未依法为劳动者缴纳社会保险费的，劳动者可以解除劳动合同并主张经济补偿。风险量化（公式）：设一线员工总数为N人、未缴人数为15%×N、月平均缴费基数为B元、平均欠缴月数为M个月，则补缴本金≈15%×N×B×M×（单位及个人缴费比例合计，各地约36%—40%）；滞纳金≈补缴本金×0.05%×欠缴天数；罚款风险敞口≈欠缴数额×1—3倍；另加员工解除合同的经济补偿（按工作年限每满一年支付一个月工资）。示例：若N=200人、B=6,000元、M=24个月、比例合计38%，补缴本金约164万元【待填：员工总数、平均缴费基数、欠缴期间，以社保经办机构核定为准】。</w:t>
      </w:r>
    </w:p>
    <w:p>
      <w:pPr>
        <w:spacing w:after="120" w:line="360" w:lineRule="auto"/>
        <w:ind w:firstLineChars="200" w:firstLine="480"/>
        <w:jc w:val="both"/>
      </w:pPr>
      <w:r>
        <w:rPr>
          <w:rFonts w:ascii="宋体" w:hAnsi="宋体" w:eastAsia="宋体"/>
          <w:sz w:val="24"/>
          <w:szCs w:val="24"/>
        </w:rPr>
        <w:t>3. 结论与建议：（1）无证房产：将房产瑕疵处理（补办手续可行性、拆除补偿安排、替代厂房方案）纳入交割先决条件或价格调整因素，建议按厂房账面价值一定比例（如20%—30%）预留保证金至风险消除，并要求转让方就相关损失承担赔偿责任；（2）社保补缴：将“社保补缴方案落地（含补缴金额测算、分期补缴安排及员工确认）”列为交割先决条件，补缴成本由转让方承担或在价款中扣减，交割前取得社保经办机构出具的补缴完成或无欠缴证明。</w:t>
      </w:r>
    </w:p>
    <w:p>
      <w:pPr>
        <w:spacing w:after="60" w:line="360" w:lineRule="auto"/>
        <w:jc w:val="left"/>
      </w:pPr>
      <w:r>
        <w:rPr>
          <w:b/>
          <w:rFonts w:ascii="黑体" w:hAnsi="黑体" w:eastAsia="黑体"/>
          <w:sz w:val="24"/>
          <w:szCs w:val="24"/>
        </w:rPr>
        <w:t>（五）其他风险提示</w:t>
      </w:r>
    </w:p>
    <w:p>
      <w:pPr>
        <w:spacing w:after="60" w:line="360" w:lineRule="auto"/>
        <w:jc w:val="left"/>
      </w:pPr>
      <w:r>
        <w:rPr>
          <w:rFonts w:ascii="宋体" w:hAnsi="宋体" w:eastAsia="宋体"/>
          <w:sz w:val="24"/>
          <w:szCs w:val="24"/>
        </w:rPr>
        <w:t>1. 其他股东优先购买权：贵企业系向股东以外的人受让股权，依《中华人民共和国公司法》第八十四条，转让方应将股权转让的数量、价格、支付方式和期限等事项书面通知其他股东（嘉兴恒达企业管理合伙企业（有限合伙）、吴某某），其他股东在同等条件下享有优先购买权，自接到书面通知之日起三十日内未答复的视为放弃。建议将其他股东书面放弃优先购买权或逾期未答复作为协议生效或交割的前提条件。</w:t>
      </w:r>
    </w:p>
    <w:p>
      <w:pPr>
        <w:spacing w:after="60" w:line="360" w:lineRule="auto"/>
        <w:jc w:val="left"/>
      </w:pPr>
      <w:r>
        <w:rPr>
          <w:rFonts w:ascii="宋体" w:hAnsi="宋体" w:eastAsia="宋体"/>
          <w:sz w:val="24"/>
          <w:szCs w:val="24"/>
        </w:rPr>
        <w:t>2. 未决诉讼风险：目标公司作为被告的买卖合同纠纷（标的96万元）一审败诉、二审未决，若二审维持原判，目标公司需承担约96万元（另计利息、诉讼费用）的给付义务，且该未清偿债务可能成为债权人主张股东出资加速到期（《公司法》第五十四条）的触发事由。建议将二审结果及偿付能力与尾款支付条件挂钩，并要求转让方对未决诉讼导致的损失承担责任。</w:t>
      </w:r>
    </w:p>
    <w:p>
      <w:pPr>
        <w:spacing w:after="60" w:line="360" w:lineRule="auto"/>
        <w:jc w:val="left"/>
      </w:pPr>
      <w:r>
        <w:rPr>
          <w:rFonts w:ascii="宋体" w:hAnsi="宋体" w:eastAsia="宋体"/>
          <w:sz w:val="24"/>
          <w:szCs w:val="24"/>
        </w:rPr>
        <w:t>3. 材料数据矛盾提示：材料载明“三名股东合计800万元认缴出资尚未实缴”，但按分项数据核算（500＋300＋200）为1,000万元，二者不符，建议交割前以工商登记及实缴凭证为准予以核实，并在协议中据实披露。</w:t>
      </w:r>
    </w:p>
    <w:p>
      <w:pPr>
        <w:spacing w:after="60" w:line="360" w:lineRule="auto"/>
        <w:jc w:val="left"/>
      </w:pPr>
      <w:r>
        <w:rPr>
          <w:rFonts w:ascii="宋体" w:hAnsi="宋体" w:eastAsia="宋体"/>
          <w:sz w:val="24"/>
          <w:szCs w:val="24"/>
        </w:rPr>
        <w:t>4. 受让后公司治理：本次受让完成后，贵企业持股30%将成为第一大股东（林某某持股降至25%），建议同步修订公司章程、改组股东会与董事会，明确重大事项决策机制与股东知情权安排。</w:t>
      </w:r>
    </w:p>
    <w:p>
      <w:pPr>
        <w:spacing w:after="120" w:line="360" w:lineRule="auto"/>
        <w:jc w:val="both"/>
      </w:pPr>
    </w:p>
    <w:p>
      <w:pPr>
        <w:spacing w:after="60" w:line="360" w:lineRule="auto"/>
        <w:jc w:val="left"/>
      </w:pPr>
      <w:r>
        <w:rPr>
          <w:b/>
          <w:rFonts w:ascii="黑体" w:hAnsi="黑体" w:eastAsia="黑体"/>
          <w:sz w:val="24"/>
          <w:szCs w:val="24"/>
        </w:rPr>
        <w:t>三、结论意见</w:t>
      </w:r>
    </w:p>
    <w:p>
      <w:pPr>
        <w:spacing w:after="60" w:line="360" w:lineRule="auto"/>
        <w:jc w:val="left"/>
      </w:pPr>
      <w:r>
        <w:rPr>
          <w:rFonts w:ascii="宋体" w:hAnsi="宋体" w:eastAsia="宋体"/>
          <w:sz w:val="24"/>
          <w:szCs w:val="24"/>
        </w:rPr>
        <w:t>1. 本次交易法律框架可行，但存在四类重大风险：未实缴出资承继与加速到期风险、共有专利处置受限风险、未披露对外担保的或有负债风险、无证房产与社保补缴的合规风险，均应在交易文件中通过交割先决条件、价格调整、保证金及尾款预留、转让方赔偿承诺等方式予以缓释。</w:t>
      </w:r>
    </w:p>
    <w:p>
      <w:pPr>
        <w:spacing w:after="60" w:line="360" w:lineRule="auto"/>
        <w:jc w:val="left"/>
      </w:pPr>
      <w:r>
        <w:rPr>
          <w:rFonts w:ascii="宋体" w:hAnsi="宋体" w:eastAsia="宋体"/>
          <w:sz w:val="24"/>
          <w:szCs w:val="24"/>
        </w:rPr>
        <w:t>2. 现有交易方案中“对外担保解除”“共有专利权属及收益安排书面确认”“社保补缴方案落地”三项交割先决条件及“交割后6个月支付30%尾款”的付款安排与上述风险基本匹配，建议进一步补充“其他股东放弃优先购买权”“无证房产处理安排”“未决诉讼披露与责任承担”等先决条件，并将尾款支付与风险敞口（担保解除、房产处理、社保补缴完成）逐一挂钩。</w:t>
      </w:r>
    </w:p>
    <w:p>
      <w:pPr>
        <w:spacing w:after="60" w:line="360" w:lineRule="auto"/>
        <w:jc w:val="left"/>
      </w:pPr>
      <w:r>
        <w:rPr>
          <w:rFonts w:ascii="宋体" w:hAnsi="宋体" w:eastAsia="宋体"/>
          <w:sz w:val="24"/>
          <w:szCs w:val="24"/>
        </w:rPr>
        <w:t>3. 建议在签署股权转让协议前完成对以下事项的核实：未实缴金额（材料载明800万元与分项核算1,000万元之矛盾）、转让标的对应认缴出资额、担保决议情况、房产用地及建设手续、社保欠缴明细，并将核实结果作为交易文件附件。</w:t>
      </w:r>
    </w:p>
    <w:p>
      <w:pPr>
        <w:spacing w:after="120" w:line="360" w:lineRule="auto"/>
        <w:jc w:val="both"/>
      </w:pPr>
    </w:p>
    <w:p>
      <w:pPr>
        <w:spacing w:after="60" w:line="360" w:lineRule="auto"/>
        <w:jc w:val="left"/>
      </w:pPr>
      <w:r>
        <w:rPr>
          <w:b/>
          <w:rFonts w:ascii="黑体" w:hAnsi="黑体" w:eastAsia="黑体"/>
          <w:sz w:val="24"/>
          <w:szCs w:val="24"/>
        </w:rPr>
        <w:t>四、声明事项</w:t>
      </w:r>
    </w:p>
    <w:p>
      <w:pPr>
        <w:spacing w:after="60" w:line="360" w:lineRule="auto"/>
        <w:jc w:val="left"/>
      </w:pPr>
      <w:r>
        <w:rPr>
          <w:rFonts w:ascii="宋体" w:hAnsi="宋体" w:eastAsia="宋体"/>
          <w:sz w:val="24"/>
          <w:szCs w:val="24"/>
        </w:rPr>
        <w:t>1. 本意见书仅基于委托人提供的《股权转让尽职调查背景材料》及相关说明出具，未对其中事实进行独立核查，委托人应另行委托专业机构完成工商、不动产、征信、社保、税务等专项核查。</w:t>
      </w:r>
    </w:p>
    <w:p>
      <w:pPr>
        <w:spacing w:after="60" w:line="360" w:lineRule="auto"/>
        <w:jc w:val="left"/>
      </w:pPr>
      <w:r>
        <w:rPr>
          <w:rFonts w:ascii="宋体" w:hAnsi="宋体" w:eastAsia="宋体"/>
          <w:sz w:val="24"/>
          <w:szCs w:val="24"/>
        </w:rPr>
        <w:t>2. 本意见书仅供委托人内部决策使用，未经本所书面同意，不得向任何第三方披露或用于其他目的。</w:t>
      </w:r>
    </w:p>
    <w:p>
      <w:pPr>
        <w:spacing w:after="60" w:line="360" w:lineRule="auto"/>
        <w:jc w:val="left"/>
      </w:pPr>
      <w:r>
        <w:rPr>
          <w:rFonts w:ascii="宋体" w:hAnsi="宋体" w:eastAsia="宋体"/>
          <w:sz w:val="24"/>
          <w:szCs w:val="24"/>
        </w:rPr>
        <w:t>3. 本意见书不构成对本次交易商业可行性的判断，亦不构成对交易对方履约能力的担保。</w:t>
      </w:r>
    </w:p>
    <w:p>
      <w:pPr>
        <w:spacing w:after="60" w:line="360" w:lineRule="auto"/>
        <w:jc w:val="left"/>
      </w:pPr>
      <w:r>
        <w:rPr>
          <w:rFonts w:ascii="宋体" w:hAnsi="宋体" w:eastAsia="宋体"/>
          <w:sz w:val="24"/>
          <w:szCs w:val="24"/>
        </w:rPr>
        <w:t>4. 本意见书引用之法律法规以出具日现行有效文本为准，如法律环境或事实发生变化，本所将依委托另行出具补充意见。</w:t>
      </w:r>
    </w:p>
    <w:p>
      <w:pPr>
        <w:spacing w:after="120" w:line="360" w:lineRule="auto"/>
        <w:jc w:val="both"/>
      </w:pPr>
    </w:p>
    <w:p>
      <w:pPr>
        <w:spacing w:after="60" w:line="360" w:lineRule="auto"/>
        <w:jc w:val="right"/>
      </w:pPr>
      <w:r>
        <w:rPr>
          <w:rFonts w:ascii="宋体" w:hAnsi="宋体" w:eastAsia="宋体"/>
          <w:sz w:val="24"/>
          <w:szCs w:val="24"/>
        </w:rPr>
        <w:t>【待填：律师事务所名称】</w:t>
      </w:r>
    </w:p>
    <w:p>
      <w:pPr>
        <w:spacing w:after="60" w:line="360" w:lineRule="auto"/>
        <w:jc w:val="right"/>
      </w:pPr>
      <w:r>
        <w:rPr>
          <w:rFonts w:ascii="宋体" w:hAnsi="宋体" w:eastAsia="宋体"/>
          <w:sz w:val="24"/>
          <w:szCs w:val="24"/>
        </w:rPr>
        <w:t>经办律师：【待填：律师姓名】</w:t>
      </w:r>
    </w:p>
    <w:p>
      <w:pPr>
        <w:spacing w:after="60" w:line="360" w:lineRule="auto"/>
        <w:jc w:val="right"/>
      </w:pPr>
      <w:r>
        <w:rPr>
          <w:rFonts w:ascii="宋体" w:hAnsi="宋体" w:eastAsia="宋体"/>
          <w:sz w:val="24"/>
          <w:szCs w:val="24"/>
        </w:rPr>
        <w:t>【待填：出具日期】</w:t>
      </w:r>
    </w:p>
    <w:sectPr>
      <w:pgSz w:w="11906" w:h="16838"/>
      <w:pgMar w:top="1440" w:right="1440" w:bottom="1440" w:left="1440"/>
    </w:sectPr>
  </w:body>
</w:document>
</file>

<file path=word/styles.xml><?xml version="1.0" encoding="utf-8"?>
<w:styles xmlns:w="http://schemas.openxmlformats.org/wordprocessingml/2006/main">
  <w:docDefaults>
    <w:rPrDefault>
      <w:rPr>
        <w:rFonts w:ascii="宋体" w:hAnsi="宋体" w:eastAsia="宋体"/>
        <w:sz w:val="24"/>
        <w:szCs w:val="24"/>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word/styles.xml"/></Relationships>
</file>