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STATUTO</w:t>
      </w:r>
    </w:p>
    <w:p>
      <w:pPr>
        <w:pStyle w:val="Title"/>
      </w:pPr>
      <w:r>
        <w:t xml:space="preserve">ASSOCIAZIONE CULTURALE HEAD SPA ITALIA®</w:t>
      </w:r>
    </w:p>
    <w:p>
      <w:pPr>
        <w:pStyle w:val="Heading2"/>
        <w:spacing w:before="240" w:after="360"/>
        <w:jc w:val="center"/>
      </w:pPr>
      <w:r>
        <w:t xml:space="preserve">Albo Nazionale Operatori Head Spa Olistico®</w:t>
      </w:r>
    </w:p>
    <w:p>
      <w:pPr>
        <w:pStyle w:val="Heading1"/>
      </w:pPr>
      <w:r>
        <w:t xml:space="preserve">ART. 1 – DENOMINAZIONE, SEDE E NATURA GIURIDICA</w:t>
      </w:r>
    </w:p>
    <w:p>
      <w:pPr>
        <w:pStyle w:val="Heading2"/>
      </w:pPr>
      <w:r>
        <w:t xml:space="preserve">1.1 Denominazione</w:t>
      </w:r>
    </w:p>
    <w:p>
      <w:pPr>
        <w:spacing w:after="240"/>
      </w:pPr>
      <w:r>
        <w:t xml:space="preserve">È costituita l'Associazione Culturale denominata </w:t>
      </w:r>
      <w:r>
        <w:rPr>
          <w:b/>
          <w:bCs/>
        </w:rPr>
        <w:t xml:space="preserve">HEAD SPA ITALIA®</w:t>
      </w:r>
      <w:r>
        <w:t xml:space="preserve">, di seguito denominata "Associazione".</w:t>
      </w:r>
    </w:p>
    <w:p>
      <w:pPr>
        <w:pStyle w:val="Heading2"/>
      </w:pPr>
      <w:r>
        <w:t xml:space="preserve">1.2 Natura Giuridica</w:t>
      </w:r>
    </w:p>
    <w:p>
      <w:pPr>
        <w:spacing w:after="240"/>
      </w:pPr>
      <w:r>
        <w:t xml:space="preserve">L'Associazione è un'associazione culturale senza scopo di lucro, operante secondo il modello dell'Associazione di Promozione Sociale (APS) di cui alla legge 7 dicembre 2000, n. 383, e successive modificazioni. Essa è costituita a titolo gratuito e non consente distribuzioni di utili, anche in forma indiretta, tra gli associati, durante la vita dell'Associazione o alla sua estinzione.</w:t>
      </w:r>
    </w:p>
    <w:p>
      <w:pPr>
        <w:pStyle w:val="Heading2"/>
      </w:pPr>
      <w:r>
        <w:t xml:space="preserve">1.3 Sede Legale</w:t>
      </w:r>
    </w:p>
    <w:p>
      <w:pPr>
        <w:spacing w:after="240"/>
      </w:pPr>
      <w:r>
        <w:t xml:space="preserve">La sede legale dell'Associazione è ubicata in Italia, presso gli indirizzi che saranno comunicati all'iscrizione nel Registro nazionale delle APS (RUNTS - Registro Unico Nazionale del Terzo Settore). La sede può essere trasferita con delibera dell'Assemblea Generale degli associati.</w:t>
      </w:r>
    </w:p>
    <w:p>
      <w:pPr>
        <w:pStyle w:val="Heading2"/>
      </w:pPr>
      <w:r>
        <w:t xml:space="preserve">1.4 Durata</w:t>
      </w:r>
    </w:p>
    <w:p>
      <w:pPr>
        <w:spacing w:after="360"/>
      </w:pPr>
      <w:r>
        <w:t xml:space="preserve">L'Associazione è costituita a tempo indeterminato. La sua estinzione avverrà solo per delibera assembleare con le modalità previste dall'art. 9 del presente Statuto.</w:t>
      </w:r>
    </w:p>
    <w:p>
      <w:pPr>
        <w:pStyle w:val="Heading1"/>
      </w:pPr>
      <w:r>
        <w:t xml:space="preserve">ART. 2 – SCOPI E ATTIVITÀ</w:t>
      </w:r>
    </w:p>
    <w:p>
      <w:pPr>
        <w:pStyle w:val="Heading2"/>
      </w:pPr>
      <w:r>
        <w:t xml:space="preserve">2.1 Scopi Generali</w:t>
      </w:r>
    </w:p>
    <w:p>
      <w:pPr>
        <w:spacing w:after="120"/>
      </w:pPr>
      <w:r>
        <w:t xml:space="preserve">L'Associazione persegue scopi di promozione culturale, educazione, ricerca e diffusione della conoscenza riguardante il Metodo Head Spa Olistico®, con particolare attenzione agli aspetti:</w:t>
      </w:r>
    </w:p>
    <w:p>
      <w:pPr>
        <w:pStyle w:val="ListParagraph"/>
        <w:numPr>
          <w:ilvl w:val="0"/>
          <w:numId w:val="2"/>
        </w:numPr>
      </w:pPr>
      <w:r>
        <w:t xml:space="preserve">Filosofici e culturali del benessere olistico</w:t>
      </w:r>
    </w:p>
    <w:p>
      <w:pPr>
        <w:pStyle w:val="ListParagraph"/>
        <w:numPr>
          <w:ilvl w:val="0"/>
          <w:numId w:val="2"/>
        </w:numPr>
      </w:pPr>
      <w:r>
        <w:t xml:space="preserve">Professionali e metodologici della pratica</w:t>
      </w:r>
    </w:p>
    <w:p>
      <w:pPr>
        <w:pStyle w:val="ListParagraph"/>
        <w:numPr>
          <w:ilvl w:val="0"/>
          <w:numId w:val="2"/>
        </w:numPr>
      </w:pPr>
      <w:r>
        <w:t xml:space="preserve">Etici e deontologici dell'operatore Head Spa</w:t>
      </w:r>
    </w:p>
    <w:p>
      <w:pPr>
        <w:pStyle w:val="ListParagraph"/>
        <w:numPr>
          <w:ilvl w:val="0"/>
          <w:numId w:val="2"/>
        </w:numPr>
        <w:spacing w:after="240"/>
      </w:pPr>
      <w:r>
        <w:t xml:space="preserve">Formativi per garantire competenza e professionalità</w:t>
      </w:r>
    </w:p>
    <w:p>
      <w:pPr>
        <w:pStyle w:val="Heading2"/>
      </w:pPr>
      <w:r>
        <w:t xml:space="preserve">2.2 Attività Principale</w:t>
      </w:r>
    </w:p>
    <w:p>
      <w:pPr>
        <w:spacing w:after="240"/>
      </w:pPr>
      <w:r>
        <w:t xml:space="preserve">L'Associazione gestisce l'Academy Head Spa Italia® e l'Albo Nazionale degli Operatori Head Spa Olistico®, svolgendo attività di:</w:t>
      </w:r>
    </w:p>
    <w:p>
      <w:pPr>
        <w:pStyle w:val="ListParagraph"/>
        <w:numPr>
          <w:ilvl w:val="0"/>
          <w:numId w:val="2"/>
        </w:numPr>
      </w:pPr>
      <w:r>
        <w:t xml:space="preserve">Formazione professionale di operatori Head Spa mediante corsi accreditati</w:t>
      </w:r>
    </w:p>
    <w:p>
      <w:pPr>
        <w:pStyle w:val="ListParagraph"/>
        <w:numPr>
          <w:ilvl w:val="0"/>
          <w:numId w:val="2"/>
        </w:numPr>
      </w:pPr>
      <w:r>
        <w:t xml:space="preserve">Verifica delle competenze e rilascio di attestati di qualificazione</w:t>
      </w:r>
    </w:p>
    <w:p>
      <w:pPr>
        <w:pStyle w:val="ListParagraph"/>
        <w:numPr>
          <w:ilvl w:val="0"/>
          <w:numId w:val="2"/>
        </w:numPr>
      </w:pPr>
      <w:r>
        <w:t xml:space="preserve">Registrazione degli operatori qualificati nell'Albo Nazionale</w:t>
      </w:r>
    </w:p>
    <w:p>
      <w:pPr>
        <w:pStyle w:val="ListParagraph"/>
        <w:numPr>
          <w:ilvl w:val="0"/>
          <w:numId w:val="2"/>
        </w:numPr>
      </w:pPr>
      <w:r>
        <w:t xml:space="preserve">Monitoraggio della conformità degli iscritti ai criteri deontologici</w:t>
      </w:r>
    </w:p>
    <w:p>
      <w:pPr>
        <w:pStyle w:val="ListParagraph"/>
        <w:numPr>
          <w:ilvl w:val="0"/>
          <w:numId w:val="2"/>
        </w:numPr>
      </w:pPr>
      <w:r>
        <w:t xml:space="preserve">Educazione del pubblico sui principi del metodo e sulla selezione di operatori qualificati</w:t>
      </w:r>
    </w:p>
    <w:p>
      <w:pPr>
        <w:pStyle w:val="ListParagraph"/>
        <w:numPr>
          <w:ilvl w:val="0"/>
          <w:numId w:val="2"/>
        </w:numPr>
        <w:spacing w:after="240"/>
      </w:pPr>
      <w:r>
        <w:t xml:space="preserve">Ricerca, sviluppo e aggiornamento continuo della metodologia</w:t>
      </w:r>
    </w:p>
    <w:p>
      <w:pPr>
        <w:pStyle w:val="Heading2"/>
      </w:pPr>
      <w:r>
        <w:t xml:space="preserve">2.3 Attività Accessorie</w:t>
      </w:r>
    </w:p>
    <w:p>
      <w:pPr>
        <w:spacing w:after="360"/>
      </w:pPr>
      <w:r>
        <w:t xml:space="preserve">L'Associazione potrà sviluppare attività complementari quali: organizzazione di convegni, seminari e incontri informativi; edizione di materiali didattici e divulgativi; collaborazione con istituzioni culturali; realizzazione di ricerche e studi sulla pratica olistica.</w:t>
      </w:r>
    </w:p>
    <w:p>
      <w:pPr>
        <w:pStyle w:val="Heading1"/>
      </w:pPr>
      <w:r>
        <w:t xml:space="preserve">ART. 3 – REQUISITI D'ISCRIZIONE</w:t>
      </w:r>
    </w:p>
    <w:p>
      <w:pPr>
        <w:pStyle w:val="Heading2"/>
      </w:pPr>
      <w:r>
        <w:t xml:space="preserve">3.1 Categorie di Associati</w:t>
      </w:r>
    </w:p>
    <w:p>
      <w:pPr>
        <w:spacing w:after="240"/>
      </w:pPr>
      <w:r>
        <w:t xml:space="preserve">L'Associazione ammette le seguenti categorie di associati:</w:t>
      </w:r>
    </w:p>
    <w:p>
      <w:pPr>
        <w:pStyle w:val="ListParagraph"/>
        <w:numPr>
          <w:ilvl w:val="0"/>
          <w:numId w:val="3"/>
        </w:numPr>
      </w:pPr>
      <w:r>
        <w:rPr>
          <w:b/>
          <w:bCs/>
        </w:rPr>
        <w:t xml:space="preserve">Associati Sostenitori</w:t>
      </w:r>
      <w:r>
        <w:t xml:space="preserve"> – persone fisiche che supportano gli scopi dell'Associazione</w:t>
      </w:r>
    </w:p>
    <w:p>
      <w:pPr>
        <w:pStyle w:val="ListParagraph"/>
        <w:numPr>
          <w:ilvl w:val="0"/>
          <w:numId w:val="3"/>
        </w:numPr>
      </w:pPr>
      <w:r>
        <w:rPr>
          <w:b/>
          <w:bCs/>
        </w:rPr>
        <w:t xml:space="preserve">Associati Operatori Head Spa Qualificati</w:t>
      </w:r>
      <w:r>
        <w:t xml:space="preserve"> – operatori che hanno completato la formazione certificata e sono registrati nell'Albo Nazionale</w:t>
      </w:r>
    </w:p>
    <w:p>
      <w:pPr>
        <w:pStyle w:val="ListParagraph"/>
        <w:numPr>
          <w:ilvl w:val="0"/>
          <w:numId w:val="3"/>
        </w:numPr>
      </w:pPr>
      <w:r>
        <w:rPr>
          <w:b/>
          <w:bCs/>
        </w:rPr>
        <w:t xml:space="preserve">Associati Istituzioni</w:t>
      </w:r>
      <w:r>
        <w:t xml:space="preserve"> – enti, scuole o organizzazioni culturali che operano nel settore della formazione e del benessere olistico</w:t>
      </w:r>
    </w:p>
    <w:p>
      <w:pPr>
        <w:pStyle w:val="ListParagraph"/>
        <w:numPr>
          <w:ilvl w:val="0"/>
          <w:numId w:val="3"/>
        </w:numPr>
        <w:spacing w:after="240"/>
      </w:pPr>
      <w:r>
        <w:rPr>
          <w:b/>
          <w:bCs/>
        </w:rPr>
        <w:t xml:space="preserve">Associati Studenti</w:t>
      </w:r>
      <w:r>
        <w:t xml:space="preserve"> – persone in corso di formazione presso l'Academy Head Spa Italia®</w:t>
      </w:r>
    </w:p>
    <w:p>
      <w:pPr>
        <w:pStyle w:val="Heading2"/>
      </w:pPr>
      <w:r>
        <w:t xml:space="preserve">3.2 Requisiti Generali di Ammissione</w:t>
      </w:r>
    </w:p>
    <w:p>
      <w:pPr>
        <w:spacing w:after="120"/>
      </w:pPr>
      <w:r>
        <w:t xml:space="preserve">Per l'iscrizione all'Associazione è necessario:</w:t>
      </w:r>
    </w:p>
    <w:p>
      <w:pPr>
        <w:pStyle w:val="ListParagraph"/>
        <w:numPr>
          <w:ilvl w:val="0"/>
          <w:numId w:val="2"/>
        </w:numPr>
      </w:pPr>
      <w:r>
        <w:t xml:space="preserve">Essere persona fisica o giuridica in grado di intendere e volere</w:t>
      </w:r>
    </w:p>
    <w:p>
      <w:pPr>
        <w:pStyle w:val="ListParagraph"/>
        <w:numPr>
          <w:ilvl w:val="0"/>
          <w:numId w:val="2"/>
        </w:numPr>
      </w:pPr>
      <w:r>
        <w:t xml:space="preserve">Sottoscrivere la domanda di adesione con dichiarazione di accettazione del presente Statuto e del Codice Deontologico</w:t>
      </w:r>
    </w:p>
    <w:p>
      <w:pPr>
        <w:pStyle w:val="ListParagraph"/>
        <w:numPr>
          <w:ilvl w:val="0"/>
          <w:numId w:val="2"/>
        </w:numPr>
      </w:pPr>
      <w:r>
        <w:t xml:space="preserve">Non avere condanne definitive per reati che comportino l'interdizione dai pubblici uffici</w:t>
      </w:r>
    </w:p>
    <w:p>
      <w:pPr>
        <w:pStyle w:val="ListParagraph"/>
        <w:numPr>
          <w:ilvl w:val="0"/>
          <w:numId w:val="2"/>
        </w:numPr>
      </w:pPr>
      <w:r>
        <w:t xml:space="preserve">Versare la quota associativa annuale secondo le tariffe approvate dall'Assemblea Generale</w:t>
      </w:r>
    </w:p>
    <w:p>
      <w:pPr>
        <w:pStyle w:val="ListParagraph"/>
        <w:numPr>
          <w:ilvl w:val="0"/>
          <w:numId w:val="2"/>
        </w:numPr>
        <w:spacing w:after="240"/>
      </w:pPr>
      <w:r>
        <w:t xml:space="preserve">Sottoscrivere dichiarazione di impegno al rispetto dei criteri etici e deontologici</w:t>
      </w:r>
    </w:p>
    <w:p>
      <w:pPr>
        <w:pStyle w:val="Heading2"/>
      </w:pPr>
      <w:r>
        <w:t xml:space="preserve">3.3 Requisiti Specifici per Associati Operatori</w:t>
      </w:r>
    </w:p>
    <w:p>
      <w:pPr>
        <w:spacing w:after="120"/>
      </w:pPr>
      <w:r>
        <w:t xml:space="preserve">Per l'iscrizione alla categoria Associati Operatori Head Spa Qualificati è inoltre necessario:</w:t>
      </w:r>
    </w:p>
    <w:p>
      <w:pPr>
        <w:pStyle w:val="ListParagraph"/>
        <w:numPr>
          <w:ilvl w:val="0"/>
          <w:numId w:val="2"/>
        </w:numPr>
      </w:pPr>
      <w:r>
        <w:t xml:space="preserve">Aver completato il Corso Formativo Nazionale certificato dalla Academy Head Spa Italia®</w:t>
      </w:r>
    </w:p>
    <w:p>
      <w:pPr>
        <w:pStyle w:val="ListParagraph"/>
        <w:numPr>
          <w:ilvl w:val="0"/>
          <w:numId w:val="2"/>
        </w:numPr>
      </w:pPr>
      <w:r>
        <w:t xml:space="preserve">Aver superato l'esame pratico e teorico con valutazione positiva</w:t>
      </w:r>
    </w:p>
    <w:p>
      <w:pPr>
        <w:pStyle w:val="ListParagraph"/>
        <w:numPr>
          <w:ilvl w:val="0"/>
          <w:numId w:val="2"/>
        </w:numPr>
      </w:pPr>
      <w:r>
        <w:t xml:space="preserve">Possedere idoneità psico-fisica e assenza di controindicazioni mediche significative</w:t>
      </w:r>
    </w:p>
    <w:p>
      <w:pPr>
        <w:pStyle w:val="ListParagraph"/>
        <w:numPr>
          <w:ilvl w:val="0"/>
          <w:numId w:val="2"/>
        </w:numPr>
        <w:spacing w:after="240"/>
      </w:pPr>
      <w:r>
        <w:t xml:space="preserve">Sottoscrivere il Codice Deontologico dell'Operatore Head Spa con impegno vincolante al suo rispetto</w:t>
      </w:r>
    </w:p>
    <w:p>
      <w:pPr>
        <w:pStyle w:val="Heading2"/>
      </w:pPr>
      <w:r>
        <w:t xml:space="preserve">3.4 Procedura di Iscrizione</w:t>
      </w:r>
    </w:p>
    <w:p>
      <w:pPr>
        <w:spacing w:after="120"/>
      </w:pPr>
      <w:r>
        <w:t xml:space="preserve">La procedura di iscrizione segue i seguenti step:</w:t>
      </w:r>
    </w:p>
    <w:p>
      <w:pPr>
        <w:pStyle w:val="ListParagraph"/>
        <w:numPr>
          <w:ilvl w:val="0"/>
          <w:numId w:val="3"/>
        </w:numPr>
      </w:pPr>
      <w:r>
        <w:t xml:space="preserve">Completamento del modulo di domanda con dati anagrafici e personali</w:t>
      </w:r>
    </w:p>
    <w:p>
      <w:pPr>
        <w:pStyle w:val="ListParagraph"/>
        <w:numPr>
          <w:ilvl w:val="0"/>
          <w:numId w:val="3"/>
        </w:numPr>
      </w:pPr>
      <w:r>
        <w:t xml:space="preserve">Presentazione della documentazione richiesta (attestati, certificati, dichiarazioni)</w:t>
      </w:r>
    </w:p>
    <w:p>
      <w:pPr>
        <w:pStyle w:val="ListParagraph"/>
        <w:numPr>
          <w:ilvl w:val="0"/>
          <w:numId w:val="3"/>
        </w:numPr>
      </w:pPr>
      <w:r>
        <w:t xml:space="preserve">Valutazione da parte della Commissione Accettazioni entro 30 giorni</w:t>
      </w:r>
    </w:p>
    <w:p>
      <w:pPr>
        <w:pStyle w:val="ListParagraph"/>
        <w:numPr>
          <w:ilvl w:val="0"/>
          <w:numId w:val="3"/>
        </w:numPr>
      </w:pPr>
      <w:r>
        <w:t xml:space="preserve">Approvazione e comunicazione di avvenuta iscrizione</w:t>
      </w:r>
    </w:p>
    <w:p>
      <w:pPr>
        <w:pStyle w:val="ListParagraph"/>
        <w:numPr>
          <w:ilvl w:val="0"/>
          <w:numId w:val="3"/>
        </w:numPr>
        <w:spacing w:after="240"/>
      </w:pPr>
      <w:r>
        <w:t xml:space="preserve">Versamento della quota associativa annuale</w:t>
      </w:r>
    </w:p>
    <w:p>
      <w:pPr>
        <w:pStyle w:val="Heading2"/>
      </w:pPr>
      <w:r>
        <w:t xml:space="preserve">3.5 Esclusione da Iscrizione</w:t>
      </w:r>
    </w:p>
    <w:p>
      <w:pPr>
        <w:spacing w:after="360"/>
      </w:pPr>
      <w:r>
        <w:t xml:space="preserve">L'Associazione si riserva il diritto di escludere dalla membresía candidati che non rispondono ai requisiti etici e deontologici, o il cui comportamento risulti contrario ai principi dell'Associazione. Le decisioni di esclusione sono comunicate per iscritto con motivazione.</w:t>
      </w:r>
    </w:p>
    <w:p>
      <w:pPr>
        <w:pStyle w:val="Heading1"/>
      </w:pPr>
      <w:r>
        <w:t xml:space="preserve">ART. 4 – ALBO NAZIONALE OPERATORI HEAD SPA OLISTICO® E RILASCIO ATTESTATI</w:t>
      </w:r>
    </w:p>
    <w:p>
      <w:pPr>
        <w:pStyle w:val="Heading2"/>
      </w:pPr>
      <w:r>
        <w:t xml:space="preserve">4.1 Albo Nazionale</w:t>
      </w:r>
    </w:p>
    <w:p>
      <w:pPr>
        <w:spacing w:after="240"/>
      </w:pPr>
      <w:r>
        <w:t xml:space="preserve">L'Associazione gestisce l'Albo Nazionale degli Operatori Head Spa Olistico®, registro ufficiale di tutti gli operatori qualificati e certificati. L'Albo è consultabile pubblicamente tramite il sito ufficiale dell'Associazione per garantire trasparenza e permettere ai clienti di verificare la qualificazione degli operatori.</w:t>
      </w:r>
    </w:p>
    <w:p>
      <w:pPr>
        <w:pStyle w:val="Heading2"/>
      </w:pPr>
      <w:r>
        <w:t xml:space="preserve">4.2 Dati Registrati nell'Albo</w:t>
      </w:r>
    </w:p>
    <w:p>
      <w:pPr>
        <w:spacing w:after="120"/>
      </w:pPr>
      <w:r>
        <w:t xml:space="preserve">Per ogni operatore registrato l'Albo riporta:</w:t>
      </w:r>
    </w:p>
    <w:p>
      <w:pPr>
        <w:pStyle w:val="ListParagraph"/>
        <w:numPr>
          <w:ilvl w:val="0"/>
          <w:numId w:val="2"/>
        </w:numPr>
      </w:pPr>
      <w:r>
        <w:t xml:space="preserve">Numero di iscrizione univoco (codice ID operatore)</w:t>
      </w:r>
    </w:p>
    <w:p>
      <w:pPr>
        <w:pStyle w:val="ListParagraph"/>
        <w:numPr>
          <w:ilvl w:val="0"/>
          <w:numId w:val="2"/>
        </w:numPr>
      </w:pPr>
      <w:r>
        <w:t xml:space="preserve">Nome, cognome e dati di contatto</w:t>
      </w:r>
    </w:p>
    <w:p>
      <w:pPr>
        <w:pStyle w:val="ListParagraph"/>
        <w:numPr>
          <w:ilvl w:val="0"/>
          <w:numId w:val="2"/>
        </w:numPr>
      </w:pPr>
      <w:r>
        <w:t xml:space="preserve">Data di certificazione e livello di qualificazione</w:t>
      </w:r>
    </w:p>
    <w:p>
      <w:pPr>
        <w:pStyle w:val="ListParagraph"/>
        <w:numPr>
          <w:ilvl w:val="0"/>
          <w:numId w:val="2"/>
        </w:numPr>
      </w:pPr>
      <w:r>
        <w:t xml:space="preserve">Data di iscrizione all'Albo e data di rinnovo</w:t>
      </w:r>
    </w:p>
    <w:p>
      <w:pPr>
        <w:pStyle w:val="ListParagraph"/>
        <w:numPr>
          <w:ilvl w:val="0"/>
          <w:numId w:val="2"/>
        </w:numPr>
        <w:spacing w:after="240"/>
      </w:pPr>
      <w:r>
        <w:t xml:space="preserve">Status di attività (attivo, sospeso, revocato)</w:t>
      </w:r>
    </w:p>
    <w:p>
      <w:pPr>
        <w:pStyle w:val="Heading2"/>
      </w:pPr>
      <w:r>
        <w:t xml:space="preserve">4.3 Attestati di Qualificazione</w:t>
      </w:r>
    </w:p>
    <w:p>
      <w:pPr>
        <w:spacing w:after="240"/>
      </w:pPr>
      <w:r>
        <w:t xml:space="preserve">L'Associazione rilascia attestati ufficiali di qualificazione ai candidati che completano il Corso Formativo e superano le relative verifiche. L'attestato certifica il possesso delle competenze tecniche, etiche e deontologiche necessarie per l'esercizio della pratica Head Spa Olistico®.</w:t>
      </w:r>
    </w:p>
    <w:p>
      <w:pPr>
        <w:pStyle w:val="Heading2"/>
      </w:pPr>
      <w:r>
        <w:t xml:space="preserve">4.4 Livelli di Qualificazione</w:t>
      </w:r>
    </w:p>
    <w:p>
      <w:pPr>
        <w:spacing w:after="120"/>
      </w:pPr>
      <w:r>
        <w:t xml:space="preserve">L'Associazione riconosce i seguenti livelli di qualificazione:</w:t>
      </w:r>
    </w:p>
    <w:p>
      <w:pPr>
        <w:pStyle w:val="ListParagraph"/>
        <w:numPr>
          <w:ilvl w:val="0"/>
          <w:numId w:val="3"/>
        </w:numPr>
      </w:pPr>
      <w:r>
        <w:rPr>
          <w:b/>
          <w:bCs/>
        </w:rPr>
        <w:t xml:space="preserve">Livello Base</w:t>
      </w:r>
      <w:r>
        <w:t xml:space="preserve"> – Formazione introduttiva di 40 ore</w:t>
      </w:r>
    </w:p>
    <w:p>
      <w:pPr>
        <w:pStyle w:val="ListParagraph"/>
        <w:numPr>
          <w:ilvl w:val="0"/>
          <w:numId w:val="3"/>
        </w:numPr>
      </w:pPr>
      <w:r>
        <w:rPr>
          <w:b/>
          <w:bCs/>
        </w:rPr>
        <w:t xml:space="preserve">Livello Professionale</w:t>
      </w:r>
      <w:r>
        <w:t xml:space="preserve"> – Formazione avanzata di 120 ore con pratica supervisionata</w:t>
      </w:r>
    </w:p>
    <w:p>
      <w:pPr>
        <w:pStyle w:val="ListParagraph"/>
        <w:numPr>
          <w:ilvl w:val="0"/>
          <w:numId w:val="3"/>
        </w:numPr>
      </w:pPr>
      <w:r>
        <w:rPr>
          <w:b/>
          <w:bCs/>
        </w:rPr>
        <w:t xml:space="preserve">Livello Formatore</w:t>
      </w:r>
      <w:r>
        <w:t xml:space="preserve"> – Qualificazione specifica per docenti e supervisori</w:t>
      </w:r>
    </w:p>
    <w:p>
      <w:pPr>
        <w:pStyle w:val="ListParagraph"/>
        <w:numPr>
          <w:ilvl w:val="0"/>
          <w:numId w:val="3"/>
        </w:numPr>
        <w:spacing w:after="240"/>
      </w:pPr>
      <w:r>
        <w:rPr>
          <w:b/>
          <w:bCs/>
        </w:rPr>
        <w:t xml:space="preserve">Livello Specialista</w:t>
      </w:r>
      <w:r>
        <w:t xml:space="preserve"> – Specializzazioni tematiche su aspetti specifici del metodo</w:t>
      </w:r>
    </w:p>
    <w:p>
      <w:pPr>
        <w:pStyle w:val="Heading2"/>
      </w:pPr>
      <w:r>
        <w:t xml:space="preserve">4.5 Validità e Rinnovo Attestati</w:t>
      </w:r>
    </w:p>
    <w:p>
      <w:pPr>
        <w:spacing w:after="120"/>
      </w:pPr>
      <w:r>
        <w:t xml:space="preserve">Gli attestati hanno validità triennale. Per il rinnovo è necessario:</w:t>
      </w:r>
    </w:p>
    <w:p>
      <w:pPr>
        <w:pStyle w:val="ListParagraph"/>
        <w:numPr>
          <w:ilvl w:val="0"/>
          <w:numId w:val="2"/>
        </w:numPr>
      </w:pPr>
      <w:r>
        <w:t xml:space="preserve">Partecipare ad attività di aggiornamento professionale continuo (minimo 20 ore ogni 3 anni)</w:t>
      </w:r>
    </w:p>
    <w:p>
      <w:pPr>
        <w:pStyle w:val="ListParagraph"/>
        <w:numPr>
          <w:ilvl w:val="0"/>
          <w:numId w:val="2"/>
        </w:numPr>
      </w:pPr>
      <w:r>
        <w:t xml:space="preserve">Versare la quota di iscrizione annuale aggiornata</w:t>
      </w:r>
    </w:p>
    <w:p>
      <w:pPr>
        <w:pStyle w:val="ListParagraph"/>
        <w:numPr>
          <w:ilvl w:val="0"/>
          <w:numId w:val="2"/>
        </w:numPr>
      </w:pPr>
      <w:r>
        <w:t xml:space="preserve">Attestare il rispetto dei criteri etici e deontologici</w:t>
      </w:r>
    </w:p>
    <w:p>
      <w:pPr>
        <w:pStyle w:val="ListParagraph"/>
        <w:numPr>
          <w:ilvl w:val="0"/>
          <w:numId w:val="2"/>
        </w:numPr>
        <w:spacing w:after="240"/>
      </w:pPr>
      <w:r>
        <w:t xml:space="preserve">Completare il modulo di rinnovazione entro 30 giorni dalla scadenza</w:t>
      </w:r>
    </w:p>
    <w:p>
      <w:pPr>
        <w:pStyle w:val="Heading2"/>
      </w:pPr>
      <w:r>
        <w:t xml:space="preserve">4.6 Sospensione e Revoca</w:t>
      </w:r>
    </w:p>
    <w:p>
      <w:pPr>
        <w:spacing w:after="120"/>
      </w:pPr>
      <w:r>
        <w:t xml:space="preserve">L'Associazione può sospendere o revocare l'iscrizione all'Albo nei seguenti casi:</w:t>
      </w:r>
    </w:p>
    <w:p>
      <w:pPr>
        <w:pStyle w:val="ListParagraph"/>
        <w:numPr>
          <w:ilvl w:val="0"/>
          <w:numId w:val="2"/>
        </w:numPr>
      </w:pPr>
      <w:r>
        <w:t xml:space="preserve">Mancato pagamento della quota associativa annuale</w:t>
      </w:r>
    </w:p>
    <w:p>
      <w:pPr>
        <w:pStyle w:val="ListParagraph"/>
        <w:numPr>
          <w:ilvl w:val="0"/>
          <w:numId w:val="2"/>
        </w:numPr>
      </w:pPr>
      <w:r>
        <w:t xml:space="preserve">Violazione grave del Codice Deontologico</w:t>
      </w:r>
    </w:p>
    <w:p>
      <w:pPr>
        <w:pStyle w:val="ListParagraph"/>
        <w:numPr>
          <w:ilvl w:val="0"/>
          <w:numId w:val="2"/>
        </w:numPr>
      </w:pPr>
      <w:r>
        <w:t xml:space="preserve">Condanna penale per reati che compromettono l'idoneità professionale</w:t>
      </w:r>
    </w:p>
    <w:p>
      <w:pPr>
        <w:pStyle w:val="ListParagraph"/>
        <w:numPr>
          <w:ilvl w:val="0"/>
          <w:numId w:val="2"/>
        </w:numPr>
      </w:pPr>
      <w:r>
        <w:t xml:space="preserve">Reclami comprovati di condotta professionale scorretta</w:t>
      </w:r>
    </w:p>
    <w:p>
      <w:pPr>
        <w:pStyle w:val="ListParagraph"/>
        <w:numPr>
          <w:ilvl w:val="0"/>
          <w:numId w:val="2"/>
        </w:numPr>
        <w:spacing w:after="360"/>
      </w:pPr>
      <w:r>
        <w:t xml:space="preserve">Richiesta volontaria di cancellazione</w:t>
      </w:r>
    </w:p>
    <w:p>
      <w:pPr>
        <w:pStyle w:val="Heading1"/>
      </w:pPr>
      <w:r>
        <w:t xml:space="preserve">ART. 5 – QUOTE ASSOCIATIVE E GESTIONE FINANZIARIA</w:t>
      </w:r>
    </w:p>
    <w:p>
      <w:pPr>
        <w:pStyle w:val="Heading2"/>
      </w:pPr>
      <w:r>
        <w:t xml:space="preserve">5.1 Determinazione Delle Quote</w:t>
      </w:r>
    </w:p>
    <w:p>
      <w:pPr>
        <w:spacing w:after="240"/>
      </w:pPr>
      <w:r>
        <w:t xml:space="preserve">L'importo delle quote associative annuali è stabilito dall'Assemblea Generale e varia in base alla categoria di associato. Le quote sono calcolate per coprire i costi organizzativi, amministrativi e di gestione dell'Albo Nazionale. Nessuna quota è utilizzata a fine di lucro.</w:t>
      </w:r>
    </w:p>
    <w:p>
      <w:pPr>
        <w:pStyle w:val="Heading2"/>
      </w:pPr>
      <w:r>
        <w:t xml:space="preserve">5.2 Modalità di Pagamento</w:t>
      </w:r>
    </w:p>
    <w:p>
      <w:pPr>
        <w:spacing w:after="240"/>
      </w:pPr>
      <w:r>
        <w:t xml:space="preserve">Le quote associative sono versate annualmente tramite bonifico bancario secondo le modalità indicate dall'Associazione. Il pagamento deve avvenire entro il 31 marzo di ogni anno. Il mancato pagamento comporta la sospensione automatica dell'iscrizione.</w:t>
      </w:r>
    </w:p>
    <w:p>
      <w:pPr>
        <w:pStyle w:val="Heading2"/>
      </w:pPr>
      <w:r>
        <w:t xml:space="preserve">5.3 Fondo di Dotazione</w:t>
      </w:r>
    </w:p>
    <w:p>
      <w:pPr>
        <w:spacing w:after="240"/>
      </w:pPr>
      <w:r>
        <w:t xml:space="preserve">L'Associazione può costituire un fondo di dotazione mediante raccolta di contributi volontari da parte dei soci. Detto fondo è destinato al finanziamento di progetti strategici, ricerca e sviluppo del metodo Head Spa Olistico®.</w:t>
      </w:r>
    </w:p>
    <w:p>
      <w:pPr>
        <w:pStyle w:val="Heading2"/>
      </w:pPr>
      <w:r>
        <w:t xml:space="preserve">5.4 Rendicontazione Finanziaria</w:t>
      </w:r>
    </w:p>
    <w:p>
      <w:pPr>
        <w:spacing w:after="360"/>
      </w:pPr>
      <w:r>
        <w:t xml:space="preserve">L'Associazione redige annualmente un bilancio (rendicontazione sociale nel caso di APS) che è messo a disposizione degli associati. La gestione finanziaria è trasparente e conforme alle normative contabili e fiscali vigenti.</w:t>
      </w:r>
    </w:p>
    <w:p>
      <w:pPr>
        <w:pStyle w:val="Heading1"/>
      </w:pPr>
      <w:r>
        <w:t xml:space="preserve">ART. 6 – ORGANI DIRETTIVI E GOVERNANCE</w:t>
      </w:r>
    </w:p>
    <w:p>
      <w:pPr>
        <w:pStyle w:val="Heading2"/>
      </w:pPr>
      <w:r>
        <w:t xml:space="preserve">6.1 Organi dell'Associazione</w:t>
      </w:r>
    </w:p>
    <w:p>
      <w:pPr>
        <w:spacing w:after="240"/>
      </w:pPr>
      <w:r>
        <w:t xml:space="preserve">Gli organi dell'Associazione sono:</w:t>
      </w:r>
    </w:p>
    <w:p>
      <w:pPr>
        <w:pStyle w:val="ListParagraph"/>
        <w:numPr>
          <w:ilvl w:val="0"/>
          <w:numId w:val="3"/>
        </w:numPr>
      </w:pPr>
      <w:r>
        <w:t xml:space="preserve">Assemblea Generale degli Associati</w:t>
      </w:r>
    </w:p>
    <w:p>
      <w:pPr>
        <w:pStyle w:val="ListParagraph"/>
        <w:numPr>
          <w:ilvl w:val="0"/>
          <w:numId w:val="3"/>
        </w:numPr>
      </w:pPr>
      <w:r>
        <w:t xml:space="preserve">Consiglio Direttivo</w:t>
      </w:r>
    </w:p>
    <w:p>
      <w:pPr>
        <w:pStyle w:val="ListParagraph"/>
        <w:numPr>
          <w:ilvl w:val="0"/>
          <w:numId w:val="3"/>
        </w:numPr>
      </w:pPr>
      <w:r>
        <w:t xml:space="preserve">Presidente</w:t>
      </w:r>
    </w:p>
    <w:p>
      <w:pPr>
        <w:pStyle w:val="ListParagraph"/>
        <w:numPr>
          <w:ilvl w:val="0"/>
          <w:numId w:val="3"/>
        </w:numPr>
      </w:pPr>
      <w:r>
        <w:t xml:space="preserve">Segretario</w:t>
      </w:r>
    </w:p>
    <w:p>
      <w:pPr>
        <w:pStyle w:val="ListParagraph"/>
        <w:numPr>
          <w:ilvl w:val="0"/>
          <w:numId w:val="3"/>
        </w:numPr>
      </w:pPr>
      <w:r>
        <w:t xml:space="preserve">Tesoriere</w:t>
      </w:r>
    </w:p>
    <w:p>
      <w:pPr>
        <w:pStyle w:val="ListParagraph"/>
        <w:numPr>
          <w:ilvl w:val="0"/>
          <w:numId w:val="3"/>
        </w:numPr>
      </w:pPr>
      <w:r>
        <w:t xml:space="preserve">Collegio dei Sindaci (o Revisore Unico per APS piccole)</w:t>
      </w:r>
    </w:p>
    <w:p>
      <w:pPr>
        <w:pStyle w:val="ListParagraph"/>
        <w:numPr>
          <w:ilvl w:val="0"/>
          <w:numId w:val="3"/>
        </w:numPr>
        <w:spacing w:after="240"/>
      </w:pPr>
      <w:r>
        <w:t xml:space="preserve">Commissione Accettazioni e Commissione Disciplinare</w:t>
      </w:r>
    </w:p>
    <w:p>
      <w:pPr>
        <w:pStyle w:val="Heading2"/>
      </w:pPr>
      <w:r>
        <w:t xml:space="preserve">6.2 Assemblea Generale</w:t>
      </w:r>
    </w:p>
    <w:p>
      <w:pPr>
        <w:spacing w:before="120" w:after="120"/>
      </w:pPr>
      <w:r>
        <w:rPr>
          <w:b/>
          <w:bCs/>
        </w:rPr>
        <w:t xml:space="preserve">Composizione e Competenze</w:t>
      </w:r>
    </w:p>
    <w:p>
      <w:pPr>
        <w:spacing w:after="240"/>
      </w:pPr>
      <w:r>
        <w:t xml:space="preserve">L'Assemblea Generale è composta da tutti gli associati in regola con il versamento della quota. È competente su tutte le questioni dell'Associazione incluse: approvazione del bilancio, elezione degli organi direttivi, modifiche dello Statuto, delibere su questioni strategiche.</w:t>
      </w:r>
    </w:p>
    <w:p>
      <w:pPr>
        <w:spacing w:before="120" w:after="120"/>
      </w:pPr>
      <w:r>
        <w:rPr>
          <w:b/>
          <w:bCs/>
        </w:rPr>
        <w:t xml:space="preserve">Convocazione</w:t>
      </w:r>
    </w:p>
    <w:p>
      <w:pPr>
        <w:spacing w:after="240"/>
      </w:pPr>
      <w:r>
        <w:t xml:space="preserve">L'Assemblea è convocata dal Presidente almeno due volte all'anno (Assemblea Ordinaria in primavera e Assemblea Ordinaria in autunno) e straordinariamente quando necessario. La convocazione avviene con almeno 15 giorni di anticipo mediante comunicazione via email o raccomandata con allegato l'ordine del giorno.</w:t>
      </w:r>
    </w:p>
    <w:p>
      <w:pPr>
        <w:spacing w:before="120" w:after="120"/>
      </w:pPr>
      <w:r>
        <w:rPr>
          <w:b/>
          <w:bCs/>
        </w:rPr>
        <w:t xml:space="preserve">Quorum</w:t>
      </w:r>
    </w:p>
    <w:p>
      <w:pPr>
        <w:spacing w:after="240"/>
      </w:pPr>
      <w:r>
        <w:t xml:space="preserve">L'Assemblea è regolarmente costituita in prima convocazione con la presenza di almeno il 50% degli associati aventi diritto di voto. In seconda convocazione (dopo 30 minuti) è regolarmente costituita con qualsiasi numero di presenti.</w:t>
      </w:r>
    </w:p>
    <w:p>
      <w:pPr>
        <w:spacing w:before="120" w:after="120"/>
      </w:pPr>
      <w:r>
        <w:rPr>
          <w:b/>
          <w:bCs/>
        </w:rPr>
        <w:t xml:space="preserve">Diritto di Voto</w:t>
      </w:r>
    </w:p>
    <w:p>
      <w:pPr>
        <w:spacing w:after="240"/>
      </w:pPr>
      <w:r>
        <w:t xml:space="preserve">Ogni associato in regola con le quote ha diritto ad un voto per ogni deliberazione. Le decisioni sono assunte a maggioranza semplice dei presenti, salvo diversa indicazione nel presente Statuto.</w:t>
      </w:r>
    </w:p>
    <w:p>
      <w:pPr>
        <w:pStyle w:val="Heading2"/>
      </w:pPr>
      <w:r>
        <w:t xml:space="preserve">6.3 Consiglio Direttivo</w:t>
      </w:r>
    </w:p>
    <w:p>
      <w:pPr>
        <w:spacing w:before="120" w:after="120"/>
      </w:pPr>
      <w:r>
        <w:rPr>
          <w:b/>
          <w:bCs/>
        </w:rPr>
        <w:t xml:space="preserve">Composizione</w:t>
      </w:r>
    </w:p>
    <w:p>
      <w:pPr>
        <w:spacing w:after="240"/>
      </w:pPr>
      <w:r>
        <w:t xml:space="preserve">Il Consiglio Direttivo è composto da 5-9 membri eletti dall'Assemblea Generale per un mandato di 3 anni. Sono rieleggibili. Del Consiglio fanno parte il Presidente, il Segretario e il Tesoriere con le relative responsabilità specifiche.</w:t>
      </w:r>
    </w:p>
    <w:p>
      <w:pPr>
        <w:spacing w:before="120" w:after="120"/>
      </w:pPr>
      <w:r>
        <w:rPr>
          <w:b/>
          <w:bCs/>
        </w:rPr>
        <w:t xml:space="preserve">Competenze</w:t>
      </w:r>
    </w:p>
    <w:p>
      <w:pPr>
        <w:spacing w:after="240"/>
      </w:pPr>
      <w:r>
        <w:t xml:space="preserve">Il Consiglio Direttivo è responsabile della gestione ordinaria dell'Associazione, dell'esecuzione delle delibere assembleari, della gestione dell'Academy e dell'Albo, della riscossione delle quote e della predisposizione del bilancio.</w:t>
      </w:r>
    </w:p>
    <w:p>
      <w:pPr>
        <w:spacing w:before="120" w:after="120"/>
      </w:pPr>
      <w:r>
        <w:rPr>
          <w:b/>
          <w:bCs/>
        </w:rPr>
        <w:t xml:space="preserve">Riunioni</w:t>
      </w:r>
    </w:p>
    <w:p>
      <w:pPr>
        <w:spacing w:after="360"/>
      </w:pPr>
      <w:r>
        <w:t xml:space="preserve">Il Consiglio Direttivo si riunisce almeno una volta al trimestre. Le riunioni sono valide con la partecipazione della maggioranza dei consiglieri. Le delibere sono assunte a maggioranza semplice. Il Presidente ha voto decisivo in caso di parità.</w:t>
      </w:r>
    </w:p>
    <w:p>
      <w:pPr>
        <w:pStyle w:val="Heading2"/>
      </w:pPr>
      <w:r>
        <w:t xml:space="preserve">6.4 Presidente</w:t>
      </w:r>
    </w:p>
    <w:p>
      <w:pPr>
        <w:spacing w:after="240"/>
      </w:pPr>
      <w:r>
        <w:t xml:space="preserve">Il Presidente rappresenta legalmente l'Associazione, convoca l'Assemblea e il Consiglio Direttivo, presiede le riunioni, sottoscrive gli atti dell'Associazione, nomina incaricati e delegati per specifici compiti.</w:t>
      </w:r>
    </w:p>
    <w:p>
      <w:pPr>
        <w:pStyle w:val="Heading2"/>
      </w:pPr>
      <w:r>
        <w:t xml:space="preserve">6.5 Segretario</w:t>
      </w:r>
    </w:p>
    <w:p>
      <w:pPr>
        <w:spacing w:after="240"/>
      </w:pPr>
      <w:r>
        <w:t xml:space="preserve">Il Segretario è responsabile della gestione amministrativa, redazione dei verbali di Assemblea e Consiglio, mantenimento dell'archivio, gestione della corrispondenza, adempimenti verso gli enti pubblici.</w:t>
      </w:r>
    </w:p>
    <w:p>
      <w:pPr>
        <w:pStyle w:val="Heading2"/>
      </w:pPr>
      <w:r>
        <w:t xml:space="preserve">6.6 Tesoriere</w:t>
      </w:r>
    </w:p>
    <w:p>
      <w:pPr>
        <w:spacing w:after="240"/>
      </w:pPr>
      <w:r>
        <w:t xml:space="preserve">Il Tesoriere è responsabile della gestione finanziaria, riscossione delle quote, pagamento delle spese, tenuta della contabilità, predisposizione del bilancio e rendicontazione finanziaria.</w:t>
      </w:r>
    </w:p>
    <w:p>
      <w:pPr>
        <w:pStyle w:val="Heading2"/>
      </w:pPr>
      <w:r>
        <w:t xml:space="preserve">6.7 Collegio dei Sindaci</w:t>
      </w:r>
    </w:p>
    <w:p>
      <w:pPr>
        <w:spacing w:after="240"/>
      </w:pPr>
      <w:r>
        <w:t xml:space="preserve">L'Associazione istituisce un Collegio dei Sindaci (o designa un Revisore Unico se qualificata come micro-APS) con funzione di vigilanza sulla gestione finanziaria e sul rispetto dello Statuto. I sindaci sono nominati dall'Assemblea Generale.</w:t>
      </w:r>
    </w:p>
    <w:p>
      <w:pPr>
        <w:pStyle w:val="Heading2"/>
      </w:pPr>
      <w:r>
        <w:t xml:space="preserve">6.8 Commissioni Operative</w:t>
      </w:r>
    </w:p>
    <w:p>
      <w:pPr>
        <w:spacing w:after="360"/>
      </w:pPr>
      <w:r>
        <w:t xml:space="preserve">Il Consiglio Direttivo istituisce: (a) Commissione Accettazioni, incaricata della verifica dei requisiti dei candidati associati; (b) Commissione Disciplinare, responsabile dell'esame di reclami e violazioni dei codici deontologici; (c) Commissione Formazione, per la supervisione dei corsi e degli attestati.</w:t>
      </w:r>
    </w:p>
    <w:p>
      <w:pPr>
        <w:pStyle w:val="Heading1"/>
      </w:pPr>
      <w:r>
        <w:t xml:space="preserve">ART. 7 – DIRITTI E DOVERI DEGLI ASSOCIATI</w:t>
      </w:r>
    </w:p>
    <w:p>
      <w:pPr>
        <w:pStyle w:val="Heading2"/>
      </w:pPr>
      <w:r>
        <w:t xml:space="preserve">7.1 Diritti degli Associati</w:t>
      </w:r>
    </w:p>
    <w:p>
      <w:pPr>
        <w:spacing w:after="120"/>
      </w:pPr>
      <w:r>
        <w:t xml:space="preserve">Gli associati hanno diritto a:</w:t>
      </w:r>
    </w:p>
    <w:p>
      <w:pPr>
        <w:pStyle w:val="ListParagraph"/>
        <w:numPr>
          <w:ilvl w:val="0"/>
          <w:numId w:val="2"/>
        </w:numPr>
      </w:pPr>
      <w:r>
        <w:t xml:space="preserve">Partecipare alle Assemblee Generali con diritto di voto</w:t>
      </w:r>
    </w:p>
    <w:p>
      <w:pPr>
        <w:pStyle w:val="ListParagraph"/>
        <w:numPr>
          <w:ilvl w:val="0"/>
          <w:numId w:val="2"/>
        </w:numPr>
      </w:pPr>
      <w:r>
        <w:t xml:space="preserve">Ricevere comunicazioni relative all'Associazione</w:t>
      </w:r>
    </w:p>
    <w:p>
      <w:pPr>
        <w:pStyle w:val="ListParagraph"/>
        <w:numPr>
          <w:ilvl w:val="0"/>
          <w:numId w:val="2"/>
        </w:numPr>
      </w:pPr>
      <w:r>
        <w:t xml:space="preserve">Beneficiare degli aggiornamenti professionali e delle iniziative formative</w:t>
      </w:r>
    </w:p>
    <w:p>
      <w:pPr>
        <w:pStyle w:val="ListParagraph"/>
        <w:numPr>
          <w:ilvl w:val="0"/>
          <w:numId w:val="2"/>
        </w:numPr>
      </w:pPr>
      <w:r>
        <w:t xml:space="preserve">Accedere al database dell'Albo per verificare qualificazioni di colleghi</w:t>
      </w:r>
    </w:p>
    <w:p>
      <w:pPr>
        <w:pStyle w:val="ListParagraph"/>
        <w:numPr>
          <w:ilvl w:val="0"/>
          <w:numId w:val="2"/>
        </w:numPr>
        <w:spacing w:after="240"/>
      </w:pPr>
      <w:r>
        <w:t xml:space="preserve">Essere tutelati dalla Commissione Disciplinare in caso di accuse infondate</w:t>
      </w:r>
    </w:p>
    <w:p>
      <w:pPr>
        <w:pStyle w:val="Heading2"/>
      </w:pPr>
      <w:r>
        <w:t xml:space="preserve">7.2 Doveri degli Associati</w:t>
      </w:r>
    </w:p>
    <w:p>
      <w:pPr>
        <w:spacing w:after="120"/>
      </w:pPr>
      <w:r>
        <w:t xml:space="preserve">Gli associati hanno il dovere di:</w:t>
      </w:r>
    </w:p>
    <w:p>
      <w:pPr>
        <w:pStyle w:val="ListParagraph"/>
        <w:numPr>
          <w:ilvl w:val="0"/>
          <w:numId w:val="2"/>
        </w:numPr>
      </w:pPr>
      <w:r>
        <w:t xml:space="preserve">Versare puntualmente la quota associativa annuale</w:t>
      </w:r>
    </w:p>
    <w:p>
      <w:pPr>
        <w:pStyle w:val="ListParagraph"/>
        <w:numPr>
          <w:ilvl w:val="0"/>
          <w:numId w:val="2"/>
        </w:numPr>
      </w:pPr>
      <w:r>
        <w:t xml:space="preserve">Rispettare lo Statuto e il Codice Deontologico dell'Associazione</w:t>
      </w:r>
    </w:p>
    <w:p>
      <w:pPr>
        <w:pStyle w:val="ListParagraph"/>
        <w:numPr>
          <w:ilvl w:val="0"/>
          <w:numId w:val="2"/>
        </w:numPr>
      </w:pPr>
      <w:r>
        <w:t xml:space="preserve">Partecipare attivamente alle attività dell'Associazione</w:t>
      </w:r>
    </w:p>
    <w:p>
      <w:pPr>
        <w:pStyle w:val="ListParagraph"/>
        <w:numPr>
          <w:ilvl w:val="0"/>
          <w:numId w:val="2"/>
        </w:numPr>
      </w:pPr>
      <w:r>
        <w:t xml:space="preserve">Mantenere un comportamento dignitoso e conforme ai principi etici del metodo</w:t>
      </w:r>
    </w:p>
    <w:p>
      <w:pPr>
        <w:pStyle w:val="ListParagraph"/>
        <w:numPr>
          <w:ilvl w:val="0"/>
          <w:numId w:val="2"/>
        </w:numPr>
        <w:spacing w:after="240"/>
      </w:pPr>
      <w:r>
        <w:t xml:space="preserve">Comunicare variazioni di dati anagrafici o professionali all'Associazione</w:t>
      </w:r>
    </w:p>
    <w:p>
      <w:pPr>
        <w:pStyle w:val="Heading2"/>
      </w:pPr>
      <w:r>
        <w:t xml:space="preserve">7.3 Diritti Specifici degli Operatori Qualificati</w:t>
      </w:r>
    </w:p>
    <w:p>
      <w:pPr>
        <w:spacing w:after="120"/>
      </w:pPr>
      <w:r>
        <w:t xml:space="preserve">Gli Associati Operatori Head Spa Qualificati hanno il diritto di:</w:t>
      </w:r>
    </w:p>
    <w:p>
      <w:pPr>
        <w:pStyle w:val="ListParagraph"/>
        <w:numPr>
          <w:ilvl w:val="0"/>
          <w:numId w:val="2"/>
        </w:numPr>
      </w:pPr>
      <w:r>
        <w:t xml:space="preserve">Utilizzare il titolo certificato "Operatore Head Spa Olistico®" qualificato dall'Albo</w:t>
      </w:r>
    </w:p>
    <w:p>
      <w:pPr>
        <w:pStyle w:val="ListParagraph"/>
        <w:numPr>
          <w:ilvl w:val="0"/>
          <w:numId w:val="2"/>
        </w:numPr>
      </w:pPr>
      <w:r>
        <w:t xml:space="preserve">Figurare nell'Albo Nazionale pubblico con i propri dati professionali</w:t>
      </w:r>
    </w:p>
    <w:p>
      <w:pPr>
        <w:pStyle w:val="ListParagraph"/>
        <w:numPr>
          <w:ilvl w:val="0"/>
          <w:numId w:val="2"/>
        </w:numPr>
      </w:pPr>
      <w:r>
        <w:t xml:space="preserve">Ricevere aggiornamenti e formazione continua certificata</w:t>
      </w:r>
    </w:p>
    <w:p>
      <w:pPr>
        <w:pStyle w:val="ListParagraph"/>
        <w:numPr>
          <w:ilvl w:val="0"/>
          <w:numId w:val="2"/>
        </w:numPr>
        <w:spacing w:after="360"/>
      </w:pPr>
      <w:r>
        <w:t xml:space="preserve">Usufruire di materiali didattici, linee guida e supporto professionale dall'Associazione</w:t>
      </w:r>
    </w:p>
    <w:p>
      <w:pPr>
        <w:pStyle w:val="Heading1"/>
      </w:pPr>
      <w:r>
        <w:t xml:space="preserve">ART. 8 – CODICE DEONTOLOGICO E DISCIPLINA</w:t>
      </w:r>
    </w:p>
    <w:p>
      <w:pPr>
        <w:pStyle w:val="Heading2"/>
      </w:pPr>
      <w:r>
        <w:t xml:space="preserve">8.1 Codice Deontologico</w:t>
      </w:r>
    </w:p>
    <w:p>
      <w:pPr>
        <w:spacing w:after="240"/>
      </w:pPr>
      <w:r>
        <w:t xml:space="preserve">Tutti gli associati, in particolare gli Operatori Qualificati, sottoscrivono il Codice Deontologico dell'Associazione che disciplina: principi etici, rispetto della privacy e della dignità dei clienti, competenza professionale, trasparenza nelle comunicazioni, riservatezza, conflitti di interesse, continuità formativa. Il Codice Deontologico è allegato al presente Statuto e può essere aggiornato dall'Assemblea Generale.</w:t>
      </w:r>
    </w:p>
    <w:p>
      <w:pPr>
        <w:pStyle w:val="Heading2"/>
      </w:pPr>
      <w:r>
        <w:t xml:space="preserve">8.2 Violazioni e Sanzioni</w:t>
      </w:r>
    </w:p>
    <w:p>
      <w:pPr>
        <w:spacing w:after="240"/>
      </w:pPr>
      <w:r>
        <w:t xml:space="preserve">Violazioni gravi del Codice Deontologico (scorrettezza professionale, comportamenti lesivi della dignità, frode nel certificato di competenza, utilizzo improprio del titolo) possono comportare sanzioni graduali: avvertimento formale, sospensione temporanea dall'Albo (6-12 mesi), revoca definitiva dell'iscrizione.</w:t>
      </w:r>
    </w:p>
    <w:p>
      <w:pPr>
        <w:pStyle w:val="Heading2"/>
      </w:pPr>
      <w:r>
        <w:t xml:space="preserve">8.3 Procedura Disciplinare</w:t>
      </w:r>
    </w:p>
    <w:p>
      <w:pPr>
        <w:spacing w:after="240"/>
      </w:pPr>
      <w:r>
        <w:t xml:space="preserve">La Commissione Disciplinare valuta reclami comprovati contro associati. L'associato accusato ha diritto a ricevere notifica scritta della contestazione e diritto di difesa. La procedura assicura equità, trasparenza e diritto al contraddittorio. Le decisioni sono comunicate per iscritto con motivazione e sono impugnabili all'Assemblea Generale.</w:t>
      </w:r>
    </w:p>
    <w:p>
      <w:pPr>
        <w:pStyle w:val="Heading1"/>
      </w:pPr>
      <w:r>
        <w:t xml:space="preserve">ART. 9 – ESTINZIONE E LIQUIDAZIONE</w:t>
      </w:r>
    </w:p>
    <w:p>
      <w:pPr>
        <w:pStyle w:val="Heading2"/>
      </w:pPr>
      <w:r>
        <w:t xml:space="preserve">9.1 Cause di Estinzione</w:t>
      </w:r>
    </w:p>
    <w:p>
      <w:pPr>
        <w:spacing w:after="240"/>
      </w:pPr>
      <w:r>
        <w:t xml:space="preserve">L'Associazione si estingue per: delibera dell'Assemblea Generale, venire meno dell'oggetto sociale per impossibilità di perseguirne gli scopi, inosservanza delle condizioni di cui alla legge 383/2000, altre cause previste da legge.</w:t>
      </w:r>
    </w:p>
    <w:p>
      <w:pPr>
        <w:pStyle w:val="Heading2"/>
      </w:pPr>
      <w:r>
        <w:t xml:space="preserve">9.2 Liquidazione</w:t>
      </w:r>
    </w:p>
    <w:p>
      <w:pPr>
        <w:spacing w:after="240"/>
      </w:pPr>
      <w:r>
        <w:t xml:space="preserve">In caso di estinzione, l'Assemblea Generale nomina un liquidatore. L'eventuale patrimonio residuo, al termine della liquidazione, è devoluto a titolo gratuito ad associazioni culturali, enti no-profit o pubbliche amministrazioni perseguenti finalità coerenti con quelle dell'Associazione, secondo scelta dell'Assemblea Generale.</w:t>
      </w:r>
    </w:p>
    <w:p>
      <w:pPr>
        <w:pStyle w:val="Heading1"/>
      </w:pPr>
      <w:r>
        <w:t xml:space="preserve">ART. 10 – NORME FINALI E DISPOSIZIONI TRANSITORIE</w:t>
      </w:r>
    </w:p>
    <w:p>
      <w:pPr>
        <w:pStyle w:val="Heading2"/>
      </w:pPr>
      <w:r>
        <w:t xml:space="preserve">10.1 Modifiche dello Statuto</w:t>
      </w:r>
    </w:p>
    <w:p>
      <w:pPr>
        <w:spacing w:after="240"/>
      </w:pPr>
      <w:r>
        <w:t xml:space="preserve">Lo Statuto può essere modificato mediante delibera dell'Assemblea Generale con maggioranza qualificata dei 2/3 dei soci presenti. Le modifiche diventano efficaci dalla data di registrazione presso il Registro nazionale del Terzo Settore (RUNTS).</w:t>
      </w:r>
    </w:p>
    <w:p>
      <w:pPr>
        <w:pStyle w:val="Heading2"/>
      </w:pPr>
      <w:r>
        <w:t xml:space="preserve">10.2 Trasparenza e Comunicazioni</w:t>
      </w:r>
    </w:p>
    <w:p>
      <w:pPr>
        <w:spacing w:after="240"/>
      </w:pPr>
      <w:r>
        <w:t xml:space="preserve">L'Associazione garantisce trasparenza nelle comunicazioni verso gli associati, presso il pubblico e verso le autorità competenti. Il sito ufficiale e i canali di comunicazione ufficiali sono i soli media autorizzati per comunicazioni formali.</w:t>
      </w:r>
    </w:p>
    <w:p>
      <w:pPr>
        <w:pStyle w:val="Heading2"/>
      </w:pPr>
      <w:r>
        <w:t xml:space="preserve">10.3 Registrazione RUNTS</w:t>
      </w:r>
    </w:p>
    <w:p>
      <w:pPr>
        <w:spacing w:after="240"/>
      </w:pPr>
      <w:r>
        <w:t xml:space="preserve">L'Associazione garantisce l'iscrizione al Registro Unico Nazionale del Terzo Settore (RUNTS) e il rispetto degli obblighi di rendicontazione e comunicazione previsti dalla legge.</w:t>
      </w:r>
    </w:p>
    <w:p>
      <w:pPr>
        <w:pStyle w:val="Heading2"/>
      </w:pPr>
      <w:r>
        <w:t xml:space="preserve">10.4 Interpretazione dello Statuto</w:t>
      </w:r>
    </w:p>
    <w:p>
      <w:pPr>
        <w:spacing w:after="240"/>
      </w:pPr>
      <w:r>
        <w:t xml:space="preserve">In caso di controversie interpretative su disposizioni dello Statuto, è competente il Consiglio Direttivo con possibilità di ricorso all'Assemblea Generale. Per questioni legali, si applicano le normative vigenti sulla riservatezza dei dati personali, la disciplina delle associazioni culturali e i relativi regolamenti municipali.</w:t>
      </w:r>
    </w:p>
    <w:p>
      <w:pPr>
        <w:pStyle w:val="Heading2"/>
      </w:pPr>
      <w:r>
        <w:t xml:space="preserve">10.5 Regolamenti Interni</w:t>
      </w:r>
    </w:p>
    <w:p>
      <w:pPr>
        <w:spacing w:after="240"/>
      </w:pPr>
      <w:r>
        <w:t xml:space="preserve">Il Consiglio Direttivo può emanare regolamenti interni per specifici ambiti (procedure di ammissione, gestione dei corsi, disciplina della Commissione Accettazioni) purché coerenti con il presente Statuto.</w:t>
      </w:r>
    </w:p>
    <w:p>
      <w:pPr>
        <w:pStyle w:val="Heading2"/>
      </w:pPr>
      <w:r>
        <w:t xml:space="preserve">10.6 Entrata in Vigore</w:t>
      </w:r>
    </w:p>
    <w:p>
      <w:pPr>
        <w:spacing w:before="120" w:after="360"/>
      </w:pPr>
      <w:r>
        <w:t xml:space="preserve">Il presente Statuto entra in vigore dalla data della sua approvazione in Assemblea Costitutiva e rimane in vigore fino a diverse disposizioni deliberate dall'Associazione in sede assembleare.</w:t>
      </w:r>
    </w:p>
    <w:p>
      <w:r>
        <w:br w:type="page"/>
      </w:r>
    </w:p>
    <w:p>
      <w:pPr>
        <w:spacing w:before="480" w:after="240"/>
        <w:jc w:val="center"/>
      </w:pPr>
      <w:r>
        <w:rPr>
          <w:b/>
          <w:bCs/>
          <w:sz w:val="28"/>
          <w:szCs w:val="28"/>
        </w:rPr>
        <w:t xml:space="preserve">SOTTOSCRIZIONI</w:t>
      </w:r>
    </w:p>
    <w:p>
      <w:pPr>
        <w:spacing w:before="360" w:after="240"/>
      </w:pPr>
      <w:r>
        <w:t xml:space="preserve">Il presente Statuto è sottoscritto dagli associati fondatori:</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2340"/>
        <w:gridCol w:w="3510"/>
        <w:gridCol w:w="3510"/>
      </w:tblGrid>
      <w:tr>
        <w:trPr>
          <w:tblHeader/>
        </w:trPr>
        <w:tc>
          <w:tcPr>
            <w:tcW w:type="dxa" w:w="2340"/>
            <w:tcBorders>
              <w:top w:val="single" w:color="666666" w:sz="1"/>
              <w:left w:val="single" w:color="666666" w:sz="1"/>
              <w:bottom w:val="single" w:color="666666" w:sz="1"/>
              <w:right w:val="single" w:color="666666" w:sz="1"/>
            </w:tcBorders>
            <w:shd w:fill="1a3a52" w:val="clear"/>
          </w:tcPr>
          <w:p>
            <w:pPr>
              <w:jc w:val="center"/>
            </w:pPr>
            <w:r>
              <w:rPr>
                <w:b/>
                <w:bCs/>
                <w:color w:val="FFFFFF"/>
              </w:rPr>
              <w:t xml:space="preserve">N.</w:t>
            </w:r>
          </w:p>
        </w:tc>
        <w:tc>
          <w:tcPr>
            <w:tcW w:type="dxa" w:w="3510"/>
            <w:tcBorders>
              <w:top w:val="single" w:color="666666" w:sz="1"/>
              <w:left w:val="single" w:color="666666" w:sz="1"/>
              <w:bottom w:val="single" w:color="666666" w:sz="1"/>
              <w:right w:val="single" w:color="666666" w:sz="1"/>
            </w:tcBorders>
            <w:shd w:fill="1a3a52" w:val="clear"/>
          </w:tcPr>
          <w:p>
            <w:pPr>
              <w:jc w:val="center"/>
            </w:pPr>
            <w:r>
              <w:rPr>
                <w:b/>
                <w:bCs/>
                <w:color w:val="FFFFFF"/>
              </w:rPr>
              <w:t xml:space="preserve">Nome e Cognome</w:t>
            </w:r>
          </w:p>
        </w:tc>
        <w:tc>
          <w:tcPr>
            <w:tcW w:type="dxa" w:w="3510"/>
            <w:tcBorders>
              <w:top w:val="single" w:color="666666" w:sz="1"/>
              <w:left w:val="single" w:color="666666" w:sz="1"/>
              <w:bottom w:val="single" w:color="666666" w:sz="1"/>
              <w:right w:val="single" w:color="666666" w:sz="1"/>
            </w:tcBorders>
            <w:shd w:fill="1a3a52" w:val="clear"/>
          </w:tcPr>
          <w:p>
            <w:pPr>
              <w:jc w:val="center"/>
            </w:pPr>
            <w:r>
              <w:rPr>
                <w:b/>
                <w:bCs/>
                <w:color w:val="FFFFFF"/>
              </w:rPr>
              <w:t xml:space="preserve">Firma</w:t>
            </w:r>
          </w:p>
        </w:tc>
      </w:tr>
      <w:tr>
        <w:tc>
          <w:tcPr>
            <w:tcW w:type="dxa" w:w="2340"/>
            <w:tcBorders>
              <w:top w:val="single" w:color="666666" w:sz="1"/>
              <w:left w:val="single" w:color="666666" w:sz="1"/>
              <w:bottom w:val="single" w:color="666666" w:sz="1"/>
              <w:right w:val="single" w:color="666666" w:sz="1"/>
            </w:tcBorders>
          </w:tcPr>
          <w:p>
            <w:r>
              <w:t xml:space="preserve">1.</w:t>
            </w:r>
          </w:p>
        </w:tc>
        <w:tc>
          <w:tcPr>
            <w:tcW w:type="dxa" w:w="3510"/>
            <w:tcBorders>
              <w:top w:val="single" w:color="666666" w:sz="1"/>
              <w:left w:val="single" w:color="666666" w:sz="1"/>
              <w:bottom w:val="single" w:color="666666" w:sz="1"/>
              <w:right w:val="single" w:color="666666" w:sz="1"/>
            </w:tcBorders>
          </w:tcPr>
          <w:p>
            <w:r>
              <w:t xml:space="preserve">____________________________</w:t>
            </w:r>
          </w:p>
        </w:tc>
        <w:tc>
          <w:tcPr>
            <w:tcW w:type="dxa" w:w="3510"/>
            <w:tcBorders>
              <w:top w:val="single" w:color="666666" w:sz="1"/>
              <w:left w:val="single" w:color="666666" w:sz="1"/>
              <w:bottom w:val="single" w:color="666666" w:sz="1"/>
              <w:right w:val="single" w:color="666666" w:sz="1"/>
            </w:tcBorders>
          </w:tcPr>
          <w:p>
            <w:r>
              <w:t xml:space="preserve">____________________________</w:t>
            </w:r>
          </w:p>
        </w:tc>
      </w:tr>
      <w:tr>
        <w:tc>
          <w:tcPr>
            <w:tcW w:type="dxa" w:w="2340"/>
            <w:tcBorders>
              <w:top w:val="single" w:color="666666" w:sz="1"/>
              <w:left w:val="single" w:color="666666" w:sz="1"/>
              <w:bottom w:val="single" w:color="666666" w:sz="1"/>
              <w:right w:val="single" w:color="666666" w:sz="1"/>
            </w:tcBorders>
          </w:tcPr>
          <w:p>
            <w:r>
              <w:t xml:space="preserve">2.</w:t>
            </w:r>
          </w:p>
        </w:tc>
        <w:tc>
          <w:tcPr>
            <w:tcW w:type="dxa" w:w="3510"/>
            <w:tcBorders>
              <w:top w:val="single" w:color="666666" w:sz="1"/>
              <w:left w:val="single" w:color="666666" w:sz="1"/>
              <w:bottom w:val="single" w:color="666666" w:sz="1"/>
              <w:right w:val="single" w:color="666666" w:sz="1"/>
            </w:tcBorders>
          </w:tcPr>
          <w:p>
            <w:r>
              <w:t xml:space="preserve">____________________________</w:t>
            </w:r>
          </w:p>
        </w:tc>
        <w:tc>
          <w:tcPr>
            <w:tcW w:type="dxa" w:w="3510"/>
            <w:tcBorders>
              <w:top w:val="single" w:color="666666" w:sz="1"/>
              <w:left w:val="single" w:color="666666" w:sz="1"/>
              <w:bottom w:val="single" w:color="666666" w:sz="1"/>
              <w:right w:val="single" w:color="666666" w:sz="1"/>
            </w:tcBorders>
          </w:tcPr>
          <w:p>
            <w:r>
              <w:t xml:space="preserve">____________________________</w:t>
            </w:r>
          </w:p>
        </w:tc>
      </w:tr>
      <w:tr>
        <w:tc>
          <w:tcPr>
            <w:tcW w:type="dxa" w:w="2340"/>
            <w:tcBorders>
              <w:top w:val="single" w:color="666666" w:sz="1"/>
              <w:left w:val="single" w:color="666666" w:sz="1"/>
              <w:bottom w:val="single" w:color="666666" w:sz="1"/>
              <w:right w:val="single" w:color="666666" w:sz="1"/>
            </w:tcBorders>
          </w:tcPr>
          <w:p>
            <w:r>
              <w:t xml:space="preserve">3.</w:t>
            </w:r>
          </w:p>
        </w:tc>
        <w:tc>
          <w:tcPr>
            <w:tcW w:type="dxa" w:w="3510"/>
            <w:tcBorders>
              <w:top w:val="single" w:color="666666" w:sz="1"/>
              <w:left w:val="single" w:color="666666" w:sz="1"/>
              <w:bottom w:val="single" w:color="666666" w:sz="1"/>
              <w:right w:val="single" w:color="666666" w:sz="1"/>
            </w:tcBorders>
          </w:tcPr>
          <w:p>
            <w:r>
              <w:t xml:space="preserve">____________________________</w:t>
            </w:r>
          </w:p>
        </w:tc>
        <w:tc>
          <w:tcPr>
            <w:tcW w:type="dxa" w:w="3510"/>
            <w:tcBorders>
              <w:top w:val="single" w:color="666666" w:sz="1"/>
              <w:left w:val="single" w:color="666666" w:sz="1"/>
              <w:bottom w:val="single" w:color="666666" w:sz="1"/>
              <w:right w:val="single" w:color="666666" w:sz="1"/>
            </w:tcBorders>
          </w:tcPr>
          <w:p>
            <w:r>
              <w:t xml:space="preserve">____________________________</w:t>
            </w:r>
          </w:p>
        </w:tc>
      </w:tr>
    </w:tbl>
    <w:p>
      <w:pPr>
        <w:spacing w:before="480" w:after="240"/>
        <w:jc w:val="center"/>
      </w:pPr>
      <w:r>
        <w:rPr>
          <w:i/>
          <w:iCs/>
        </w:rPr>
        <w:t xml:space="preserve">Data e Luogo</w:t>
      </w:r>
    </w:p>
    <w:p>
      <w:pPr>
        <w:spacing w:after="120"/>
        <w:jc w:val="center"/>
      </w:pPr>
      <w:r>
        <w:t xml:space="preserve">_______________________________</w:t>
      </w:r>
    </w:p>
    <w:p>
      <w:pPr>
        <w:spacing w:after="360"/>
        <w:jc w:val="center"/>
      </w:pPr>
      <w:r>
        <w:t xml:space="preserve">_______________________________</w:t>
      </w:r>
    </w:p>
    <w:p>
      <w:pPr>
        <w:pBdr>
          <w:top w:val="single" w:color="1a3a52" w:sz="12" w:space="1"/>
        </w:pBdr>
        <w:spacing w:before="480" w:after="120"/>
        <w:jc w:val="center"/>
      </w:pPr>
      <w:r>
        <w:rPr>
          <w:i/>
          <w:iCs/>
          <w:color w:val="666666"/>
          <w:sz w:val="20"/>
          <w:szCs w:val="20"/>
        </w:rPr>
        <w:t xml:space="preserve">Documento Ufficiale – Uso Esclusivamente Istituzionale</w:t>
      </w:r>
    </w:p>
    <w:p>
      <w:pPr>
        <w:spacing w:after="240"/>
        <w:jc w:val="center"/>
      </w:pPr>
      <w:r>
        <w:rPr>
          <w:i/>
          <w:iCs/>
          <w:color w:val="666666"/>
          <w:sz w:val="20"/>
          <w:szCs w:val="20"/>
        </w:rPr>
        <w:t xml:space="preserve">© Head Spa Italia® – Tutti i diritti riservati</w:t>
      </w:r>
    </w:p>
    <w:sectPr>
      <w:headerReference w:type="default" r:id="rId6"/>
      <w:footerReference w:type="default" r:id="rId7"/>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t xml:space="preserve">Pagina </w:t>
    </w:r>
    <w:r>
      <w:fldChar w:fldCharType="begin"/>
      <w:instrText xml:space="preserve">PAGE</w:instrText>
      <w:fldChar w:fldCharType="separate"/>
      <w:fldChar w:fldCharType="end"/>
    </w:r>
    <w:r>
      <w:t xml:space="preserve"> di </w:t>
    </w:r>
    <w:r>
      <w:fldChar w:fldCharType="begin"/>
      <w:instrText xml:space="preserve">NUMPAGES</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Bdr>
        <w:bottom w:val="single" w:color="1a3a52" w:sz="12" w:space="1"/>
      </w:pBdr>
      <w:spacing w:after="120"/>
      <w:jc w:val="center"/>
    </w:pPr>
    <w:r>
      <w:rPr>
        <w:b/>
        <w:bCs/>
        <w:color w:val="1a3a52"/>
        <w:sz w:val="20"/>
        <w:szCs w:val="20"/>
      </w:rPr>
      <w:t xml:space="preserve">ASSOCIAZIONE CULTURALE HEAD SPA ITALIA®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abstractNum>
  <w:abstractNum w:abstractNumId="3" w15:restartNumberingAfterBreak="0">
    <w:multiLevelType w:val="hybridMultilevel"/>
    <w:lvl w:ilvl="0" w15:tentative="1">
      <w:start w:val="1"/>
      <w:numFmt w:val="decimal"/>
      <w:lvlText w:val="%1."/>
      <w:lvlJc w:val="left"/>
      <w:pPr>
        <w:ind w:left="720" w:hanging="360"/>
      </w:pPr>
    </w:lvl>
  </w:abstractNum>
  <w:num w:numId="1">
    <w:abstractNumId w:val="1"/>
    <w:lvlOverride w:ilvl="0">
      <w:startOverride w:val="1"/>
    </w:lvlOverride>
  </w:num>
  <w:num w:numId="2">
    <w:abstractNumId w:val="2"/>
    <w:lvlOverride w:ilvl="0">
      <w:startOverride w:val="1"/>
    </w:lvlOverride>
  </w:num>
  <w:num w:numId="3">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sz w:val="22"/>
        <w:szCs w:val="22"/>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pPr>
      <w:spacing w:before="240" w:after="120"/>
      <w:jc w:val="center"/>
    </w:pPr>
    <w:rPr>
      <w:rFonts w:ascii="Arial" w:cs="Arial" w:eastAsia="Arial" w:hAnsi="Arial"/>
      <w:b/>
      <w:bCs/>
      <w:color w:val="1a3a52"/>
      <w:sz w:val="48"/>
      <w:szCs w:val="48"/>
    </w:rPr>
  </w:style>
  <w:style w:type="paragraph" w:styleId="Subtitle">
    <w:name w:val="Subtitle"/>
    <w:basedOn w:val="Normal"/>
    <w:pPr>
      <w:spacing w:before="0" w:after="360"/>
      <w:jc w:val="center"/>
    </w:pPr>
    <w:rPr>
      <w:rFonts w:ascii="Arial" w:cs="Arial" w:eastAsia="Arial" w:hAnsi="Arial"/>
      <w:i/>
      <w:iCs/>
      <w:color w:val="666666"/>
      <w:sz w:val="26"/>
      <w:szCs w:val="26"/>
    </w:rPr>
  </w:style>
  <w:style w:type="paragraph" w:styleId="Heading1">
    <w:name w:val="Heading 1"/>
    <w:basedOn w:val="Normal"/>
    <w:next w:val="Normal"/>
    <w:qFormat/>
    <w:pPr>
      <w:spacing w:before="360" w:after="180"/>
      <w:outlineLvl w:val="0"/>
    </w:pPr>
    <w:rPr>
      <w:rFonts w:ascii="Arial" w:cs="Arial" w:eastAsia="Arial" w:hAnsi="Arial"/>
      <w:b/>
      <w:bCs/>
      <w:color w:val="1a3a52"/>
      <w:sz w:val="32"/>
      <w:szCs w:val="32"/>
    </w:rPr>
  </w:style>
  <w:style w:type="paragraph" w:styleId="Heading2">
    <w:name w:val="Heading 2"/>
    <w:basedOn w:val="Normal"/>
    <w:next w:val="Normal"/>
    <w:qFormat/>
    <w:pPr>
      <w:spacing w:before="240" w:after="120"/>
      <w:outlineLvl w:val="1"/>
    </w:pPr>
    <w:rPr>
      <w:rFonts w:ascii="Arial" w:cs="Arial" w:eastAsia="Arial" w:hAnsi="Arial"/>
      <w:b/>
      <w:bCs/>
      <w:color w:val="2d5a8c"/>
      <w:sz w:val="26"/>
      <w:szCs w:val="26"/>
    </w:rPr>
  </w:style>
  <w:style w:type="paragraph" w:styleId="Emphasis">
    <w:name w:val="Emphasis"/>
    <w:rPr>
      <w:i/>
      <w:iCs/>
      <w:color w:val="1a3a52"/>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2025-10-24T17:00:34.122Z</dcterms:created>
  <dcterms:modified xsi:type="dcterms:W3CDTF">2025-10-24T17:00:34.123Z</dcterms:modified>
</cp:coreProperties>
</file>

<file path=docProps/custom.xml><?xml version="1.0" encoding="utf-8"?>
<Properties xmlns="http://schemas.openxmlformats.org/officeDocument/2006/custom-properties" xmlns:vt="http://schemas.openxmlformats.org/officeDocument/2006/docPropsVTypes"/>
</file>