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sz w:val="30"/>
          <w:szCs w:val="30"/>
        </w:rPr>
        <w:id w:val="147482452"/>
        <w15:color w:val="DBDBDB"/>
        <w:docPartObj>
          <w:docPartGallery w:val="Table of Contents"/>
          <w:docPartUnique/>
        </w:docPartObj>
      </w:sdtPr>
      <w:sdtEndPr>
        <w:rPr>
          <w:rFonts w:hint="eastAsia" w:ascii="黑体" w:hAnsi="黑体" w:eastAsia="黑体" w:cs="黑体"/>
          <w:b/>
          <w:sz w:val="21"/>
          <w:szCs w:val="30"/>
        </w:rPr>
      </w:sdtEndPr>
      <w:sdtContent>
        <w:p>
          <w:pPr>
            <w:spacing w:before="312" w:beforeLines="100" w:after="312" w:afterLines="100" w:line="360" w:lineRule="auto"/>
            <w:jc w:val="center"/>
            <w:outlineLvl w:val="0"/>
            <w:rPr>
              <w:rFonts w:ascii="黑体" w:hAnsi="黑体" w:eastAsia="黑体" w:cs="黑体"/>
              <w:sz w:val="72"/>
              <w:szCs w:val="72"/>
            </w:rPr>
          </w:pPr>
          <w:r>
            <w:rPr>
              <w:rFonts w:hint="eastAsia" w:ascii="黑体" w:hAnsi="黑体" w:eastAsia="黑体" w:cs="黑体"/>
              <w:sz w:val="72"/>
              <w:szCs w:val="72"/>
            </w:rPr>
            <w:t>本科生毕业论文</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8458" w:type="dxa"/>
                <w:tcBorders>
                  <w:top w:val="nil"/>
                  <w:left w:val="nil"/>
                  <w:bottom w:val="nil"/>
                  <w:right w:val="nil"/>
                </w:tcBorders>
                <w:vAlign w:val="center"/>
              </w:tcPr>
              <w:p>
                <w:pPr>
                  <w:spacing w:line="360" w:lineRule="auto"/>
                  <w:jc w:val="center"/>
                  <w:rPr>
                    <w:rFonts w:ascii="楷体" w:hAnsi="楷体" w:eastAsia="楷体" w:cs="楷体"/>
                    <w:sz w:val="44"/>
                    <w:szCs w:val="44"/>
                    <w:shd w:val="clear" w:color="FFFFFF" w:fill="D9D9D9"/>
                  </w:rPr>
                </w:pPr>
                <w:r>
                  <w:rPr>
                    <w:rFonts w:hint="eastAsia" w:ascii="楷体" w:hAnsi="楷体" w:eastAsia="楷体" w:cs="楷体"/>
                    <w:b/>
                    <w:bCs/>
                    <w:sz w:val="44"/>
                    <w:szCs w:val="44"/>
                  </w:rPr>
                  <w:t>浅析应收账款管理以上海政飞公司为例</w:t>
                </w:r>
              </w:p>
            </w:tc>
          </w:tr>
        </w:tbl>
        <w:p>
          <w:pPr>
            <w:jc w:val="center"/>
            <w:rPr>
              <w:rFonts w:eastAsia="隶书"/>
              <w:sz w:val="72"/>
              <w:szCs w:val="72"/>
            </w:rPr>
          </w:pPr>
        </w:p>
        <w:tbl>
          <w:tblPr>
            <w:tblStyle w:val="8"/>
            <w:tblW w:w="0" w:type="auto"/>
            <w:tblInd w:w="12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5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921"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学    号：</w:t>
                </w:r>
              </w:p>
            </w:tc>
            <w:tc>
              <w:tcPr>
                <w:tcW w:w="5583" w:type="dxa"/>
                <w:tcBorders>
                  <w:top w:val="nil"/>
                  <w:left w:val="nil"/>
                  <w:right w:val="nil"/>
                </w:tcBorders>
                <w:vAlign w:val="center"/>
              </w:tcPr>
              <w:p>
                <w:pPr>
                  <w:snapToGrid w:val="0"/>
                  <w:jc w:val="center"/>
                  <w:rPr>
                    <w:b/>
                    <w:bCs/>
                    <w:sz w:val="30"/>
                    <w:szCs w:val="30"/>
                  </w:rPr>
                </w:pPr>
                <w:r>
                  <w:rPr>
                    <w:rFonts w:ascii="Times New Roman" w:hAnsi="Times New Roman" w:cs="Times New Roman"/>
                    <w:b/>
                    <w:bCs/>
                    <w:sz w:val="32"/>
                    <w:szCs w:val="32"/>
                  </w:rPr>
                  <w:t>8015101082105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921"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学生姓名：</w:t>
                </w:r>
              </w:p>
            </w:tc>
            <w:tc>
              <w:tcPr>
                <w:tcW w:w="5583" w:type="dxa"/>
                <w:tcBorders>
                  <w:top w:val="nil"/>
                  <w:left w:val="nil"/>
                  <w:right w:val="nil"/>
                </w:tcBorders>
                <w:vAlign w:val="center"/>
              </w:tcPr>
              <w:p>
                <w:pPr>
                  <w:snapToGrid w:val="0"/>
                  <w:jc w:val="center"/>
                  <w:rPr>
                    <w:rFonts w:ascii="宋体" w:hAnsi="宋体" w:cs="宋体"/>
                    <w:b/>
                    <w:bCs/>
                    <w:sz w:val="30"/>
                    <w:szCs w:val="30"/>
                  </w:rPr>
                </w:pPr>
                <w:r>
                  <w:rPr>
                    <w:rFonts w:hint="eastAsia" w:ascii="宋体" w:hAnsi="宋体" w:eastAsia="宋体" w:cs="宋体"/>
                    <w:b/>
                    <w:bCs/>
                    <w:sz w:val="32"/>
                    <w:szCs w:val="32"/>
                  </w:rPr>
                  <w:t>朱琳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921"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所在学院：</w:t>
                </w:r>
              </w:p>
            </w:tc>
            <w:tc>
              <w:tcPr>
                <w:tcW w:w="5583" w:type="dxa"/>
                <w:tcBorders>
                  <w:left w:val="nil"/>
                  <w:right w:val="nil"/>
                </w:tcBorders>
                <w:vAlign w:val="center"/>
              </w:tcPr>
              <w:p>
                <w:pPr>
                  <w:jc w:val="center"/>
                </w:pPr>
                <w:r>
                  <w:rPr>
                    <w:rFonts w:hint="eastAsia" w:ascii="宋体" w:hAnsi="宋体" w:eastAsia="宋体" w:cs="宋体"/>
                    <w:b/>
                    <w:bCs/>
                    <w:sz w:val="32"/>
                    <w:szCs w:val="32"/>
                  </w:rPr>
                  <w:t>上海立信会计金融学院继续教育学院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921"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专    业：</w:t>
                </w:r>
              </w:p>
            </w:tc>
            <w:tc>
              <w:tcPr>
                <w:tcW w:w="5583" w:type="dxa"/>
                <w:tcBorders>
                  <w:left w:val="nil"/>
                  <w:right w:val="nil"/>
                </w:tcBorders>
                <w:vAlign w:val="center"/>
              </w:tcPr>
              <w:p>
                <w:pPr>
                  <w:jc w:val="center"/>
                </w:pPr>
                <w:r>
                  <w:rPr>
                    <w:rFonts w:hint="eastAsia" w:ascii="宋体" w:hAnsi="宋体" w:eastAsia="宋体" w:cs="宋体"/>
                    <w:b/>
                    <w:bCs/>
                    <w:sz w:val="32"/>
                    <w:szCs w:val="32"/>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921"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班    级：</w:t>
                </w:r>
              </w:p>
            </w:tc>
            <w:tc>
              <w:tcPr>
                <w:tcW w:w="5583" w:type="dxa"/>
                <w:tcBorders>
                  <w:left w:val="nil"/>
                  <w:right w:val="nil"/>
                </w:tcBorders>
                <w:vAlign w:val="center"/>
              </w:tcPr>
              <w:p>
                <w:pPr>
                  <w:snapToGrid w:val="0"/>
                  <w:jc w:val="center"/>
                  <w:rPr>
                    <w:rFonts w:ascii="宋体" w:hAnsi="宋体" w:cs="宋体"/>
                    <w:b/>
                    <w:bCs/>
                    <w:sz w:val="30"/>
                    <w:szCs w:val="30"/>
                  </w:rPr>
                </w:pPr>
                <w:r>
                  <w:rPr>
                    <w:rFonts w:ascii="Times New Roman" w:hAnsi="Times New Roman" w:cs="Times New Roman"/>
                    <w:b/>
                    <w:bCs/>
                    <w:sz w:val="32"/>
                    <w:szCs w:val="32"/>
                  </w:rPr>
                  <w:t>80151010821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921" w:type="dxa"/>
                <w:tcBorders>
                  <w:top w:val="nil"/>
                  <w:left w:val="nil"/>
                  <w:bottom w:val="nil"/>
                  <w:right w:val="nil"/>
                </w:tcBorders>
                <w:vAlign w:val="center"/>
              </w:tcPr>
              <w:p>
                <w:pPr>
                  <w:jc w:val="center"/>
                  <w:rPr>
                    <w:rFonts w:ascii="楷体" w:hAnsi="楷体" w:eastAsia="楷体" w:cs="楷体"/>
                    <w:b/>
                    <w:bCs/>
                    <w:sz w:val="32"/>
                    <w:szCs w:val="32"/>
                  </w:rPr>
                </w:pPr>
                <w:r>
                  <w:rPr>
                    <w:rFonts w:hint="eastAsia" w:ascii="楷体" w:hAnsi="楷体" w:eastAsia="楷体" w:cs="楷体"/>
                    <w:b/>
                    <w:bCs/>
                    <w:sz w:val="32"/>
                    <w:szCs w:val="32"/>
                  </w:rPr>
                  <w:t>指导老师：</w:t>
                </w:r>
              </w:p>
            </w:tc>
            <w:tc>
              <w:tcPr>
                <w:tcW w:w="5583" w:type="dxa"/>
                <w:tcBorders>
                  <w:left w:val="nil"/>
                  <w:right w:val="nil"/>
                </w:tcBorders>
                <w:vAlign w:val="center"/>
              </w:tcPr>
              <w:p>
                <w:pPr>
                  <w:jc w:val="center"/>
                </w:pPr>
                <w:r>
                  <w:rPr>
                    <w:rFonts w:hint="eastAsia" w:ascii="宋体" w:hAnsi="宋体" w:eastAsia="宋体" w:cs="宋体"/>
                    <w:b/>
                    <w:bCs/>
                    <w:sz w:val="32"/>
                    <w:szCs w:val="32"/>
                  </w:rPr>
                  <w:t>王逸宁</w:t>
                </w:r>
              </w:p>
            </w:tc>
          </w:tr>
        </w:tbl>
        <w:p>
          <w:pPr>
            <w:jc w:val="center"/>
            <w:rPr>
              <w:rFonts w:ascii="仿宋" w:hAnsi="仿宋" w:eastAsia="仿宋" w:cs="仿宋"/>
              <w:sz w:val="30"/>
              <w:szCs w:val="30"/>
            </w:rPr>
          </w:pPr>
        </w:p>
        <w:p>
          <w:pPr>
            <w:jc w:val="center"/>
            <w:rPr>
              <w:rFonts w:ascii="仿宋" w:hAnsi="仿宋" w:eastAsia="仿宋" w:cs="仿宋"/>
              <w:sz w:val="30"/>
              <w:szCs w:val="30"/>
            </w:rPr>
          </w:pPr>
        </w:p>
        <w:p>
          <w:pPr>
            <w:jc w:val="center"/>
            <w:rPr>
              <w:rFonts w:hint="default" w:ascii="宋体" w:hAnsi="宋体" w:cs="宋体" w:eastAsiaTheme="minorEastAsia"/>
              <w:b/>
              <w:bCs/>
              <w:sz w:val="36"/>
              <w:szCs w:val="36"/>
              <w:lang w:val="en-US" w:eastAsia="zh-CN"/>
            </w:rPr>
          </w:pPr>
          <w:r>
            <w:rPr>
              <w:rFonts w:hint="eastAsia" w:ascii="宋体" w:hAnsi="宋体" w:cs="宋体"/>
              <w:b/>
              <w:bCs/>
              <w:sz w:val="36"/>
              <w:szCs w:val="36"/>
              <w:lang w:val="en-US" w:eastAsia="zh-CN"/>
            </w:rPr>
            <w:t>2020</w:t>
          </w:r>
          <w:r>
            <w:rPr>
              <w:rFonts w:hint="eastAsia" w:ascii="宋体" w:hAnsi="宋体" w:cs="宋体"/>
              <w:b/>
              <w:bCs/>
              <w:sz w:val="36"/>
              <w:szCs w:val="36"/>
            </w:rPr>
            <w:t xml:space="preserve">年 </w:t>
          </w:r>
          <w:r>
            <w:rPr>
              <w:rFonts w:hint="eastAsia" w:ascii="宋体" w:hAnsi="宋体" w:cs="宋体"/>
              <w:b/>
              <w:bCs/>
              <w:sz w:val="36"/>
              <w:szCs w:val="36"/>
              <w:lang w:val="en-US" w:eastAsia="zh-CN"/>
            </w:rPr>
            <w:t>10</w:t>
          </w:r>
          <w:r>
            <w:rPr>
              <w:rFonts w:hint="eastAsia" w:ascii="宋体" w:hAnsi="宋体" w:cs="宋体"/>
              <w:b/>
              <w:bCs/>
              <w:sz w:val="36"/>
              <w:szCs w:val="36"/>
            </w:rPr>
            <w:t xml:space="preserve"> 月</w:t>
          </w:r>
          <w:r>
            <w:rPr>
              <w:rFonts w:hint="eastAsia" w:ascii="宋体" w:hAnsi="宋体" w:cs="宋体"/>
              <w:b/>
              <w:bCs/>
              <w:sz w:val="36"/>
              <w:szCs w:val="36"/>
              <w:lang w:val="en-US" w:eastAsia="zh-CN"/>
            </w:rPr>
            <w:t xml:space="preserve"> 21日</w:t>
          </w:r>
        </w:p>
        <w:p>
          <w:pPr>
            <w:rPr>
              <w:rFonts w:ascii="宋体" w:hAnsi="宋体" w:cs="宋体"/>
              <w:sz w:val="36"/>
              <w:szCs w:val="36"/>
            </w:rPr>
          </w:pPr>
        </w:p>
        <w:p>
          <w:pPr>
            <w:rPr>
              <w:rFonts w:ascii="宋体" w:hAnsi="宋体" w:cs="宋体"/>
              <w:sz w:val="36"/>
              <w:szCs w:val="36"/>
            </w:rPr>
          </w:pPr>
        </w:p>
        <w:p>
          <w:pPr>
            <w:rPr>
              <w:rFonts w:ascii="宋体" w:hAnsi="宋体" w:cs="宋体"/>
              <w:sz w:val="36"/>
              <w:szCs w:val="36"/>
            </w:rPr>
          </w:pPr>
        </w:p>
        <w:p>
          <w:pPr>
            <w:rPr>
              <w:rFonts w:ascii="宋体" w:hAnsi="宋体" w:cs="宋体"/>
              <w:sz w:val="36"/>
              <w:szCs w:val="36"/>
            </w:rPr>
            <w:sectPr>
              <w:headerReference r:id="rId3" w:type="default"/>
              <w:footerReference r:id="rId4" w:type="default"/>
              <w:pgSz w:w="11906" w:h="16838"/>
              <w:pgMar w:top="1417" w:right="1417" w:bottom="1417" w:left="1417" w:header="851" w:footer="992" w:gutter="0"/>
              <w:cols w:space="720" w:num="1"/>
              <w:docGrid w:type="lines" w:linePitch="312" w:charSpace="0"/>
            </w:sectPr>
          </w:pPr>
        </w:p>
        <w:p>
          <w:pPr>
            <w:spacing w:before="249" w:beforeLines="80" w:after="156" w:afterLines="50"/>
            <w:jc w:val="center"/>
            <w:rPr>
              <w:rFonts w:eastAsia="黑体"/>
              <w:sz w:val="32"/>
            </w:rPr>
          </w:pPr>
          <w:r>
            <w:rPr>
              <w:rFonts w:hint="eastAsia" w:eastAsia="黑体"/>
              <w:sz w:val="32"/>
            </w:rPr>
            <w:t>声明及论文使用的授权</w:t>
          </w:r>
        </w:p>
        <w:p/>
        <w:p/>
        <w:p>
          <w:pPr>
            <w:spacing w:line="360" w:lineRule="auto"/>
            <w:ind w:firstLine="480" w:firstLineChars="20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pPr>
            <w:spacing w:line="360" w:lineRule="auto"/>
            <w:ind w:firstLine="480" w:firstLineChars="200"/>
            <w:rPr>
              <w:sz w:val="24"/>
            </w:rPr>
          </w:pPr>
        </w:p>
        <w:p>
          <w:pPr>
            <w:spacing w:line="360" w:lineRule="auto"/>
            <w:ind w:firstLine="480" w:firstLineChars="200"/>
            <w:rPr>
              <w:sz w:val="24"/>
            </w:rPr>
          </w:pPr>
        </w:p>
        <w:p>
          <w:pPr>
            <w:tabs>
              <w:tab w:val="left" w:pos="5250"/>
            </w:tabs>
            <w:spacing w:line="360" w:lineRule="auto"/>
            <w:ind w:firstLine="480" w:firstLineChars="200"/>
            <w:rPr>
              <w:sz w:val="24"/>
            </w:rPr>
          </w:pPr>
          <w:r>
            <w:rPr>
              <w:rFonts w:hint="eastAsia"/>
              <w:sz w:val="24"/>
            </w:rPr>
            <w:t xml:space="preserve">论文作者签名                              </w:t>
          </w:r>
          <w:r>
            <w:rPr>
              <w:rFonts w:hint="eastAsia"/>
              <w:sz w:val="24"/>
              <w:lang w:val="en-US" w:eastAsia="zh-CN"/>
            </w:rPr>
            <w:t>2020</w:t>
          </w:r>
          <w:r>
            <w:rPr>
              <w:rFonts w:hint="eastAsia"/>
              <w:sz w:val="24"/>
            </w:rPr>
            <w:t xml:space="preserve"> 年 </w:t>
          </w:r>
          <w:r>
            <w:rPr>
              <w:rFonts w:hint="eastAsia"/>
              <w:sz w:val="24"/>
              <w:lang w:val="en-US" w:eastAsia="zh-CN"/>
            </w:rPr>
            <w:t>10</w:t>
          </w:r>
          <w:r>
            <w:rPr>
              <w:rFonts w:hint="eastAsia"/>
              <w:sz w:val="24"/>
            </w:rPr>
            <w:t xml:space="preserve"> 月 </w:t>
          </w:r>
          <w:r>
            <w:rPr>
              <w:rFonts w:hint="eastAsia"/>
              <w:sz w:val="24"/>
              <w:lang w:val="en-US" w:eastAsia="zh-CN"/>
            </w:rPr>
            <w:t>21</w:t>
          </w:r>
          <w:r>
            <w:rPr>
              <w:rFonts w:hint="eastAsia"/>
              <w:sz w:val="24"/>
            </w:rPr>
            <w:t xml:space="preserve"> 日</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pPr>
            <w:spacing w:line="360" w:lineRule="auto"/>
            <w:ind w:firstLine="480" w:firstLineChars="200"/>
            <w:rPr>
              <w:sz w:val="24"/>
            </w:rPr>
          </w:pPr>
        </w:p>
        <w:p>
          <w:pPr>
            <w:spacing w:line="360" w:lineRule="auto"/>
            <w:ind w:firstLine="480" w:firstLineChars="200"/>
            <w:rPr>
              <w:sz w:val="24"/>
            </w:rPr>
          </w:pPr>
        </w:p>
        <w:p>
          <w:pPr>
            <w:tabs>
              <w:tab w:val="left" w:pos="5250"/>
            </w:tabs>
            <w:spacing w:line="360" w:lineRule="auto"/>
            <w:ind w:firstLine="480" w:firstLineChars="200"/>
            <w:rPr>
              <w:rFonts w:ascii="黑体" w:hAnsi="黑体" w:eastAsia="黑体" w:cs="黑体"/>
              <w:sz w:val="30"/>
              <w:szCs w:val="30"/>
            </w:rPr>
          </w:pPr>
          <w:r>
            <w:rPr>
              <w:rFonts w:hint="eastAsia"/>
              <w:sz w:val="24"/>
            </w:rPr>
            <w:t xml:space="preserve">论文作者签名                               </w:t>
          </w:r>
          <w:r>
            <w:rPr>
              <w:rFonts w:hint="eastAsia"/>
              <w:sz w:val="24"/>
              <w:lang w:val="en-US" w:eastAsia="zh-CN"/>
            </w:rPr>
            <w:t>2020</w:t>
          </w:r>
          <w:r>
            <w:rPr>
              <w:rFonts w:hint="eastAsia"/>
              <w:sz w:val="24"/>
            </w:rPr>
            <w:t xml:space="preserve"> 年 </w:t>
          </w:r>
          <w:r>
            <w:rPr>
              <w:rFonts w:hint="eastAsia"/>
              <w:sz w:val="24"/>
              <w:lang w:val="en-US" w:eastAsia="zh-CN"/>
            </w:rPr>
            <w:t>10</w:t>
          </w:r>
          <w:r>
            <w:rPr>
              <w:rFonts w:hint="eastAsia"/>
              <w:sz w:val="24"/>
            </w:rPr>
            <w:t xml:space="preserve"> 月 </w:t>
          </w:r>
          <w:r>
            <w:rPr>
              <w:rFonts w:hint="eastAsia"/>
              <w:sz w:val="24"/>
              <w:lang w:val="en-US" w:eastAsia="zh-CN"/>
            </w:rPr>
            <w:t>21</w:t>
          </w:r>
          <w:r>
            <w:rPr>
              <w:rFonts w:hint="eastAsia"/>
              <w:sz w:val="24"/>
            </w:rPr>
            <w:t xml:space="preserve"> 日</w:t>
          </w:r>
        </w:p>
        <w:p>
          <w:pPr>
            <w:spacing w:before="312" w:beforeLines="100" w:after="312" w:afterLines="100" w:line="360" w:lineRule="auto"/>
            <w:jc w:val="center"/>
            <w:outlineLvl w:val="0"/>
            <w:rPr>
              <w:rFonts w:ascii="黑体" w:hAnsi="黑体" w:eastAsia="黑体" w:cs="黑体"/>
              <w:sz w:val="30"/>
              <w:szCs w:val="30"/>
            </w:rPr>
            <w:sectPr>
              <w:pgSz w:w="11906" w:h="16838"/>
              <w:pgMar w:top="1417" w:right="1134" w:bottom="1417" w:left="1701" w:header="851" w:footer="992" w:gutter="0"/>
              <w:cols w:space="0" w:num="1"/>
              <w:docGrid w:type="lines" w:linePitch="312" w:charSpace="0"/>
            </w:sectPr>
          </w:pPr>
        </w:p>
        <w:p>
          <w:pPr>
            <w:spacing w:before="312" w:beforeLines="100" w:after="312" w:afterLines="100" w:line="360" w:lineRule="auto"/>
            <w:jc w:val="center"/>
            <w:outlineLvl w:val="0"/>
            <w:rPr>
              <w:rFonts w:ascii="黑体" w:hAnsi="黑体" w:eastAsia="黑体" w:cs="黑体"/>
              <w:sz w:val="30"/>
              <w:szCs w:val="30"/>
            </w:rPr>
          </w:pPr>
          <w:bookmarkStart w:id="0" w:name="_Toc28457"/>
          <w:r>
            <w:rPr>
              <w:rFonts w:hint="eastAsia" w:ascii="黑体" w:hAnsi="黑体" w:eastAsia="黑体" w:cs="黑体"/>
              <w:sz w:val="30"/>
              <w:szCs w:val="30"/>
            </w:rPr>
            <w:t>目  录</w:t>
          </w:r>
          <w:bookmarkEnd w:id="0"/>
        </w:p>
        <w:p>
          <w:pPr>
            <w:pStyle w:val="6"/>
            <w:tabs>
              <w:tab w:val="right" w:leader="dot" w:pos="9071"/>
            </w:tabs>
            <w:spacing w:line="360" w:lineRule="auto"/>
            <w:rPr>
              <w:rFonts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fldChar w:fldCharType="begin"/>
          </w:r>
          <w:r>
            <w:instrText xml:space="preserve"> HYPERLINK \l "_Toc9194" </w:instrText>
          </w:r>
          <w:r>
            <w:fldChar w:fldCharType="separate"/>
          </w:r>
          <w:r>
            <w:rPr>
              <w:rFonts w:hint="eastAsia" w:ascii="宋体" w:hAnsi="宋体" w:eastAsia="宋体" w:cs="宋体"/>
              <w:sz w:val="24"/>
              <w:szCs w:val="24"/>
            </w:rPr>
            <w:t>摘  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_Toc9194 </w:instrText>
          </w:r>
          <w:r>
            <w:rPr>
              <w:rFonts w:hint="eastAsia" w:ascii="宋体" w:hAnsi="宋体" w:eastAsia="宋体" w:cs="宋体"/>
              <w:sz w:val="24"/>
              <w:szCs w:val="24"/>
            </w:rPr>
            <w:fldChar w:fldCharType="separate"/>
          </w:r>
          <w:r>
            <w:rPr>
              <w:rFonts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"_Toc25678" </w:instrText>
          </w:r>
          <w:r>
            <w:fldChar w:fldCharType="separate"/>
          </w:r>
          <w:r>
            <w:rPr>
              <w:rFonts w:hint="eastAsia" w:ascii="宋体" w:hAnsi="宋体" w:eastAsia="宋体" w:cs="宋体"/>
              <w:sz w:val="24"/>
              <w:szCs w:val="24"/>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_Toc25678 </w:instrText>
          </w:r>
          <w:r>
            <w:rPr>
              <w:rFonts w:hint="eastAsia" w:ascii="宋体" w:hAnsi="宋体" w:eastAsia="宋体" w:cs="宋体"/>
              <w:sz w:val="24"/>
              <w:szCs w:val="24"/>
            </w:rPr>
            <w:fldChar w:fldCharType="separate"/>
          </w:r>
          <w:r>
            <w:rPr>
              <w:rFonts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"_Toc7326" </w:instrText>
          </w:r>
          <w:r>
            <w:fldChar w:fldCharType="separate"/>
          </w:r>
          <w:r>
            <w:rPr>
              <w:rFonts w:hint="eastAsia" w:ascii="宋体" w:hAnsi="宋体" w:eastAsia="宋体" w:cs="宋体"/>
              <w:bCs/>
              <w:sz w:val="24"/>
              <w:szCs w:val="24"/>
            </w:rPr>
            <w:t>一、应收账款管理的必要性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_Toc7326 </w:instrText>
          </w:r>
          <w:r>
            <w:rPr>
              <w:rFonts w:hint="eastAsia" w:ascii="宋体" w:hAnsi="宋体" w:eastAsia="宋体" w:cs="宋体"/>
              <w:sz w:val="24"/>
              <w:szCs w:val="24"/>
            </w:rPr>
            <w:fldChar w:fldCharType="separate"/>
          </w:r>
          <w:r>
            <w:rPr>
              <w:rFonts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"_Toc1769" </w:instrText>
          </w:r>
          <w:r>
            <w:fldChar w:fldCharType="separate"/>
          </w:r>
          <w:r>
            <w:rPr>
              <w:rFonts w:hint="eastAsia" w:ascii="宋体" w:hAnsi="宋体" w:eastAsia="宋体" w:cs="宋体"/>
              <w:bCs/>
              <w:sz w:val="24"/>
              <w:szCs w:val="24"/>
            </w:rPr>
            <w:t>二、</w:t>
          </w:r>
          <w:r>
            <w:rPr>
              <w:rFonts w:hint="eastAsia" w:ascii="宋体" w:hAnsi="宋体" w:eastAsia="宋体" w:cs="宋体"/>
              <w:bCs/>
              <w:sz w:val="24"/>
              <w:szCs w:val="24"/>
              <w:lang w:eastAsia="zh-CN"/>
            </w:rPr>
            <w:t>政飞</w:t>
          </w:r>
          <w:r>
            <w:rPr>
              <w:rFonts w:hint="eastAsia" w:ascii="宋体" w:hAnsi="宋体" w:eastAsia="宋体" w:cs="宋体"/>
              <w:bCs/>
              <w:sz w:val="24"/>
              <w:szCs w:val="24"/>
            </w:rPr>
            <w:t>公司应收账款产生的背景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_Toc1769 </w:instrText>
          </w:r>
          <w:r>
            <w:rPr>
              <w:rFonts w:hint="eastAsia" w:ascii="宋体" w:hAnsi="宋体" w:eastAsia="宋体" w:cs="宋体"/>
              <w:sz w:val="24"/>
              <w:szCs w:val="24"/>
            </w:rPr>
            <w:fldChar w:fldCharType="separate"/>
          </w:r>
          <w:r>
            <w:rPr>
              <w:rFonts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"_Toc20294" </w:instrText>
          </w:r>
          <w:r>
            <w:fldChar w:fldCharType="separate"/>
          </w:r>
          <w:r>
            <w:rPr>
              <w:rFonts w:hint="eastAsia" w:ascii="宋体" w:hAnsi="宋体" w:eastAsia="宋体" w:cs="宋体"/>
              <w:bCs/>
              <w:kern w:val="44"/>
              <w:sz w:val="24"/>
              <w:szCs w:val="24"/>
            </w:rPr>
            <w:t>三、应收账款操作中存在的风险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_Toc20294 </w:instrText>
          </w:r>
          <w:r>
            <w:rPr>
              <w:rFonts w:hint="eastAsia" w:ascii="宋体" w:hAnsi="宋体" w:eastAsia="宋体" w:cs="宋体"/>
              <w:sz w:val="24"/>
              <w:szCs w:val="24"/>
            </w:rPr>
            <w:fldChar w:fldCharType="separate"/>
          </w:r>
          <w:r>
            <w:rPr>
              <w:rFonts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"_Toc23973" </w:instrText>
          </w:r>
          <w:r>
            <w:fldChar w:fldCharType="separate"/>
          </w:r>
          <w:r>
            <w:rPr>
              <w:rFonts w:hint="eastAsia" w:ascii="宋体" w:hAnsi="宋体" w:eastAsia="宋体" w:cs="宋体"/>
              <w:sz w:val="24"/>
              <w:szCs w:val="24"/>
            </w:rPr>
            <w:t>（一）、造成企业经营困难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_Toc23973 </w:instrText>
          </w:r>
          <w:r>
            <w:rPr>
              <w:rFonts w:hint="eastAsia" w:ascii="宋体" w:hAnsi="宋体" w:eastAsia="宋体" w:cs="宋体"/>
              <w:sz w:val="24"/>
              <w:szCs w:val="24"/>
            </w:rPr>
            <w:fldChar w:fldCharType="separate"/>
          </w:r>
          <w:r>
            <w:rPr>
              <w:rFonts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"_Toc17553" </w:instrText>
          </w:r>
          <w:r>
            <w:fldChar w:fldCharType="separate"/>
          </w:r>
          <w:r>
            <w:rPr>
              <w:rFonts w:hint="eastAsia" w:ascii="宋体" w:hAnsi="宋体" w:eastAsia="宋体" w:cs="宋体"/>
              <w:sz w:val="24"/>
              <w:szCs w:val="24"/>
            </w:rPr>
            <w:t>（二）、造成一定的回收成本</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_Toc17553 </w:instrText>
          </w:r>
          <w:r>
            <w:rPr>
              <w:rFonts w:hint="eastAsia" w:ascii="宋体" w:hAnsi="宋体" w:eastAsia="宋体" w:cs="宋体"/>
              <w:sz w:val="24"/>
              <w:szCs w:val="24"/>
            </w:rPr>
            <w:fldChar w:fldCharType="separate"/>
          </w:r>
          <w:r>
            <w:rPr>
              <w:rFonts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"_Toc16479" </w:instrText>
          </w:r>
          <w:r>
            <w:fldChar w:fldCharType="separate"/>
          </w:r>
          <w:r>
            <w:rPr>
              <w:rFonts w:hint="eastAsia" w:ascii="宋体" w:hAnsi="宋体" w:eastAsia="宋体" w:cs="宋体"/>
              <w:bCs/>
              <w:kern w:val="44"/>
              <w:sz w:val="24"/>
              <w:szCs w:val="24"/>
            </w:rPr>
            <w:t>四、ZF公司的应收账款分析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_Toc16479 </w:instrText>
          </w:r>
          <w:r>
            <w:rPr>
              <w:rFonts w:hint="eastAsia" w:ascii="宋体" w:hAnsi="宋体" w:eastAsia="宋体" w:cs="宋体"/>
              <w:sz w:val="24"/>
              <w:szCs w:val="24"/>
            </w:rPr>
            <w:fldChar w:fldCharType="separate"/>
          </w:r>
          <w:r>
            <w:rPr>
              <w:rFonts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"_Toc18223" </w:instrText>
          </w:r>
          <w:r>
            <w:fldChar w:fldCharType="separate"/>
          </w:r>
          <w:r>
            <w:rPr>
              <w:rFonts w:hint="eastAsia" w:ascii="宋体" w:hAnsi="宋体" w:eastAsia="宋体" w:cs="宋体"/>
              <w:bCs/>
              <w:kern w:val="44"/>
              <w:sz w:val="24"/>
              <w:szCs w:val="24"/>
            </w:rPr>
            <w:t>五、ZF公司应收账款产生的问题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_Toc18223 </w:instrText>
          </w:r>
          <w:r>
            <w:rPr>
              <w:rFonts w:hint="eastAsia" w:ascii="宋体" w:hAnsi="宋体" w:eastAsia="宋体" w:cs="宋体"/>
              <w:sz w:val="24"/>
              <w:szCs w:val="24"/>
            </w:rPr>
            <w:fldChar w:fldCharType="separate"/>
          </w:r>
          <w:r>
            <w:rPr>
              <w:rFonts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"_Toc24643" </w:instrText>
          </w:r>
          <w:r>
            <w:fldChar w:fldCharType="separate"/>
          </w:r>
          <w:r>
            <w:rPr>
              <w:rFonts w:hint="eastAsia" w:ascii="宋体" w:hAnsi="宋体" w:eastAsia="宋体" w:cs="宋体"/>
              <w:sz w:val="24"/>
              <w:szCs w:val="24"/>
            </w:rPr>
            <w:t>（一）、合同审核不严谨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_Toc24643 </w:instrText>
          </w:r>
          <w:r>
            <w:rPr>
              <w:rFonts w:hint="eastAsia" w:ascii="宋体" w:hAnsi="宋体" w:eastAsia="宋体" w:cs="宋体"/>
              <w:sz w:val="24"/>
              <w:szCs w:val="24"/>
            </w:rPr>
            <w:fldChar w:fldCharType="separate"/>
          </w:r>
          <w:r>
            <w:rPr>
              <w:rFonts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"_Toc30699" </w:instrText>
          </w:r>
          <w:r>
            <w:fldChar w:fldCharType="separate"/>
          </w:r>
          <w:r>
            <w:rPr>
              <w:rFonts w:hint="eastAsia" w:ascii="宋体" w:hAnsi="宋体" w:eastAsia="宋体" w:cs="宋体"/>
              <w:sz w:val="24"/>
              <w:szCs w:val="24"/>
            </w:rPr>
            <w:t>（二）、经营管理重视程度不够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_Toc30699 </w:instrText>
          </w:r>
          <w:r>
            <w:rPr>
              <w:rFonts w:hint="eastAsia" w:ascii="宋体" w:hAnsi="宋体" w:eastAsia="宋体" w:cs="宋体"/>
              <w:sz w:val="24"/>
              <w:szCs w:val="24"/>
            </w:rPr>
            <w:fldChar w:fldCharType="separate"/>
          </w:r>
          <w:r>
            <w:rPr>
              <w:rFonts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"_Toc1530" </w:instrText>
          </w:r>
          <w:r>
            <w:fldChar w:fldCharType="separate"/>
          </w:r>
          <w:r>
            <w:rPr>
              <w:rFonts w:hint="eastAsia" w:ascii="宋体" w:hAnsi="宋体" w:eastAsia="宋体" w:cs="宋体"/>
              <w:sz w:val="24"/>
              <w:szCs w:val="24"/>
            </w:rPr>
            <w:t>（三）、大量库存堆积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_Toc1530 </w:instrText>
          </w:r>
          <w:r>
            <w:rPr>
              <w:rFonts w:hint="eastAsia" w:ascii="宋体" w:hAnsi="宋体" w:eastAsia="宋体" w:cs="宋体"/>
              <w:sz w:val="24"/>
              <w:szCs w:val="24"/>
            </w:rPr>
            <w:fldChar w:fldCharType="separate"/>
          </w:r>
          <w:r>
            <w:rPr>
              <w:rFonts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"_Toc9132" </w:instrText>
          </w:r>
          <w:r>
            <w:fldChar w:fldCharType="separate"/>
          </w:r>
          <w:r>
            <w:rPr>
              <w:rFonts w:hint="eastAsia" w:ascii="宋体" w:hAnsi="宋体" w:eastAsia="宋体" w:cs="宋体"/>
              <w:bCs/>
              <w:kern w:val="44"/>
              <w:sz w:val="24"/>
              <w:szCs w:val="24"/>
            </w:rPr>
            <w:t>六、 应收账款回收策略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_Toc9132 </w:instrText>
          </w:r>
          <w:r>
            <w:rPr>
              <w:rFonts w:hint="eastAsia" w:ascii="宋体" w:hAnsi="宋体" w:eastAsia="宋体" w:cs="宋体"/>
              <w:sz w:val="24"/>
              <w:szCs w:val="24"/>
            </w:rPr>
            <w:fldChar w:fldCharType="separate"/>
          </w:r>
          <w:r>
            <w:rPr>
              <w:rFonts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"_Toc24098" </w:instrText>
          </w:r>
          <w:r>
            <w:fldChar w:fldCharType="separate"/>
          </w:r>
          <w:r>
            <w:rPr>
              <w:rFonts w:hint="eastAsia" w:ascii="宋体" w:hAnsi="宋体" w:eastAsia="宋体" w:cs="宋体"/>
              <w:sz w:val="24"/>
              <w:szCs w:val="24"/>
            </w:rPr>
            <w:t>（一）、事前管理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_Toc24098 </w:instrText>
          </w:r>
          <w:r>
            <w:rPr>
              <w:rFonts w:hint="eastAsia" w:ascii="宋体" w:hAnsi="宋体" w:eastAsia="宋体" w:cs="宋体"/>
              <w:sz w:val="24"/>
              <w:szCs w:val="24"/>
            </w:rPr>
            <w:fldChar w:fldCharType="separate"/>
          </w:r>
          <w:r>
            <w:rPr>
              <w:rFonts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"_Toc29323" </w:instrText>
          </w:r>
          <w:r>
            <w:fldChar w:fldCharType="separate"/>
          </w:r>
          <w:r>
            <w:rPr>
              <w:rFonts w:hint="eastAsia" w:ascii="宋体" w:hAnsi="宋体" w:eastAsia="宋体" w:cs="宋体"/>
              <w:sz w:val="24"/>
              <w:szCs w:val="24"/>
            </w:rPr>
            <w:t>（二）、事中管理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_Toc29323 </w:instrText>
          </w:r>
          <w:r>
            <w:rPr>
              <w:rFonts w:hint="eastAsia" w:ascii="宋体" w:hAnsi="宋体" w:eastAsia="宋体" w:cs="宋体"/>
              <w:sz w:val="24"/>
              <w:szCs w:val="24"/>
            </w:rPr>
            <w:fldChar w:fldCharType="separate"/>
          </w:r>
          <w:r>
            <w:rPr>
              <w:rFonts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9071"/>
            </w:tabs>
            <w:spacing w:line="360" w:lineRule="auto"/>
            <w:rPr>
              <w:rFonts w:ascii="宋体" w:hAnsi="宋体" w:eastAsia="宋体" w:cs="宋体"/>
              <w:sz w:val="24"/>
              <w:szCs w:val="24"/>
            </w:rPr>
          </w:pPr>
          <w:r>
            <w:fldChar w:fldCharType="begin"/>
          </w:r>
          <w:r>
            <w:instrText xml:space="preserve"> HYPERLINK \l "_Toc11941" </w:instrText>
          </w:r>
          <w:r>
            <w:fldChar w:fldCharType="separate"/>
          </w:r>
          <w:r>
            <w:rPr>
              <w:rFonts w:hint="eastAsia" w:ascii="宋体" w:hAnsi="宋体" w:eastAsia="宋体" w:cs="宋体"/>
              <w:sz w:val="24"/>
              <w:szCs w:val="24"/>
            </w:rPr>
            <w:t>（三）、事后管理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_Toc11941 </w:instrText>
          </w:r>
          <w:r>
            <w:rPr>
              <w:rFonts w:hint="eastAsia" w:ascii="宋体" w:hAnsi="宋体" w:eastAsia="宋体" w:cs="宋体"/>
              <w:sz w:val="24"/>
              <w:szCs w:val="24"/>
            </w:rPr>
            <w:fldChar w:fldCharType="separate"/>
          </w:r>
          <w:r>
            <w:rPr>
              <w:rFonts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"_Toc74" </w:instrText>
          </w:r>
          <w:r>
            <w:fldChar w:fldCharType="separate"/>
          </w:r>
          <w:r>
            <w:rPr>
              <w:rFonts w:hint="eastAsia" w:ascii="宋体" w:hAnsi="宋体" w:eastAsia="宋体" w:cs="宋体"/>
              <w:sz w:val="24"/>
              <w:szCs w:val="24"/>
            </w:rPr>
            <w:t>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_Toc74 </w:instrText>
          </w:r>
          <w:r>
            <w:rPr>
              <w:rFonts w:hint="eastAsia" w:ascii="宋体" w:hAnsi="宋体" w:eastAsia="宋体" w:cs="宋体"/>
              <w:sz w:val="24"/>
              <w:szCs w:val="24"/>
            </w:rPr>
            <w:fldChar w:fldCharType="separate"/>
          </w:r>
          <w:r>
            <w:rPr>
              <w:rFonts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9071"/>
            </w:tabs>
            <w:spacing w:line="360" w:lineRule="auto"/>
            <w:rPr>
              <w:rFonts w:ascii="宋体" w:hAnsi="宋体" w:eastAsia="宋体" w:cs="宋体"/>
              <w:sz w:val="24"/>
              <w:szCs w:val="24"/>
            </w:rPr>
          </w:pPr>
          <w:r>
            <w:fldChar w:fldCharType="begin"/>
          </w:r>
          <w:r>
            <w:instrText xml:space="preserve"> HYPERLINK \l "_Toc25516" </w:instrText>
          </w:r>
          <w: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_Toc25516 </w:instrText>
          </w:r>
          <w:r>
            <w:rPr>
              <w:rFonts w:hint="eastAsia" w:ascii="宋体" w:hAnsi="宋体" w:eastAsia="宋体" w:cs="宋体"/>
              <w:sz w:val="24"/>
              <w:szCs w:val="24"/>
            </w:rPr>
            <w:fldChar w:fldCharType="separate"/>
          </w:r>
          <w:r>
            <w:rPr>
              <w:rFonts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before="312" w:beforeLines="100" w:after="312" w:afterLines="100" w:line="360" w:lineRule="auto"/>
            <w:rPr>
              <w:rFonts w:ascii="黑体" w:hAnsi="黑体" w:eastAsia="黑体" w:cs="黑体"/>
              <w:sz w:val="30"/>
              <w:szCs w:val="30"/>
            </w:rPr>
            <w:sectPr>
              <w:pgSz w:w="11906" w:h="16838"/>
              <w:pgMar w:top="1417" w:right="1134" w:bottom="1417" w:left="1701" w:header="851" w:footer="992" w:gutter="0"/>
              <w:cols w:space="0" w:num="1"/>
              <w:docGrid w:type="lines" w:linePitch="312" w:charSpace="0"/>
            </w:sectPr>
          </w:pPr>
          <w:r>
            <w:rPr>
              <w:rFonts w:hint="eastAsia" w:ascii="宋体" w:hAnsi="宋体" w:eastAsia="宋体" w:cs="宋体"/>
              <w:sz w:val="24"/>
              <w:szCs w:val="24"/>
            </w:rPr>
            <w:fldChar w:fldCharType="end"/>
          </w:r>
        </w:p>
      </w:sdtContent>
    </w:sdt>
    <w:p>
      <w:pPr>
        <w:spacing w:before="312" w:beforeLines="100" w:after="312" w:afterLines="100" w:line="360" w:lineRule="auto"/>
        <w:jc w:val="center"/>
        <w:outlineLvl w:val="0"/>
        <w:rPr>
          <w:rFonts w:ascii="黑体" w:hAnsi="黑体" w:eastAsia="黑体" w:cs="黑体"/>
          <w:sz w:val="30"/>
          <w:szCs w:val="30"/>
        </w:rPr>
      </w:pPr>
      <w:bookmarkStart w:id="1" w:name="_Toc9194"/>
      <w:r>
        <w:rPr>
          <w:rFonts w:hint="eastAsia" w:ascii="黑体" w:hAnsi="黑体" w:eastAsia="黑体" w:cs="黑体"/>
          <w:sz w:val="30"/>
          <w:szCs w:val="30"/>
        </w:rPr>
        <w:t>摘  要</w:t>
      </w:r>
      <w:bookmarkEnd w:id="1"/>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随着中国市场经济的日益进步,众多企业为了提高自身的市场竞争力,会将赊销作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飞科技有限公司为例,浅析应收账款管理对企业经营生产的重要性,并针对主要存在的问题,提出一些完善管理的解决方案。</w:t>
      </w:r>
    </w:p>
    <w:p>
      <w:pPr>
        <w:spacing w:line="360" w:lineRule="auto"/>
        <w:rPr>
          <w:rFonts w:ascii="宋体" w:hAnsi="宋体" w:eastAsia="宋体" w:cs="宋体"/>
          <w:sz w:val="24"/>
          <w:szCs w:val="24"/>
        </w:rPr>
        <w:sectPr>
          <w:pgSz w:w="11906" w:h="16838"/>
          <w:pgMar w:top="1417" w:right="1134" w:bottom="1417" w:left="1701" w:header="851" w:footer="992" w:gutter="0"/>
          <w:cols w:space="0" w:num="1"/>
          <w:docGrid w:type="lines" w:linePitch="312" w:charSpace="0"/>
        </w:sectPr>
      </w:pPr>
      <w:r>
        <w:rPr>
          <w:rFonts w:hint="eastAsia" w:ascii="宋体" w:hAnsi="宋体" w:eastAsia="宋体" w:cs="宋体"/>
          <w:b/>
          <w:bCs/>
          <w:sz w:val="24"/>
          <w:szCs w:val="24"/>
        </w:rPr>
        <w:t xml:space="preserve">关键词: </w:t>
      </w:r>
      <w:r>
        <w:rPr>
          <w:rFonts w:hint="eastAsia" w:ascii="宋体" w:hAnsi="宋体" w:eastAsia="宋体" w:cs="宋体"/>
          <w:sz w:val="24"/>
          <w:szCs w:val="24"/>
        </w:rPr>
        <w:t>风险控制;信用管理;应收账款;</w:t>
      </w:r>
    </w:p>
    <w:p>
      <w:pPr>
        <w:spacing w:before="312" w:beforeLines="100" w:after="312" w:afterLines="100" w:line="360" w:lineRule="auto"/>
        <w:jc w:val="center"/>
        <w:outlineLvl w:val="0"/>
        <w:rPr>
          <w:rFonts w:ascii="Times New Roman" w:hAnsi="Times New Roman" w:eastAsia="黑体" w:cs="Times New Roman"/>
          <w:sz w:val="30"/>
          <w:szCs w:val="30"/>
        </w:rPr>
      </w:pPr>
      <w:bookmarkStart w:id="2" w:name="_Toc25678"/>
      <w:r>
        <w:rPr>
          <w:rFonts w:ascii="Times New Roman" w:hAnsi="Times New Roman" w:eastAsia="黑体" w:cs="Times New Roman"/>
          <w:sz w:val="30"/>
          <w:szCs w:val="30"/>
        </w:rPr>
        <w:t>Abstract</w:t>
      </w:r>
      <w:bookmarkEnd w:id="2"/>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With the increasing progress of China's market economy</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in order to improve their market competitiveness, selling goods on credit is used as a major marketing tool by many companies in their daily work, and as a result,</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 large amount of accounts receivable is created. The funds can allow companies to expand their sales channels, gain more opportunities for cooperation, and enhance the company’s industrial competitiveness. At the same time, if the accounts receivable cannot be managed scientifically and effectively, the accounts receivable may be turned into bad corporate debts, which will cause huge capital risks to the enterprise and destroy the cash flow reserves of the enterprise. This article will take Shanghai Zheng</w:t>
      </w:r>
      <w:r>
        <w:rPr>
          <w:rFonts w:hint="eastAsia" w:ascii="Times New Roman" w:hAnsi="Times New Roman" w:eastAsia="宋体" w:cs="Times New Roman"/>
          <w:sz w:val="24"/>
          <w:szCs w:val="24"/>
        </w:rPr>
        <w:t>f</w:t>
      </w:r>
      <w:r>
        <w:rPr>
          <w:rFonts w:ascii="Times New Roman" w:hAnsi="Times New Roman" w:eastAsia="宋体" w:cs="Times New Roman"/>
          <w:sz w:val="24"/>
          <w:szCs w:val="24"/>
        </w:rPr>
        <w:t>ei Technology Co., Ltd. as an example to analyze the importance of accounts receivable management to the operation and production of enterprises, and propose some perfect management solutions for the main problems.</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b/>
          <w:bCs/>
          <w:sz w:val="24"/>
          <w:szCs w:val="24"/>
        </w:rPr>
        <w:t>Keywords</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 xml:space="preserve">risk control; </w:t>
      </w:r>
      <w:r>
        <w:rPr>
          <w:rFonts w:ascii="Times New Roman" w:hAnsi="Times New Roman" w:eastAsia="宋体" w:cs="Times New Roman"/>
          <w:sz w:val="24"/>
          <w:szCs w:val="24"/>
        </w:rPr>
        <w:t>accounts receivable</w:t>
      </w:r>
      <w:r>
        <w:rPr>
          <w:rFonts w:hint="eastAsia" w:ascii="Times New Roman" w:hAnsi="Times New Roman" w:eastAsia="宋体" w:cs="Times New Roman"/>
          <w:sz w:val="24"/>
          <w:szCs w:val="24"/>
        </w:rPr>
        <w:t>; credit management</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p>
    <w:p>
      <w:pPr>
        <w:pStyle w:val="2"/>
        <w:spacing w:before="312" w:beforeLines="100" w:after="156" w:afterLines="50" w:line="360" w:lineRule="auto"/>
        <w:ind w:left="420" w:leftChars="200"/>
        <w:rPr>
          <w:rFonts w:ascii="黑体" w:hAnsi="黑体" w:eastAsia="黑体" w:cs="黑体"/>
          <w:b w:val="0"/>
          <w:bCs/>
          <w:sz w:val="30"/>
          <w:szCs w:val="30"/>
        </w:rPr>
      </w:pPr>
      <w:bookmarkStart w:id="3" w:name="_Toc7326"/>
      <w:r>
        <w:rPr>
          <w:rFonts w:hint="eastAsia" w:ascii="黑体" w:hAnsi="黑体" w:eastAsia="黑体" w:cs="黑体"/>
          <w:b w:val="0"/>
          <w:bCs/>
          <w:sz w:val="30"/>
          <w:szCs w:val="30"/>
        </w:rPr>
        <w:t>一、应收账款管理的必要性</w:t>
      </w:r>
      <w:bookmarkEnd w:id="3"/>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首先，我们需要了解应收账款的概念，应收账款指企业在对产品或者增值服务进行销售的过程中，向购买方收取的资金，包含企业垫付的劳务费包装费等等。现销和赊销是企业销售回款的主要方式,目前大部分企业采用的是现销的方式,这种方式能够更快更安全的进行资金的回笼。但是对于一些中小型企业而言,采用赊销的方式能够吸引到更多的客户,扩宽市场,因此也有众多的企业选择赊销的方式进行销售。但是同时也会产生应收账款。接下来我们将概述应收账款产生带来的影响。</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另一方面应收账款这部分资金，相当于债务，是企业无法支配的，短时间内企业无法利用这部分资金起到积极作用，只有等到应收账款被收回，才能缓解企业的现状。而且应收账款转为坏账的可能性也是非常大的，随着应收账款的不断增加，转账数量准备也成上升趋势，不可否认应收账款在前期可以起到一定的积极作用，但是如果一味的依赖应收账款制度，将会对企业的后期发展造成极大的制约。大量应收账款造成企业资金无法回笼，企业现金流无法得到补充，如果不采取有效的措施，就会对企业的发展造成重大的影响。</w:t>
      </w:r>
    </w:p>
    <w:p>
      <w:pPr>
        <w:pStyle w:val="2"/>
        <w:spacing w:before="312" w:beforeLines="100" w:after="156" w:afterLines="50" w:line="360" w:lineRule="auto"/>
        <w:ind w:left="420" w:leftChars="200"/>
        <w:rPr>
          <w:rFonts w:ascii="黑体" w:hAnsi="黑体" w:eastAsia="黑体" w:cs="黑体"/>
          <w:b w:val="0"/>
          <w:bCs/>
          <w:sz w:val="30"/>
          <w:szCs w:val="30"/>
        </w:rPr>
      </w:pPr>
      <w:bookmarkStart w:id="4" w:name="_Toc1769"/>
      <w:r>
        <w:rPr>
          <w:rFonts w:hint="eastAsia" w:ascii="黑体" w:hAnsi="黑体" w:eastAsia="黑体" w:cs="黑体"/>
          <w:b w:val="0"/>
          <w:bCs/>
          <w:sz w:val="30"/>
          <w:szCs w:val="30"/>
        </w:rPr>
        <w:t>二、</w:t>
      </w:r>
      <w:r>
        <w:rPr>
          <w:rFonts w:hint="eastAsia" w:ascii="黑体" w:hAnsi="黑体" w:eastAsia="黑体" w:cs="黑体"/>
          <w:b w:val="0"/>
          <w:bCs/>
          <w:sz w:val="30"/>
          <w:szCs w:val="30"/>
          <w:lang w:eastAsia="zh-CN"/>
        </w:rPr>
        <w:t>政飞</w:t>
      </w:r>
      <w:r>
        <w:rPr>
          <w:rFonts w:hint="eastAsia" w:ascii="黑体" w:hAnsi="黑体" w:eastAsia="黑体" w:cs="黑体"/>
          <w:b w:val="0"/>
          <w:bCs/>
          <w:sz w:val="30"/>
          <w:szCs w:val="30"/>
        </w:rPr>
        <w:t>公司应收账款产生的背景</w:t>
      </w:r>
      <w:bookmarkEnd w:id="4"/>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上海政飞电子科技有限公司(以下简称ZF公司), 是一家集研发、生产、销售为一体的高科技公司。公司致力于燃料电池测试设备，系统组件及零部件的研发，生产和销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ZF公司在公司发展前期,在行业中没有太大的竞争力,为了扩宽销路，为了在众多竞争公司赢得客户,不得不在业务的往来中采用一些赊销的收款方式，同时在客户信用资质的审核采取较为宽松的政策。这样的方式确实是赢得了一些客户的青睐,市场占有率和销售额也得到了提高。但是与此同时,产生了众多的应收账款。可以说在用赊销换取企业发展的同背后,是千疮百孔的坏账经济。</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在客户方面也有众多原因导致了应收账款的产生,一方面诚信经营的理念并没有在大部分企业的心里植根,另一方面,购买方经营不善导致资金流紧张,导致欠款无法到期偿还。同时,由于种种原因,企业对客户的信用等级和实际经营状况没有实地考察和了解,赊销之后也没有及时跟踪反馈用户的经营信息,最终导致大量应收账款的堆积。</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ZF公司同时也缺乏行之有效的应收账款回收激励机制。在对销售人员进行绩效考核时,只对销售纳入考核,而应收账款的回收工作却没有相应的考核激励机制,这样就导致销售人员只对销售额感兴趣,不在于会产生多少应收账款,也不在乎应收账款是否会得到回收。长此以往下去,只会造成堆积如山的应收账款。</w:t>
      </w:r>
    </w:p>
    <w:p>
      <w:pPr>
        <w:pStyle w:val="14"/>
        <w:spacing w:before="312" w:after="156"/>
        <w:outlineLvl w:val="0"/>
        <w:rPr>
          <w:rFonts w:ascii="黑体" w:hAnsi="黑体" w:cs="黑体"/>
          <w:bCs/>
          <w:kern w:val="44"/>
          <w:szCs w:val="30"/>
        </w:rPr>
      </w:pPr>
      <w:bookmarkStart w:id="5" w:name="_Toc20294"/>
      <w:r>
        <w:rPr>
          <w:rFonts w:hint="eastAsia" w:ascii="黑体" w:hAnsi="黑体" w:cs="黑体"/>
          <w:bCs/>
          <w:kern w:val="44"/>
          <w:szCs w:val="30"/>
        </w:rPr>
        <w:t>三、应收账款操作中存在的风险</w:t>
      </w:r>
      <w:bookmarkEnd w:id="5"/>
    </w:p>
    <w:p>
      <w:pPr>
        <w:pStyle w:val="13"/>
        <w:spacing w:before="156" w:beforeLines="50" w:line="360" w:lineRule="auto"/>
        <w:ind w:left="420" w:leftChars="200" w:firstLine="0" w:firstLineChars="0"/>
        <w:outlineLvl w:val="1"/>
        <w:rPr>
          <w:rFonts w:eastAsia="黑体"/>
          <w:sz w:val="28"/>
        </w:rPr>
      </w:pPr>
      <w:bookmarkStart w:id="6" w:name="_Toc23973"/>
      <w:r>
        <w:rPr>
          <w:rFonts w:hint="eastAsia" w:eastAsia="黑体"/>
          <w:sz w:val="28"/>
        </w:rPr>
        <w:t>（一）、造成企业经营困难</w:t>
      </w:r>
      <w:bookmarkEnd w:id="6"/>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应收账款产生于赊销，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同时无法通过稳定的渠道获取到资金补充,就会逐渐恶化企业的经营状况,造成了恶性循环。</w:t>
      </w:r>
    </w:p>
    <w:p>
      <w:pPr>
        <w:pStyle w:val="13"/>
        <w:spacing w:line="360" w:lineRule="auto"/>
        <w:ind w:left="420" w:leftChars="200" w:firstLine="0" w:firstLineChars="0"/>
        <w:outlineLvl w:val="1"/>
        <w:rPr>
          <w:rFonts w:ascii="宋体" w:hAnsi="宋体" w:eastAsia="宋体" w:cs="宋体"/>
          <w:sz w:val="28"/>
          <w:szCs w:val="28"/>
        </w:rPr>
      </w:pPr>
      <w:bookmarkStart w:id="7" w:name="_Toc17553"/>
      <w:r>
        <w:rPr>
          <w:rFonts w:hint="eastAsia" w:eastAsia="黑体"/>
          <w:sz w:val="28"/>
          <w:szCs w:val="28"/>
        </w:rPr>
        <w:t>（二）、造成一定的回收成本</w:t>
      </w:r>
      <w:bookmarkEnd w:id="7"/>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随着企业应收账款量的逐渐增多，ZF公司为之付出的成本也水涨船高。不仅仅需要付出人力成本，包括回收员工的差旅费、补贴，更有为了促进还款而做出的妥协现金折扣以及法律催收造成的诉讼费等等。而且在于管理上不得不分配出一个单独的应收账款管理部门，但由于管理制度的不完善，该部门形同虚设。</w:t>
      </w:r>
    </w:p>
    <w:p>
      <w:pPr>
        <w:pStyle w:val="14"/>
        <w:spacing w:before="312" w:after="156"/>
        <w:outlineLvl w:val="0"/>
        <w:rPr>
          <w:rFonts w:ascii="宋体" w:hAnsi="宋体" w:eastAsia="宋体" w:cs="宋体"/>
          <w:sz w:val="24"/>
          <w:szCs w:val="24"/>
        </w:rPr>
      </w:pPr>
      <w:bookmarkStart w:id="8" w:name="_Toc16479"/>
      <w:r>
        <w:rPr>
          <w:rFonts w:hint="eastAsia" w:ascii="黑体" w:hAnsi="黑体" w:cs="黑体"/>
          <w:bCs/>
          <w:kern w:val="44"/>
          <w:szCs w:val="30"/>
        </w:rPr>
        <w:t>四、ZF公司的应收账款分析</w:t>
      </w:r>
      <w:bookmarkEnd w:id="8"/>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 xml:space="preserve">根据ZF公司的2019年年末的财务报表,通过账龄分析法进行分析，ZF公司对还款日期在一年以内（含一年）应收账款按5%计提坏账准备，对还款日期在1年以上，2年以内以的（含2年）应收账款按做12%计提坏账准备，对还款日期在2年以上3年以内（含3年）的应收账款按30%做计提坏账准备，对还款日期在3年到4年之间（含4年）的应收账款按70%做计提坏账准备，对还款日期在4年到5年之间（含5年）的应收账款按90%计提坏账准备，对还款日期在5年以上应收账款按100%计提坏账准备（完全作为坏账）。 </w:t>
      </w:r>
    </w:p>
    <w:p>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从财务报表可以看出，ZF公司应收账款的回收率是非常低,只有35.23%的应收账款可以在一年之间回收,其他大量的应收账款已经超出了规定的还款日期仍然没有得到回收。应收账款账龄时间长，有17.1%的应收账款已经拖欠4年以上了,这部分贷款可以说是已经难以进行回收了。如果这部分全部计提坏账准备，ZF公司的资产就会大幅度缩水。</w:t>
      </w:r>
    </w:p>
    <w:p>
      <w:pPr>
        <w:numPr>
          <w:ilvl w:val="0"/>
          <w:numId w:val="1"/>
        </w:numPr>
        <w:spacing w:before="312" w:beforeLines="100" w:after="156" w:afterLines="50" w:line="360" w:lineRule="auto"/>
        <w:ind w:left="420" w:leftChars="200"/>
        <w:outlineLvl w:val="0"/>
        <w:rPr>
          <w:rFonts w:ascii="黑体" w:hAnsi="黑体" w:eastAsia="黑体" w:cs="黑体"/>
          <w:bCs/>
          <w:kern w:val="44"/>
          <w:sz w:val="30"/>
          <w:szCs w:val="30"/>
        </w:rPr>
      </w:pPr>
      <w:bookmarkStart w:id="9" w:name="_Toc18223"/>
      <w:r>
        <w:rPr>
          <w:rFonts w:hint="eastAsia" w:ascii="黑体" w:hAnsi="黑体" w:eastAsia="黑体" w:cs="黑体"/>
          <w:bCs/>
          <w:kern w:val="44"/>
          <w:sz w:val="30"/>
          <w:szCs w:val="30"/>
        </w:rPr>
        <w:t>ZF公司应收账款产生的问题</w:t>
      </w:r>
      <w:bookmarkEnd w:id="9"/>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ZF公司面对日益严峻的市场环境,在自身产品与同类产品相比没有优势的情况下, 为了维持自身的市场份额,除了加强自身的售后保障团队外,赊销政策也成为了一种的重要的经营手段.这种政策下,前期确实会显著提高产品的销售额,公司市场占有率有所提升,但是长此以往,就会产生大量的应收账款。</w:t>
      </w:r>
    </w:p>
    <w:p>
      <w:pPr>
        <w:pStyle w:val="13"/>
        <w:spacing w:line="360" w:lineRule="auto"/>
        <w:ind w:left="420" w:leftChars="200" w:firstLine="0" w:firstLineChars="0"/>
        <w:outlineLvl w:val="1"/>
        <w:rPr>
          <w:rFonts w:eastAsia="黑体"/>
          <w:sz w:val="28"/>
          <w:szCs w:val="28"/>
        </w:rPr>
      </w:pPr>
      <w:bookmarkStart w:id="10" w:name="_Toc24643"/>
      <w:r>
        <w:rPr>
          <w:rFonts w:hint="eastAsia" w:eastAsia="黑体"/>
          <w:sz w:val="28"/>
          <w:szCs w:val="28"/>
        </w:rPr>
        <w:t>（一）合同审核不严谨</w:t>
      </w:r>
      <w:bookmarkEnd w:id="10"/>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前期对合同的审核过于宽松，为了扩充市场，与客户维持好关系，对客户的一些延期要求也一并满足。一味的为了抢占客户源，对客户的要求“百依百顺”，同时对客户信用等级,实际经营情况也没有过多的进行实际的考察，单纯只为了销售额的增长。许多本身经营困难的公司，在签下合同之后,无法在指定时间内归还账款,甚至于破产。这样,产生了大量的应收账款，也伴随着大量坏账的产生。</w:t>
      </w:r>
    </w:p>
    <w:p>
      <w:pPr>
        <w:pStyle w:val="13"/>
        <w:spacing w:line="360" w:lineRule="auto"/>
        <w:ind w:left="420" w:leftChars="200" w:firstLine="0" w:firstLineChars="0"/>
        <w:outlineLvl w:val="1"/>
        <w:rPr>
          <w:rFonts w:eastAsia="黑体"/>
          <w:sz w:val="28"/>
        </w:rPr>
      </w:pPr>
      <w:bookmarkStart w:id="11" w:name="_Toc30699"/>
      <w:r>
        <w:rPr>
          <w:rFonts w:hint="eastAsia" w:eastAsia="黑体"/>
          <w:sz w:val="28"/>
        </w:rPr>
        <w:t>（</w:t>
      </w:r>
      <w:r>
        <w:rPr>
          <w:rFonts w:hint="eastAsia" w:eastAsia="黑体"/>
          <w:sz w:val="28"/>
          <w:szCs w:val="28"/>
        </w:rPr>
        <w:t>二）经营管理重视程度不够</w:t>
      </w:r>
      <w:bookmarkEnd w:id="11"/>
      <w:r>
        <w:rPr>
          <w:rFonts w:hint="eastAsia" w:eastAsia="黑体"/>
          <w:sz w:val="28"/>
        </w:rPr>
        <w:t xml:space="preserve"> </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传统的思维模式都是以产品的销售额作为业绩考核指标，这导致了销售人员只顾着发掘渠道，寻找新的客户，签订新的合同，只关心是否能够将产品卖出去，不关心是否是通过赊销的方式，也不关心通过该方式产生的应收账款是否能回收，对以往产生的应收账款的清理回收也不抱有太大的积极性。另一方面ZF公司管理人员大部分也只关心前期是否能够快速占领市场份额，不考虑应收账款的存在对企业造成的深远影响。这就造成了企业大量应收账款的回收难度大甚至于无法回收，造成了大量的坏账。</w:t>
      </w:r>
    </w:p>
    <w:p>
      <w:pPr>
        <w:pStyle w:val="13"/>
        <w:spacing w:line="360" w:lineRule="auto"/>
        <w:ind w:left="420" w:leftChars="200" w:firstLine="0" w:firstLineChars="0"/>
        <w:outlineLvl w:val="1"/>
        <w:rPr>
          <w:rFonts w:eastAsia="黑体"/>
          <w:sz w:val="28"/>
        </w:rPr>
      </w:pPr>
      <w:bookmarkStart w:id="12" w:name="_Toc1530"/>
      <w:r>
        <w:rPr>
          <w:rFonts w:hint="eastAsia" w:eastAsia="黑体"/>
          <w:sz w:val="28"/>
        </w:rPr>
        <w:t>（三）大量库存堆积</w:t>
      </w:r>
      <w:bookmarkEnd w:id="12"/>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ZF公司对于存货的管理有着严格的管控，是为了降低库存对企业资金的占用，这样的管控措施落实到基层的销售人员，无疑从另一个方面也导致了应收账款的产生。</w:t>
      </w:r>
    </w:p>
    <w:p>
      <w:pPr>
        <w:numPr>
          <w:ilvl w:val="0"/>
          <w:numId w:val="1"/>
        </w:numPr>
        <w:spacing w:before="312" w:beforeLines="100" w:after="156" w:afterLines="50" w:line="360" w:lineRule="auto"/>
        <w:ind w:left="420" w:leftChars="200"/>
        <w:outlineLvl w:val="0"/>
        <w:rPr>
          <w:rFonts w:ascii="黑体" w:hAnsi="黑体" w:eastAsia="黑体" w:cs="黑体"/>
          <w:bCs/>
          <w:kern w:val="44"/>
          <w:sz w:val="30"/>
          <w:szCs w:val="30"/>
        </w:rPr>
      </w:pPr>
      <w:bookmarkStart w:id="13" w:name="_Toc9132"/>
      <w:r>
        <w:rPr>
          <w:rFonts w:hint="eastAsia" w:ascii="黑体" w:hAnsi="黑体" w:eastAsia="黑体" w:cs="黑体"/>
          <w:bCs/>
          <w:kern w:val="44"/>
          <w:sz w:val="30"/>
          <w:szCs w:val="30"/>
        </w:rPr>
        <w:t>应收账款回收策略</w:t>
      </w:r>
      <w:bookmarkEnd w:id="13"/>
    </w:p>
    <w:p>
      <w:pPr>
        <w:pStyle w:val="13"/>
        <w:spacing w:line="360" w:lineRule="auto"/>
        <w:ind w:left="420" w:leftChars="200" w:firstLine="0" w:firstLineChars="0"/>
        <w:outlineLvl w:val="1"/>
        <w:rPr>
          <w:rFonts w:eastAsia="黑体"/>
          <w:sz w:val="28"/>
        </w:rPr>
      </w:pPr>
      <w:bookmarkStart w:id="14" w:name="_Toc24098"/>
      <w:r>
        <w:rPr>
          <w:rFonts w:hint="eastAsia" w:eastAsia="黑体"/>
          <w:sz w:val="28"/>
        </w:rPr>
        <w:t>（一）事前管理</w:t>
      </w:r>
      <w:bookmarkEnd w:id="14"/>
    </w:p>
    <w:p>
      <w:pPr>
        <w:pStyle w:val="13"/>
        <w:spacing w:line="360" w:lineRule="auto"/>
        <w:ind w:left="420" w:leftChars="200" w:firstLine="0" w:firstLineChars="0"/>
        <w:rPr>
          <w:rFonts w:ascii="黑体" w:hAnsi="黑体" w:eastAsia="黑体" w:cs="黑体"/>
          <w:sz w:val="24"/>
          <w:szCs w:val="24"/>
        </w:rPr>
      </w:pPr>
      <w:r>
        <w:rPr>
          <w:rFonts w:hint="eastAsia" w:ascii="黑体" w:hAnsi="黑体" w:eastAsia="黑体" w:cs="黑体"/>
          <w:sz w:val="24"/>
          <w:szCs w:val="24"/>
        </w:rPr>
        <w:t>1.实行应收账款的计划管理</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每一年的年度预算都应该设定一个相对合理的应收账款年末余额作为考核指标，来作为业绩考核的依据。这个指标是根据ZF公司每一年的年度预算中的销售量，收入和资产等数据动态设定的。也可以实施弹性控制，根据市场供求情况及时更新销售策略，对赊销销售所占比例进行控制。</w:t>
      </w:r>
    </w:p>
    <w:p>
      <w:pPr>
        <w:pStyle w:val="13"/>
        <w:spacing w:line="360" w:lineRule="auto"/>
        <w:ind w:left="420" w:leftChars="200" w:firstLine="0" w:firstLineChars="0"/>
        <w:rPr>
          <w:rFonts w:ascii="黑体" w:hAnsi="黑体" w:eastAsia="黑体" w:cs="黑体"/>
          <w:sz w:val="24"/>
          <w:szCs w:val="24"/>
        </w:rPr>
      </w:pPr>
      <w:r>
        <w:rPr>
          <w:rFonts w:hint="eastAsia" w:ascii="黑体" w:hAnsi="黑体" w:eastAsia="黑体" w:cs="黑体"/>
          <w:sz w:val="24"/>
          <w:szCs w:val="24"/>
        </w:rPr>
        <w:t>2.重视对销售合同的管理</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销售合同的制定对于公司应收账款管理的重要性不言而喻，一份对赊销制度清楚明确的合同可以很大保障企业顺利收回贷款。必要时也可以拿起法律的武器保障企业自身的利益不受侵害。</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首先企业和客户签订的合同必须是符合国家法律法规，按照《合同法》规定以避免无效合同的产生。同时，合同的签订必须是公司授权的，未经授权，所有人不得随意和客户签订合同。合同内容也必须对赊销的具体行为作出明确规定，包括还款日期，延期还款违约的具体责任等等。只有在合同上明确规定了责任，才能最大程度保障企业的利益。</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催收债款，如果遇到恶意拖欠行为可以通过法律的方式发起诉讼，寻回款项，尽可能减少企业的损失。</w:t>
      </w:r>
    </w:p>
    <w:p>
      <w:pPr>
        <w:pStyle w:val="13"/>
        <w:spacing w:line="360" w:lineRule="auto"/>
        <w:ind w:left="420" w:leftChars="200" w:firstLine="0" w:firstLineChars="0"/>
        <w:rPr>
          <w:rFonts w:ascii="黑体" w:hAnsi="黑体" w:eastAsia="黑体" w:cs="黑体"/>
          <w:sz w:val="24"/>
          <w:szCs w:val="24"/>
        </w:rPr>
      </w:pPr>
      <w:r>
        <w:rPr>
          <w:rFonts w:hint="eastAsia" w:ascii="黑体" w:hAnsi="黑体" w:eastAsia="黑体" w:cs="黑体"/>
          <w:sz w:val="24"/>
          <w:szCs w:val="24"/>
        </w:rPr>
        <w:t>3.完善公司应收账款回收政策</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需要对企业本身的应收账款管理制度进行重新的规范和制定,并且提高企业自身的风险意识,需要明确自身的销售理念,只有收回钱款才算是真正意思的销售,仅仅与客户签订合同,只能获取到销售额的增长，对公司实际业务并没有实际的帮助，同时赊销还有可能带来极大的风险。只有从一开始上控制应收账款的产生，才能从源头上防止坏账的出现。</w:t>
      </w:r>
    </w:p>
    <w:p>
      <w:pPr>
        <w:pStyle w:val="13"/>
        <w:spacing w:line="360" w:lineRule="auto"/>
        <w:ind w:left="420" w:leftChars="200" w:firstLine="0" w:firstLineChars="0"/>
        <w:rPr>
          <w:rFonts w:ascii="黑体" w:hAnsi="黑体" w:eastAsia="黑体" w:cs="黑体"/>
          <w:sz w:val="24"/>
          <w:szCs w:val="24"/>
        </w:rPr>
      </w:pPr>
      <w:r>
        <w:rPr>
          <w:rFonts w:hint="eastAsia" w:ascii="黑体" w:hAnsi="黑体" w:eastAsia="黑体" w:cs="黑体"/>
          <w:sz w:val="24"/>
          <w:szCs w:val="24"/>
        </w:rPr>
        <w:t>4.找准公司产品优势</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另外一方面，针对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从而减少应收账款的产生。</w:t>
      </w:r>
    </w:p>
    <w:p>
      <w:pPr>
        <w:pStyle w:val="13"/>
        <w:spacing w:line="360" w:lineRule="auto"/>
        <w:ind w:left="420" w:leftChars="200" w:firstLine="0" w:firstLineChars="0"/>
        <w:rPr>
          <w:rFonts w:ascii="黑体" w:hAnsi="黑体" w:eastAsia="黑体" w:cs="黑体"/>
          <w:sz w:val="24"/>
          <w:szCs w:val="24"/>
        </w:rPr>
      </w:pPr>
      <w:r>
        <w:rPr>
          <w:rFonts w:hint="eastAsia" w:ascii="黑体" w:hAnsi="黑体" w:eastAsia="黑体" w:cs="黑体"/>
          <w:sz w:val="24"/>
          <w:szCs w:val="24"/>
        </w:rPr>
        <w:t>5.对客户的信用度进行深入评价</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在市场竞争中，适当地采取赊销的方式是提高市场占有率的重要手段之一。因此企业就需要分析签约客户的信用情况，确定其信誉并为之采用对应的信用策略，包括限额，分期，折扣等等。</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实际上应该如何实行呢？建议ZF公司应引入客户信用评价系统，建立客户信用档案，并创建客户信用评价部门，在销售人员与客户签订合同之前，相关工作人员实地对客户的信用信息进行考察，并收集整理归纳成档案，通过对客户企业的经营状况，财务情况盈利能力和资产业务情况的分析的基础上，评定客户的信用等级，从而决定对客户的赊销情况。例如，根据客户信用档案，对不同信用等级的客户实行不同限额的赊销政策。对于一般客户而言，可以采用6-3-1赊销政策，先预付60%的货款，货到支付30%，质保1年付清剩下的10%。对于信用评定为差的客户，坚决不适用赊销政策。对于有长期业务往来的客户，更需要加强对其信用档案的管理。这样一来，就可以从根本上减少应收账款的产生，从而减少坏账的产生。</w:t>
      </w:r>
    </w:p>
    <w:p>
      <w:pPr>
        <w:pStyle w:val="13"/>
        <w:spacing w:line="360" w:lineRule="auto"/>
        <w:ind w:left="420" w:leftChars="200" w:firstLine="0" w:firstLineChars="0"/>
        <w:outlineLvl w:val="1"/>
        <w:rPr>
          <w:rFonts w:eastAsia="黑体"/>
          <w:sz w:val="28"/>
        </w:rPr>
      </w:pPr>
      <w:bookmarkStart w:id="15" w:name="_Toc29323"/>
      <w:r>
        <w:rPr>
          <w:rFonts w:hint="eastAsia" w:eastAsia="黑体"/>
          <w:sz w:val="28"/>
        </w:rPr>
        <w:t>（二）事中管理</w:t>
      </w:r>
      <w:bookmarkEnd w:id="15"/>
    </w:p>
    <w:p>
      <w:pPr>
        <w:pStyle w:val="13"/>
        <w:spacing w:line="360" w:lineRule="auto"/>
        <w:ind w:left="420" w:leftChars="200" w:firstLine="0" w:firstLineChars="0"/>
        <w:rPr>
          <w:rFonts w:ascii="黑体" w:hAnsi="黑体" w:eastAsia="黑体" w:cs="黑体"/>
          <w:sz w:val="24"/>
          <w:szCs w:val="24"/>
        </w:rPr>
      </w:pPr>
      <w:r>
        <w:rPr>
          <w:rFonts w:hint="eastAsia" w:ascii="黑体" w:hAnsi="黑体" w:eastAsia="黑体" w:cs="黑体"/>
          <w:sz w:val="24"/>
          <w:szCs w:val="24"/>
        </w:rPr>
        <w:t>1.监督现有的应收账款</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企业可以明确相关部门在应收账款处理方面的责任。销售部需要审核合同同时需要负责贷款查询；财务部需要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pPr>
        <w:pStyle w:val="13"/>
        <w:spacing w:line="360" w:lineRule="auto"/>
        <w:ind w:firstLine="480"/>
        <w:rPr>
          <w:rFonts w:ascii="宋体" w:hAnsi="宋体" w:eastAsia="宋体" w:cs="宋体"/>
          <w:sz w:val="24"/>
          <w:szCs w:val="24"/>
        </w:rPr>
      </w:pPr>
      <w:r>
        <w:rPr>
          <w:rFonts w:hint="eastAsia" w:ascii="黑体" w:hAnsi="黑体" w:eastAsia="黑体" w:cs="黑体"/>
          <w:sz w:val="24"/>
          <w:szCs w:val="24"/>
        </w:rPr>
        <w:t>2.建立应收账款奖惩机制</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p>
    <w:p>
      <w:pPr>
        <w:pStyle w:val="13"/>
        <w:spacing w:line="360" w:lineRule="auto"/>
        <w:ind w:left="420" w:leftChars="200" w:firstLine="0" w:firstLineChars="0"/>
        <w:outlineLvl w:val="1"/>
        <w:rPr>
          <w:rFonts w:eastAsia="黑体"/>
          <w:sz w:val="28"/>
        </w:rPr>
      </w:pPr>
      <w:bookmarkStart w:id="16" w:name="_Toc11941"/>
      <w:r>
        <w:rPr>
          <w:rFonts w:hint="eastAsia" w:eastAsia="黑体"/>
          <w:sz w:val="28"/>
        </w:rPr>
        <w:t>（三）事后管理</w:t>
      </w:r>
      <w:bookmarkEnd w:id="16"/>
    </w:p>
    <w:p>
      <w:pPr>
        <w:pStyle w:val="13"/>
        <w:spacing w:line="360" w:lineRule="auto"/>
        <w:ind w:firstLine="480"/>
        <w:rPr>
          <w:rFonts w:ascii="黑体" w:hAnsi="黑体" w:eastAsia="黑体" w:cs="黑体"/>
          <w:sz w:val="24"/>
          <w:szCs w:val="24"/>
        </w:rPr>
      </w:pPr>
      <w:r>
        <w:rPr>
          <w:rFonts w:hint="eastAsia" w:ascii="黑体" w:hAnsi="黑体" w:eastAsia="黑体" w:cs="黑体"/>
          <w:sz w:val="24"/>
          <w:szCs w:val="24"/>
        </w:rPr>
        <w:t>1.灵活多变的催收策略</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针对不同的客户关系，可以采用不同的催收策略。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pPr>
        <w:pStyle w:val="13"/>
        <w:spacing w:line="360" w:lineRule="auto"/>
        <w:ind w:firstLine="480"/>
        <w:rPr>
          <w:rFonts w:ascii="黑体" w:hAnsi="黑体" w:eastAsia="黑体" w:cs="黑体"/>
          <w:sz w:val="24"/>
          <w:szCs w:val="24"/>
        </w:rPr>
      </w:pPr>
      <w:r>
        <w:rPr>
          <w:rFonts w:hint="eastAsia" w:ascii="黑体" w:hAnsi="黑体" w:eastAsia="黑体" w:cs="黑体"/>
          <w:sz w:val="24"/>
          <w:szCs w:val="24"/>
        </w:rPr>
        <w:t>2.建立坏账准备管理制度</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企业要遵循稳健性原则，按照《企业会计准则》规定：持有至到期投资、贷款和应收款项等金融资产发生减值时，应当将该金融资产的账面价值减记至预汁未来现金流量(不包括尚未发生的未来信用损失)现值，减记的金额确认为资产减值损失，计人当期损益。对于一些延期未还款的应收账款，应该尽早归为坏账准备。对于一些账龄过长的应收账款，归还无望的情况下，应当及时核销确报企业财务报告的真实性，同时登记在财务部门的控制下。</w:t>
      </w:r>
    </w:p>
    <w:p>
      <w:pPr>
        <w:pStyle w:val="13"/>
        <w:spacing w:line="360" w:lineRule="auto"/>
        <w:ind w:firstLine="480"/>
        <w:rPr>
          <w:rFonts w:ascii="黑体" w:hAnsi="黑体" w:eastAsia="黑体" w:cs="黑体"/>
          <w:sz w:val="24"/>
          <w:szCs w:val="24"/>
        </w:rPr>
      </w:pPr>
      <w:r>
        <w:rPr>
          <w:rFonts w:hint="eastAsia" w:ascii="黑体" w:hAnsi="黑体" w:eastAsia="黑体" w:cs="黑体"/>
          <w:sz w:val="24"/>
          <w:szCs w:val="24"/>
        </w:rPr>
        <w:t>3.分析过程和结果</w:t>
      </w:r>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夯实基础。</w:t>
      </w:r>
    </w:p>
    <w:p>
      <w:pPr>
        <w:pStyle w:val="13"/>
        <w:spacing w:before="312" w:beforeLines="100" w:after="156" w:afterLines="50" w:line="360" w:lineRule="auto"/>
        <w:ind w:left="420" w:leftChars="200" w:firstLine="0" w:firstLineChars="0"/>
        <w:outlineLvl w:val="0"/>
        <w:rPr>
          <w:rFonts w:eastAsia="黑体"/>
          <w:sz w:val="30"/>
        </w:rPr>
      </w:pPr>
      <w:bookmarkStart w:id="17" w:name="_Toc74"/>
      <w:r>
        <w:rPr>
          <w:rFonts w:hint="eastAsia" w:eastAsia="黑体"/>
          <w:sz w:val="30"/>
        </w:rPr>
        <w:t>七、总结</w:t>
      </w:r>
      <w:bookmarkEnd w:id="17"/>
    </w:p>
    <w:p>
      <w:pPr>
        <w:pStyle w:val="13"/>
        <w:spacing w:line="360" w:lineRule="auto"/>
        <w:ind w:firstLine="480"/>
        <w:rPr>
          <w:rFonts w:ascii="宋体" w:hAnsi="宋体" w:eastAsia="宋体" w:cs="宋体"/>
          <w:sz w:val="24"/>
          <w:szCs w:val="24"/>
        </w:rPr>
      </w:pPr>
      <w:r>
        <w:rPr>
          <w:rFonts w:hint="eastAsia" w:ascii="宋体" w:hAnsi="宋体" w:eastAsia="宋体" w:cs="宋体"/>
          <w:sz w:val="24"/>
          <w:szCs w:val="24"/>
        </w:rPr>
        <w:t>通过上述分析得出结论，ZF公司存在的问题主要在于业务实施过程中赊销款项过多，客户信用等级评定不够严谨，管理方面不作为员工只追求销售额，不在乎产生多少坏账，种种原因造成的ZF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pPr>
        <w:pStyle w:val="13"/>
        <w:spacing w:line="360" w:lineRule="auto"/>
        <w:ind w:firstLine="480"/>
        <w:rPr>
          <w:rFonts w:ascii="宋体" w:hAnsi="宋体" w:eastAsia="宋体" w:cs="宋体"/>
          <w:sz w:val="24"/>
          <w:szCs w:val="24"/>
        </w:rPr>
      </w:pPr>
    </w:p>
    <w:p>
      <w:pPr>
        <w:pStyle w:val="13"/>
        <w:spacing w:line="360" w:lineRule="auto"/>
        <w:ind w:firstLine="480"/>
        <w:rPr>
          <w:rFonts w:ascii="宋体" w:hAnsi="宋体" w:eastAsia="宋体" w:cs="宋体"/>
          <w:sz w:val="24"/>
          <w:szCs w:val="24"/>
        </w:rPr>
      </w:pPr>
    </w:p>
    <w:p>
      <w:pPr>
        <w:pStyle w:val="13"/>
        <w:spacing w:line="360" w:lineRule="auto"/>
        <w:ind w:firstLine="480"/>
        <w:rPr>
          <w:rFonts w:ascii="宋体" w:hAnsi="宋体" w:eastAsia="宋体" w:cs="宋体"/>
          <w:sz w:val="24"/>
          <w:szCs w:val="24"/>
        </w:rPr>
      </w:pPr>
    </w:p>
    <w:p>
      <w:pPr>
        <w:pStyle w:val="13"/>
        <w:spacing w:line="360" w:lineRule="auto"/>
        <w:ind w:firstLine="480"/>
        <w:rPr>
          <w:rFonts w:ascii="宋体" w:hAnsi="宋体" w:eastAsia="宋体" w:cs="宋体"/>
          <w:sz w:val="24"/>
          <w:szCs w:val="24"/>
        </w:rPr>
      </w:pPr>
    </w:p>
    <w:p>
      <w:pPr>
        <w:pStyle w:val="13"/>
        <w:spacing w:line="360" w:lineRule="auto"/>
        <w:ind w:firstLine="480"/>
        <w:rPr>
          <w:rFonts w:ascii="宋体" w:hAnsi="宋体" w:eastAsia="宋体" w:cs="宋体"/>
          <w:sz w:val="24"/>
          <w:szCs w:val="24"/>
        </w:rPr>
      </w:pPr>
    </w:p>
    <w:p>
      <w:pPr>
        <w:pStyle w:val="13"/>
        <w:spacing w:line="360" w:lineRule="auto"/>
        <w:ind w:firstLine="480"/>
        <w:rPr>
          <w:rFonts w:ascii="宋体" w:hAnsi="宋体" w:eastAsia="宋体" w:cs="宋体"/>
          <w:sz w:val="24"/>
          <w:szCs w:val="24"/>
        </w:rPr>
      </w:pPr>
    </w:p>
    <w:p>
      <w:pPr>
        <w:pStyle w:val="13"/>
        <w:spacing w:line="360" w:lineRule="auto"/>
        <w:ind w:firstLine="480"/>
        <w:rPr>
          <w:rFonts w:ascii="宋体" w:hAnsi="宋体" w:eastAsia="宋体" w:cs="宋体"/>
          <w:sz w:val="24"/>
          <w:szCs w:val="24"/>
        </w:rPr>
      </w:pPr>
    </w:p>
    <w:p>
      <w:pPr>
        <w:spacing w:line="360" w:lineRule="auto"/>
        <w:ind w:firstLine="480" w:firstLineChars="200"/>
        <w:rPr>
          <w:rFonts w:ascii="宋体" w:hAnsi="宋体" w:eastAsia="宋体" w:cs="宋体"/>
          <w:sz w:val="24"/>
          <w:szCs w:val="24"/>
        </w:rPr>
      </w:pPr>
    </w:p>
    <w:p>
      <w:pPr>
        <w:spacing w:line="360" w:lineRule="auto"/>
        <w:ind w:firstLine="480" w:firstLineChars="200"/>
        <w:rPr>
          <w:rFonts w:ascii="宋体" w:hAnsi="宋体" w:eastAsia="宋体" w:cs="宋体"/>
          <w:sz w:val="24"/>
          <w:szCs w:val="24"/>
        </w:rPr>
      </w:pPr>
    </w:p>
    <w:p>
      <w:pPr>
        <w:widowControl/>
        <w:jc w:val="center"/>
        <w:rPr>
          <w:rFonts w:ascii="黑体" w:hAnsi="黑体" w:eastAsia="黑体" w:cs="黑体"/>
          <w:sz w:val="30"/>
          <w:szCs w:val="30"/>
        </w:rPr>
      </w:pPr>
      <w:bookmarkStart w:id="18" w:name="_Toc25516"/>
    </w:p>
    <w:p>
      <w:pPr>
        <w:spacing w:before="312" w:beforeLines="100" w:after="312" w:afterLines="100" w:line="360" w:lineRule="auto"/>
        <w:jc w:val="center"/>
        <w:outlineLvl w:val="0"/>
        <w:rPr>
          <w:rFonts w:ascii="黑体" w:hAnsi="黑体" w:eastAsia="黑体" w:cs="黑体"/>
          <w:sz w:val="30"/>
          <w:szCs w:val="30"/>
        </w:rPr>
      </w:pPr>
      <w:r>
        <w:rPr>
          <w:rFonts w:hint="eastAsia" w:ascii="黑体" w:hAnsi="黑体" w:eastAsia="黑体" w:cs="黑体"/>
          <w:sz w:val="30"/>
          <w:szCs w:val="30"/>
        </w:rPr>
        <w:t>参考文献</w:t>
      </w:r>
      <w:bookmarkEnd w:id="18"/>
    </w:p>
    <w:p>
      <w:pPr>
        <w:pStyle w:val="17"/>
        <w:numPr>
          <w:ilvl w:val="0"/>
          <w:numId w:val="2"/>
        </w:numPr>
        <w:snapToGrid w:val="0"/>
        <w:jc w:val="both"/>
        <w:rPr>
          <w:rFonts w:ascii="宋体" w:hAnsi="宋体" w:cs="宋体"/>
          <w:szCs w:val="24"/>
        </w:rPr>
      </w:pPr>
      <w:r>
        <w:rPr>
          <w:rFonts w:hint="eastAsia" w:ascii="宋体" w:hAnsi="宋体" w:cs="宋体"/>
          <w:szCs w:val="24"/>
        </w:rPr>
        <w:t>廖孟渝.C企业应收账款管理浅议[J].财会学习,2020(27):185-186.</w:t>
      </w:r>
    </w:p>
    <w:p>
      <w:pPr>
        <w:pStyle w:val="17"/>
        <w:numPr>
          <w:ilvl w:val="0"/>
          <w:numId w:val="2"/>
        </w:numPr>
        <w:snapToGrid w:val="0"/>
        <w:jc w:val="both"/>
        <w:rPr>
          <w:rFonts w:ascii="宋体" w:hAnsi="宋体" w:cs="宋体"/>
          <w:szCs w:val="24"/>
        </w:rPr>
      </w:pPr>
      <w:r>
        <w:rPr>
          <w:rFonts w:hint="eastAsia" w:ascii="宋体" w:hAnsi="宋体" w:cs="宋体"/>
          <w:szCs w:val="24"/>
        </w:rPr>
        <w:t>陈明.经济新常态下企业应收账款管理研究[J].经济管理文摘,2020(18):113-114.</w:t>
      </w:r>
    </w:p>
    <w:p>
      <w:pPr>
        <w:pStyle w:val="17"/>
        <w:numPr>
          <w:ilvl w:val="0"/>
          <w:numId w:val="2"/>
        </w:numPr>
        <w:snapToGrid w:val="0"/>
        <w:jc w:val="both"/>
        <w:rPr>
          <w:rFonts w:ascii="宋体" w:hAnsi="宋体" w:cs="宋体"/>
          <w:szCs w:val="24"/>
        </w:rPr>
      </w:pPr>
      <w:r>
        <w:rPr>
          <w:rFonts w:hint="eastAsia" w:ascii="宋体" w:hAnsi="宋体" w:cs="宋体"/>
          <w:szCs w:val="24"/>
        </w:rPr>
        <w:t>高建平.制造企业如何加强应收账款的管理[J].中国乡镇企业会计,2020(09):142-144.</w:t>
      </w:r>
    </w:p>
    <w:p>
      <w:pPr>
        <w:pStyle w:val="17"/>
        <w:numPr>
          <w:ilvl w:val="0"/>
          <w:numId w:val="2"/>
        </w:numPr>
        <w:snapToGrid w:val="0"/>
        <w:jc w:val="both"/>
        <w:rPr>
          <w:rFonts w:ascii="宋体" w:hAnsi="宋体" w:cs="宋体"/>
          <w:szCs w:val="24"/>
        </w:rPr>
      </w:pPr>
      <w:r>
        <w:rPr>
          <w:rFonts w:hint="eastAsia" w:ascii="宋体" w:hAnsi="宋体" w:cs="宋体"/>
          <w:szCs w:val="24"/>
        </w:rPr>
        <w:t>周杰.浅谈企业应收账款管理思路[J].现代商业,2020(26):105-106.</w:t>
      </w:r>
    </w:p>
    <w:p>
      <w:pPr>
        <w:pStyle w:val="17"/>
        <w:numPr>
          <w:ilvl w:val="0"/>
          <w:numId w:val="2"/>
        </w:numPr>
        <w:snapToGrid w:val="0"/>
        <w:jc w:val="both"/>
        <w:rPr>
          <w:rFonts w:ascii="宋体" w:hAnsi="宋体" w:cs="宋体"/>
          <w:szCs w:val="24"/>
        </w:rPr>
      </w:pPr>
      <w:r>
        <w:rPr>
          <w:rFonts w:hint="eastAsia" w:ascii="宋体" w:hAnsi="宋体" w:cs="宋体"/>
          <w:szCs w:val="24"/>
        </w:rPr>
        <w:t>陈佳.企业应收账款管理存在的问题及对策研究[J].财富时代,2020(09):167-168.</w:t>
      </w:r>
    </w:p>
    <w:p>
      <w:pPr>
        <w:pStyle w:val="17"/>
        <w:numPr>
          <w:ilvl w:val="0"/>
          <w:numId w:val="2"/>
        </w:numPr>
        <w:snapToGrid w:val="0"/>
        <w:jc w:val="both"/>
        <w:rPr>
          <w:rFonts w:ascii="宋体" w:hAnsi="宋体" w:cs="宋体"/>
          <w:szCs w:val="24"/>
        </w:rPr>
      </w:pPr>
      <w:r>
        <w:rPr>
          <w:rFonts w:hint="eastAsia" w:ascii="宋体" w:hAnsi="宋体" w:cs="宋体"/>
          <w:szCs w:val="24"/>
        </w:rPr>
        <w:t>张素琴.内部控制方法在企业应收账款的应用分析[J].财经界,2020(28):122-123.</w:t>
      </w:r>
    </w:p>
    <w:p>
      <w:pPr>
        <w:pStyle w:val="17"/>
        <w:numPr>
          <w:ilvl w:val="0"/>
          <w:numId w:val="2"/>
        </w:numPr>
        <w:snapToGrid w:val="0"/>
        <w:jc w:val="both"/>
        <w:rPr>
          <w:rFonts w:ascii="宋体" w:hAnsi="宋体" w:cs="宋体"/>
          <w:szCs w:val="24"/>
        </w:rPr>
      </w:pPr>
      <w:r>
        <w:rPr>
          <w:rFonts w:hint="eastAsia" w:ascii="宋体" w:hAnsi="宋体" w:cs="宋体"/>
          <w:szCs w:val="24"/>
        </w:rPr>
        <w:t>钟丽灵.企业应收账款管理存在的问题与对策研究[J].现代商   业,2020(26):101-102.</w:t>
      </w:r>
    </w:p>
    <w:p>
      <w:pPr>
        <w:pStyle w:val="17"/>
        <w:numPr>
          <w:ilvl w:val="0"/>
          <w:numId w:val="2"/>
        </w:numPr>
        <w:snapToGrid w:val="0"/>
        <w:jc w:val="both"/>
        <w:rPr>
          <w:rFonts w:ascii="宋体" w:hAnsi="宋体" w:cs="宋体"/>
          <w:szCs w:val="24"/>
        </w:rPr>
      </w:pPr>
      <w:r>
        <w:rPr>
          <w:rFonts w:hint="eastAsia" w:ascii="宋体" w:hAnsi="宋体" w:cs="宋体"/>
          <w:szCs w:val="24"/>
        </w:rPr>
        <w:t>张庆慧.制造业企业加强应收账款管理的路径探究[J].财经界,2020(29):137-138.</w:t>
      </w:r>
    </w:p>
    <w:p>
      <w:pPr>
        <w:pStyle w:val="17"/>
        <w:numPr>
          <w:ilvl w:val="0"/>
          <w:numId w:val="2"/>
        </w:numPr>
        <w:snapToGrid w:val="0"/>
        <w:jc w:val="both"/>
        <w:rPr>
          <w:rFonts w:ascii="宋体" w:hAnsi="宋体" w:cs="宋体"/>
          <w:szCs w:val="24"/>
        </w:rPr>
      </w:pPr>
      <w:r>
        <w:rPr>
          <w:rFonts w:hint="eastAsia" w:ascii="宋体" w:hAnsi="宋体" w:cs="宋体"/>
          <w:szCs w:val="24"/>
        </w:rPr>
        <w:t>司徒美婷.中小企业应收账款管理的问题与对策探讨[J].财经界,2020(30):110-111.</w:t>
      </w:r>
    </w:p>
    <w:p>
      <w:pPr>
        <w:pStyle w:val="17"/>
        <w:numPr>
          <w:ilvl w:val="0"/>
          <w:numId w:val="2"/>
        </w:numPr>
        <w:snapToGrid w:val="0"/>
        <w:jc w:val="both"/>
        <w:rPr>
          <w:rFonts w:ascii="宋体" w:hAnsi="宋体" w:cs="宋体"/>
          <w:szCs w:val="24"/>
        </w:rPr>
      </w:pPr>
      <w:r>
        <w:rPr>
          <w:rFonts w:hint="eastAsia" w:ascii="宋体" w:hAnsi="宋体" w:cs="宋体"/>
          <w:szCs w:val="24"/>
        </w:rPr>
        <w:t>李永清.国有企业应收账款管理存在的问题及对策[J].财富时代,2020(09):187-188.</w:t>
      </w:r>
    </w:p>
    <w:p>
      <w:pPr>
        <w:pStyle w:val="17"/>
        <w:numPr>
          <w:ilvl w:val="0"/>
          <w:numId w:val="2"/>
        </w:numPr>
        <w:snapToGrid w:val="0"/>
        <w:jc w:val="both"/>
        <w:rPr>
          <w:rFonts w:ascii="宋体" w:hAnsi="宋体" w:cs="宋体"/>
          <w:szCs w:val="24"/>
        </w:rPr>
      </w:pPr>
      <w:r>
        <w:rPr>
          <w:rFonts w:ascii="宋体" w:hAnsi="宋体" w:cs="宋体"/>
          <w:szCs w:val="24"/>
        </w:rPr>
        <w:t>余颖.制造业企业营运资金管理存在的问题及对策探讨[J].企业改革与管理,2020(18):179-180.</w:t>
      </w:r>
    </w:p>
    <w:p>
      <w:pPr>
        <w:pStyle w:val="17"/>
        <w:numPr>
          <w:ilvl w:val="0"/>
          <w:numId w:val="2"/>
        </w:numPr>
        <w:snapToGrid w:val="0"/>
        <w:jc w:val="both"/>
        <w:rPr>
          <w:rFonts w:ascii="宋体" w:hAnsi="宋体" w:cs="宋体"/>
          <w:szCs w:val="24"/>
        </w:rPr>
      </w:pPr>
      <w:r>
        <w:rPr>
          <w:rFonts w:ascii="宋体" w:hAnsi="宋体" w:cs="宋体"/>
          <w:szCs w:val="24"/>
        </w:rPr>
        <w:t>张庆慧.制造业企业加强应收账款管理的路径探究[J].财经界,2020(29):137-138.</w:t>
      </w:r>
    </w:p>
    <w:p>
      <w:pPr>
        <w:pStyle w:val="17"/>
        <w:numPr>
          <w:ilvl w:val="0"/>
          <w:numId w:val="2"/>
        </w:numPr>
        <w:snapToGrid w:val="0"/>
        <w:jc w:val="both"/>
        <w:rPr>
          <w:rFonts w:ascii="宋体" w:hAnsi="宋体" w:cs="宋体"/>
          <w:szCs w:val="24"/>
        </w:rPr>
      </w:pPr>
      <w:r>
        <w:rPr>
          <w:rFonts w:ascii="宋体" w:hAnsi="宋体" w:cs="宋体"/>
          <w:szCs w:val="24"/>
        </w:rPr>
        <w:t>王春燕.中小企业财务风险管理问题研究[J].商业会计,2020(17):102-104.</w:t>
      </w:r>
    </w:p>
    <w:p>
      <w:pPr>
        <w:pStyle w:val="17"/>
        <w:numPr>
          <w:ilvl w:val="0"/>
          <w:numId w:val="2"/>
        </w:numPr>
        <w:snapToGrid w:val="0"/>
        <w:jc w:val="both"/>
        <w:rPr>
          <w:rFonts w:ascii="宋体" w:hAnsi="宋体" w:cs="宋体"/>
          <w:szCs w:val="24"/>
        </w:rPr>
      </w:pPr>
      <w:r>
        <w:rPr>
          <w:rFonts w:ascii="宋体" w:hAnsi="宋体" w:cs="宋体"/>
          <w:szCs w:val="24"/>
        </w:rPr>
        <w:t>龙国胜.企业应收账款管理研究[J].财会学习,2020(23):110-111.</w:t>
      </w:r>
    </w:p>
    <w:p>
      <w:pPr>
        <w:pStyle w:val="17"/>
        <w:numPr>
          <w:ilvl w:val="0"/>
          <w:numId w:val="2"/>
        </w:numPr>
        <w:snapToGrid w:val="0"/>
        <w:jc w:val="both"/>
        <w:rPr>
          <w:rFonts w:ascii="宋体" w:hAnsi="宋体" w:cs="宋体"/>
          <w:szCs w:val="24"/>
        </w:rPr>
      </w:pPr>
      <w:r>
        <w:rPr>
          <w:rFonts w:ascii="宋体" w:hAnsi="宋体" w:cs="宋体"/>
          <w:szCs w:val="24"/>
        </w:rPr>
        <w:t>王洁林.浅谈企业应收账款管理[J].中国市场,2020(25):90-91.</w:t>
      </w:r>
    </w:p>
    <w:p>
      <w:pPr>
        <w:pStyle w:val="17"/>
        <w:numPr>
          <w:ilvl w:val="0"/>
          <w:numId w:val="2"/>
        </w:numPr>
        <w:snapToGrid w:val="0"/>
        <w:jc w:val="both"/>
        <w:rPr>
          <w:rFonts w:ascii="宋体" w:hAnsi="宋体" w:cs="宋体"/>
          <w:szCs w:val="24"/>
        </w:rPr>
      </w:pPr>
      <w:r>
        <w:rPr>
          <w:rFonts w:ascii="宋体" w:hAnsi="宋体" w:cs="宋体"/>
          <w:szCs w:val="24"/>
        </w:rPr>
        <w:t>谭新艳.中小企业内部控制流程再造[J].商业会计,2020(16):63-67.</w:t>
      </w:r>
    </w:p>
    <w:p>
      <w:pPr>
        <w:pStyle w:val="17"/>
        <w:numPr>
          <w:ilvl w:val="0"/>
          <w:numId w:val="2"/>
        </w:numPr>
        <w:snapToGrid w:val="0"/>
        <w:jc w:val="both"/>
        <w:rPr>
          <w:rFonts w:ascii="宋体" w:hAnsi="宋体" w:cs="宋体"/>
          <w:szCs w:val="24"/>
        </w:rPr>
      </w:pPr>
      <w:r>
        <w:rPr>
          <w:rFonts w:ascii="宋体" w:hAnsi="宋体" w:cs="宋体"/>
          <w:szCs w:val="24"/>
        </w:rPr>
        <w:t>侯晶晶.浅谈企业应收账款管理及应对措施[J].纳税,2020,14(25):159-160.</w:t>
      </w:r>
    </w:p>
    <w:p>
      <w:pPr>
        <w:pStyle w:val="17"/>
        <w:numPr>
          <w:ilvl w:val="0"/>
          <w:numId w:val="2"/>
        </w:numPr>
        <w:snapToGrid w:val="0"/>
        <w:jc w:val="both"/>
        <w:rPr>
          <w:rFonts w:ascii="宋体" w:hAnsi="宋体" w:cs="宋体"/>
          <w:szCs w:val="24"/>
        </w:rPr>
      </w:pPr>
      <w:r>
        <w:rPr>
          <w:rFonts w:ascii="宋体" w:hAnsi="宋体" w:cs="宋体"/>
          <w:szCs w:val="24"/>
        </w:rPr>
        <w:t>田艳杰.我国企业信用管理对策研究[J].时代金融,2020(24):54-55.</w:t>
      </w:r>
    </w:p>
    <w:p>
      <w:pPr>
        <w:pStyle w:val="17"/>
        <w:numPr>
          <w:ilvl w:val="0"/>
          <w:numId w:val="2"/>
        </w:numPr>
        <w:snapToGrid w:val="0"/>
        <w:jc w:val="both"/>
        <w:rPr>
          <w:rFonts w:ascii="宋体" w:hAnsi="宋体" w:cs="宋体"/>
          <w:szCs w:val="24"/>
        </w:rPr>
      </w:pPr>
      <w:r>
        <w:rPr>
          <w:rFonts w:ascii="宋体" w:hAnsi="宋体" w:cs="宋体"/>
          <w:szCs w:val="24"/>
        </w:rPr>
        <w:t>魏贝妮.H公司营运资金管理存在的问题及对策[J].财富时代,2020(08):77-78.</w:t>
      </w:r>
    </w:p>
    <w:p>
      <w:pPr>
        <w:pStyle w:val="17"/>
        <w:numPr>
          <w:ilvl w:val="0"/>
          <w:numId w:val="2"/>
        </w:numPr>
        <w:snapToGrid w:val="0"/>
        <w:jc w:val="both"/>
        <w:rPr>
          <w:rFonts w:ascii="宋体" w:hAnsi="宋体" w:cs="宋体"/>
          <w:szCs w:val="24"/>
        </w:rPr>
      </w:pPr>
      <w:r>
        <w:rPr>
          <w:rFonts w:ascii="宋体" w:hAnsi="宋体" w:cs="宋体"/>
          <w:szCs w:val="24"/>
        </w:rPr>
        <w:t>憨芬竹.如何加强企业应收账款的管理[J].财会学习,2020(24):103-104.</w:t>
      </w:r>
    </w:p>
    <w:p>
      <w:pPr>
        <w:pStyle w:val="17"/>
        <w:numPr>
          <w:ilvl w:val="0"/>
          <w:numId w:val="2"/>
        </w:numPr>
        <w:snapToGrid w:val="0"/>
        <w:jc w:val="both"/>
        <w:rPr>
          <w:rFonts w:ascii="宋体" w:hAnsi="宋体" w:cs="宋体"/>
          <w:szCs w:val="24"/>
        </w:rPr>
      </w:pPr>
      <w:r>
        <w:rPr>
          <w:rFonts w:ascii="宋体" w:hAnsi="宋体" w:cs="宋体"/>
          <w:szCs w:val="24"/>
        </w:rPr>
        <w:t>贾宜.企业应收账款管理问题研究[J].商场现代化,2020(15):158-160.</w:t>
      </w:r>
    </w:p>
    <w:p>
      <w:pPr>
        <w:pStyle w:val="17"/>
        <w:keepNext w:val="0"/>
        <w:keepLines w:val="0"/>
        <w:pageBreakBefore w:val="0"/>
        <w:widowControl w:val="0"/>
        <w:numPr>
          <w:numId w:val="0"/>
        </w:numPr>
        <w:kinsoku/>
        <w:wordWrap/>
        <w:overflowPunct/>
        <w:topLinePunct w:val="0"/>
        <w:autoSpaceDE/>
        <w:autoSpaceDN/>
        <w:bidi w:val="0"/>
        <w:adjustRightInd/>
        <w:snapToGrid w:val="0"/>
        <w:spacing w:line="360" w:lineRule="auto"/>
        <w:ind w:right="105" w:rightChars="50"/>
        <w:jc w:val="center"/>
        <w:textAlignment w:val="auto"/>
        <w:rPr>
          <w:rFonts w:ascii="宋体" w:hAnsi="宋体" w:cs="宋体"/>
          <w:szCs w:val="24"/>
        </w:rPr>
      </w:pPr>
      <w:r>
        <w:rPr>
          <w:rFonts w:ascii="宋体" w:hAnsi="宋体" w:cs="宋体"/>
          <w:szCs w:val="24"/>
        </w:rPr>
        <w:br w:type="page"/>
      </w:r>
    </w:p>
    <w:p>
      <w:pPr>
        <w:spacing w:before="312" w:beforeLines="100" w:after="312" w:afterLines="100" w:line="360" w:lineRule="auto"/>
        <w:jc w:val="center"/>
        <w:outlineLvl w:val="0"/>
        <w:rPr>
          <w:rFonts w:hint="eastAsia" w:ascii="黑体" w:hAnsi="黑体" w:eastAsia="黑体" w:cs="黑体"/>
          <w:sz w:val="30"/>
          <w:szCs w:val="30"/>
        </w:rPr>
      </w:pPr>
      <w:r>
        <w:rPr>
          <w:rFonts w:hint="eastAsia" w:ascii="黑体" w:hAnsi="黑体" w:eastAsia="黑体" w:cs="黑体"/>
          <w:sz w:val="30"/>
          <w:szCs w:val="30"/>
          <w:lang w:val="en-US" w:eastAsia="zh-CN"/>
        </w:rPr>
        <w:t>致  谢</w:t>
      </w:r>
      <w:bookmarkStart w:id="19" w:name="_GoBack"/>
      <w:bookmarkEnd w:id="19"/>
    </w:p>
    <w:p>
      <w:pPr>
        <w:widowControl/>
        <w:spacing w:line="360" w:lineRule="auto"/>
        <w:ind w:firstLine="540" w:firstLineChars="200"/>
        <w:rPr>
          <w:rFonts w:ascii="宋体" w:hAnsi="宋体" w:eastAsia="宋体"/>
          <w:color w:val="000000"/>
          <w:spacing w:val="15"/>
          <w:sz w:val="24"/>
          <w:szCs w:val="24"/>
          <w:shd w:val="clear" w:color="auto" w:fill="FFFFFF"/>
        </w:rPr>
      </w:pPr>
      <w:r>
        <w:rPr>
          <w:rFonts w:hint="eastAsia" w:ascii="宋体" w:hAnsi="宋体" w:eastAsia="宋体"/>
          <w:color w:val="000000"/>
          <w:spacing w:val="15"/>
          <w:sz w:val="24"/>
          <w:szCs w:val="24"/>
          <w:shd w:val="clear" w:color="auto" w:fill="FFFFFF"/>
        </w:rPr>
        <w:t>非常感谢</w:t>
      </w:r>
      <w:r>
        <w:rPr>
          <w:rFonts w:hint="eastAsia" w:ascii="宋体" w:hAnsi="宋体" w:eastAsia="宋体" w:cs="宋体"/>
          <w:sz w:val="24"/>
          <w:szCs w:val="24"/>
        </w:rPr>
        <w:t>王逸宁老师</w:t>
      </w:r>
      <w:r>
        <w:rPr>
          <w:rFonts w:hint="eastAsia" w:ascii="宋体" w:hAnsi="宋体" w:eastAsia="宋体"/>
          <w:color w:val="000000"/>
          <w:spacing w:val="15"/>
          <w:sz w:val="24"/>
          <w:szCs w:val="24"/>
          <w:shd w:val="clear" w:color="auto" w:fill="FFFFFF"/>
        </w:rPr>
        <w:t>在我本科学习的最后阶段对我的指导，从最初的定题，到资料收集，到写作、修改，到论文定稿，她都给了我耐心的指导和无私的帮助。为了指导我的毕业论文，她放弃了自己的休息时间，这种无私奉献的敬业精神令人钦佩，在此我向她表示我诚挚的谢意!</w:t>
      </w:r>
    </w:p>
    <w:p>
      <w:pPr>
        <w:widowControl/>
        <w:spacing w:line="360" w:lineRule="auto"/>
        <w:ind w:firstLine="540" w:firstLineChars="200"/>
        <w:rPr>
          <w:rFonts w:ascii="宋体" w:hAnsi="宋体" w:eastAsia="宋体"/>
          <w:color w:val="000000"/>
          <w:spacing w:val="15"/>
          <w:sz w:val="24"/>
          <w:szCs w:val="24"/>
          <w:shd w:val="clear" w:color="auto" w:fill="FFFFFF"/>
        </w:rPr>
      </w:pPr>
    </w:p>
    <w:p>
      <w:pPr>
        <w:widowControl/>
        <w:spacing w:line="360" w:lineRule="auto"/>
        <w:ind w:firstLine="540" w:firstLineChars="200"/>
        <w:rPr>
          <w:rFonts w:ascii="宋体" w:hAnsi="宋体" w:eastAsia="宋体"/>
          <w:color w:val="000000"/>
          <w:spacing w:val="15"/>
          <w:sz w:val="24"/>
          <w:szCs w:val="24"/>
          <w:shd w:val="clear" w:color="auto" w:fill="FFFFFF"/>
        </w:rPr>
      </w:pPr>
    </w:p>
    <w:p>
      <w:pPr>
        <w:widowControl/>
        <w:spacing w:line="360" w:lineRule="auto"/>
        <w:jc w:val="right"/>
        <w:rPr>
          <w:rFonts w:ascii="宋体" w:hAnsi="宋体" w:eastAsia="宋体"/>
          <w:color w:val="000000"/>
          <w:spacing w:val="15"/>
          <w:sz w:val="24"/>
          <w:szCs w:val="24"/>
          <w:shd w:val="clear" w:color="auto" w:fill="FFFFFF"/>
        </w:rPr>
      </w:pPr>
      <w:r>
        <w:rPr>
          <w:rFonts w:hint="eastAsia" w:ascii="宋体" w:hAnsi="宋体" w:eastAsia="宋体"/>
          <w:color w:val="000000"/>
          <w:spacing w:val="15"/>
          <w:sz w:val="24"/>
          <w:szCs w:val="24"/>
          <w:shd w:val="clear" w:color="auto" w:fill="FFFFFF"/>
        </w:rPr>
        <w:t>致谢人:朱琳</w:t>
      </w:r>
    </w:p>
    <w:p>
      <w:pPr>
        <w:widowControl/>
        <w:spacing w:line="360" w:lineRule="auto"/>
        <w:jc w:val="right"/>
        <w:rPr>
          <w:rFonts w:hint="eastAsia" w:ascii="宋体" w:hAnsi="宋体" w:eastAsia="宋体"/>
          <w:color w:val="000000"/>
          <w:spacing w:val="15"/>
          <w:sz w:val="24"/>
          <w:szCs w:val="24"/>
          <w:shd w:val="clear" w:color="auto" w:fill="FFFFFF"/>
        </w:rPr>
      </w:pPr>
      <w:r>
        <w:rPr>
          <w:rFonts w:hint="eastAsia" w:ascii="宋体" w:hAnsi="宋体" w:eastAsia="宋体"/>
          <w:color w:val="000000"/>
          <w:spacing w:val="15"/>
          <w:sz w:val="24"/>
          <w:szCs w:val="24"/>
          <w:shd w:val="clear" w:color="auto" w:fill="FFFFFF"/>
        </w:rPr>
        <w:t>2</w:t>
      </w:r>
      <w:r>
        <w:rPr>
          <w:rFonts w:ascii="宋体" w:hAnsi="宋体" w:eastAsia="宋体"/>
          <w:color w:val="000000"/>
          <w:spacing w:val="15"/>
          <w:sz w:val="24"/>
          <w:szCs w:val="24"/>
          <w:shd w:val="clear" w:color="auto" w:fill="FFFFFF"/>
        </w:rPr>
        <w:t>020</w:t>
      </w:r>
      <w:r>
        <w:rPr>
          <w:rFonts w:hint="eastAsia" w:ascii="宋体" w:hAnsi="宋体" w:eastAsia="宋体"/>
          <w:color w:val="000000"/>
          <w:spacing w:val="15"/>
          <w:sz w:val="24"/>
          <w:szCs w:val="24"/>
          <w:shd w:val="clear" w:color="auto" w:fill="FFFFFF"/>
        </w:rPr>
        <w:t>年1</w:t>
      </w:r>
      <w:r>
        <w:rPr>
          <w:rFonts w:ascii="宋体" w:hAnsi="宋体" w:eastAsia="宋体"/>
          <w:color w:val="000000"/>
          <w:spacing w:val="15"/>
          <w:sz w:val="24"/>
          <w:szCs w:val="24"/>
          <w:shd w:val="clear" w:color="auto" w:fill="FFFFFF"/>
        </w:rPr>
        <w:t>0</w:t>
      </w:r>
      <w:r>
        <w:rPr>
          <w:rFonts w:hint="eastAsia" w:ascii="宋体" w:hAnsi="宋体" w:eastAsia="宋体"/>
          <w:color w:val="000000"/>
          <w:spacing w:val="15"/>
          <w:sz w:val="24"/>
          <w:szCs w:val="24"/>
          <w:shd w:val="clear" w:color="auto" w:fill="FFFFFF"/>
        </w:rPr>
        <w:t>月2</w:t>
      </w:r>
      <w:r>
        <w:rPr>
          <w:rFonts w:ascii="宋体" w:hAnsi="宋体" w:eastAsia="宋体"/>
          <w:color w:val="000000"/>
          <w:spacing w:val="15"/>
          <w:sz w:val="24"/>
          <w:szCs w:val="24"/>
          <w:shd w:val="clear" w:color="auto" w:fill="FFFFFF"/>
        </w:rPr>
        <w:t>1</w:t>
      </w:r>
      <w:r>
        <w:rPr>
          <w:rFonts w:hint="eastAsia" w:ascii="宋体" w:hAnsi="宋体" w:eastAsia="宋体"/>
          <w:color w:val="000000"/>
          <w:spacing w:val="15"/>
          <w:sz w:val="24"/>
          <w:szCs w:val="24"/>
          <w:shd w:val="clear" w:color="auto" w:fill="FFFFFF"/>
        </w:rPr>
        <w:t>日</w:t>
      </w:r>
    </w:p>
    <w:sectPr>
      <w:pgSz w:w="11906" w:h="16838"/>
      <w:pgMar w:top="1417" w:right="1134" w:bottom="1417" w:left="1701"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3472982"/>
      <w:docPartObj>
        <w:docPartGallery w:val="AutoText"/>
      </w:docPartObj>
    </w:sdtPr>
    <w:sdtContent>
      <w:p>
        <w:pPr>
          <w:pStyle w:val="4"/>
          <w:spacing w:line="360" w:lineRule="auto"/>
          <w:jc w:val="center"/>
        </w:pPr>
        <w:r>
          <w:rPr>
            <w:rFonts w:ascii="宋体" w:hAnsi="宋体" w:eastAsia="宋体"/>
          </w:rPr>
          <w:fldChar w:fldCharType="begin"/>
        </w:r>
        <w:r>
          <w:rPr>
            <w:rFonts w:ascii="宋体" w:hAnsi="宋体" w:eastAsia="宋体"/>
          </w:rPr>
          <w:instrText xml:space="preserve">PAGE   \* MERGEFORMAT</w:instrText>
        </w:r>
        <w:r>
          <w:rPr>
            <w:rFonts w:ascii="宋体" w:hAnsi="宋体" w:eastAsia="宋体"/>
          </w:rPr>
          <w:fldChar w:fldCharType="separate"/>
        </w:r>
        <w:r>
          <w:rPr>
            <w:rFonts w:ascii="宋体" w:hAnsi="宋体" w:eastAsia="宋体"/>
            <w:lang w:val="zh-CN"/>
          </w:rPr>
          <w:t>2</w:t>
        </w:r>
        <w:r>
          <w:rPr>
            <w:rFonts w:ascii="宋体" w:hAnsi="宋体" w:eastAsia="宋体"/>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rPr>
        <w:rFonts w:ascii="宋体" w:hAnsi="宋体" w:eastAsia="宋体" w:cs="宋体"/>
        <w:sz w:val="21"/>
        <w:szCs w:val="21"/>
      </w:rPr>
    </w:pPr>
    <w:r>
      <w:rPr>
        <w:rFonts w:hint="eastAsia" w:ascii="宋体" w:hAnsi="宋体" w:eastAsia="宋体" w:cs="宋体"/>
        <w:sz w:val="21"/>
        <w:szCs w:val="21"/>
      </w:rPr>
      <w:t>上海立信会计金融学院普通本科生毕业论文（设计）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7FEEE4"/>
    <w:multiLevelType w:val="singleLevel"/>
    <w:tmpl w:val="A17FEEE4"/>
    <w:lvl w:ilvl="0" w:tentative="0">
      <w:start w:val="1"/>
      <w:numFmt w:val="decimal"/>
      <w:suff w:val="space"/>
      <w:lvlText w:val="[%1]"/>
      <w:lvlJc w:val="left"/>
    </w:lvl>
  </w:abstractNum>
  <w:abstractNum w:abstractNumId="1">
    <w:nsid w:val="69315F56"/>
    <w:multiLevelType w:val="singleLevel"/>
    <w:tmpl w:val="69315F56"/>
    <w:lvl w:ilvl="0" w:tentative="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3D"/>
    <w:rsid w:val="00096407"/>
    <w:rsid w:val="000A7565"/>
    <w:rsid w:val="00132CCB"/>
    <w:rsid w:val="00153EC0"/>
    <w:rsid w:val="00187FDA"/>
    <w:rsid w:val="00227965"/>
    <w:rsid w:val="00234E63"/>
    <w:rsid w:val="002462C0"/>
    <w:rsid w:val="00263BFA"/>
    <w:rsid w:val="00291BC5"/>
    <w:rsid w:val="0029593D"/>
    <w:rsid w:val="003046F0"/>
    <w:rsid w:val="0036732F"/>
    <w:rsid w:val="00420FEB"/>
    <w:rsid w:val="004D6EDF"/>
    <w:rsid w:val="004F3223"/>
    <w:rsid w:val="00536ED9"/>
    <w:rsid w:val="005711DA"/>
    <w:rsid w:val="005B72F8"/>
    <w:rsid w:val="006050CC"/>
    <w:rsid w:val="00644934"/>
    <w:rsid w:val="006A3E8B"/>
    <w:rsid w:val="00732234"/>
    <w:rsid w:val="007D4A70"/>
    <w:rsid w:val="008068E7"/>
    <w:rsid w:val="008F552E"/>
    <w:rsid w:val="00945515"/>
    <w:rsid w:val="00994242"/>
    <w:rsid w:val="009955A2"/>
    <w:rsid w:val="00997864"/>
    <w:rsid w:val="009C3E5F"/>
    <w:rsid w:val="00A420CE"/>
    <w:rsid w:val="00A8302C"/>
    <w:rsid w:val="00B61E39"/>
    <w:rsid w:val="00B8116F"/>
    <w:rsid w:val="00B82BB1"/>
    <w:rsid w:val="00BC4729"/>
    <w:rsid w:val="00BC5AA8"/>
    <w:rsid w:val="00C91593"/>
    <w:rsid w:val="00CB56EB"/>
    <w:rsid w:val="00DC58FA"/>
    <w:rsid w:val="00E12E04"/>
    <w:rsid w:val="00FB3FF3"/>
    <w:rsid w:val="00FB790B"/>
    <w:rsid w:val="06AE6C40"/>
    <w:rsid w:val="0F78472A"/>
    <w:rsid w:val="10CF43EE"/>
    <w:rsid w:val="18AD53C2"/>
    <w:rsid w:val="19CD0488"/>
    <w:rsid w:val="20F4171A"/>
    <w:rsid w:val="25213D75"/>
    <w:rsid w:val="270554B2"/>
    <w:rsid w:val="296F1BBA"/>
    <w:rsid w:val="2D5E3AE7"/>
    <w:rsid w:val="2EF13DC3"/>
    <w:rsid w:val="31E14E63"/>
    <w:rsid w:val="32072E5B"/>
    <w:rsid w:val="3BB23169"/>
    <w:rsid w:val="3E7A7270"/>
    <w:rsid w:val="3EB828B4"/>
    <w:rsid w:val="405A7A04"/>
    <w:rsid w:val="43872240"/>
    <w:rsid w:val="441E1183"/>
    <w:rsid w:val="4831378A"/>
    <w:rsid w:val="4C554710"/>
    <w:rsid w:val="55FE1F69"/>
    <w:rsid w:val="5B5C69DF"/>
    <w:rsid w:val="5E191341"/>
    <w:rsid w:val="5FAA7E62"/>
    <w:rsid w:val="60A044A2"/>
    <w:rsid w:val="623E2347"/>
    <w:rsid w:val="64656175"/>
    <w:rsid w:val="646D3800"/>
    <w:rsid w:val="6CA507EE"/>
    <w:rsid w:val="6E847DFA"/>
    <w:rsid w:val="6EB91EE8"/>
    <w:rsid w:val="710E47B6"/>
    <w:rsid w:val="71257034"/>
    <w:rsid w:val="721111E7"/>
    <w:rsid w:val="76A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nhideWhenUsed/>
    <w:uiPriority w:val="39"/>
  </w:style>
  <w:style w:type="paragraph" w:styleId="7">
    <w:name w:val="toc 2"/>
    <w:basedOn w:val="1"/>
    <w:next w:val="1"/>
    <w:semiHidden/>
    <w:unhideWhenUsed/>
    <w:uiPriority w:val="39"/>
    <w:pPr>
      <w:ind w:left="420" w:leftChars="200"/>
    </w:pPr>
  </w:style>
  <w:style w:type="character" w:styleId="10">
    <w:name w:val="Hyperlink"/>
    <w:basedOn w:val="9"/>
    <w:semiHidden/>
    <w:unhideWhenUsed/>
    <w:qFormat/>
    <w:uiPriority w:val="99"/>
    <w:rPr>
      <w:color w:val="0000FF"/>
      <w:u w:val="single"/>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self正文一级标题"/>
    <w:basedOn w:val="13"/>
    <w:qFormat/>
    <w:uiPriority w:val="0"/>
    <w:pPr>
      <w:spacing w:before="100" w:beforeLines="100" w:after="50" w:afterLines="50" w:line="360" w:lineRule="auto"/>
      <w:ind w:left="420" w:leftChars="200" w:firstLine="0" w:firstLineChars="0"/>
      <w:jc w:val="left"/>
    </w:pPr>
    <w:rPr>
      <w:rFonts w:eastAsia="黑体"/>
      <w:sz w:val="30"/>
    </w:rPr>
  </w:style>
  <w:style w:type="paragraph" w:customStyle="1" w:styleId="15">
    <w:name w:val="self二级标题"/>
    <w:basedOn w:val="16"/>
    <w:qFormat/>
    <w:uiPriority w:val="0"/>
    <w:pPr>
      <w:spacing w:before="50" w:beforeLines="50"/>
      <w:ind w:left="420" w:leftChars="200" w:firstLine="0" w:firstLineChars="0"/>
      <w:jc w:val="left"/>
    </w:pPr>
    <w:rPr>
      <w:rFonts w:eastAsia="黑体"/>
      <w:sz w:val="28"/>
    </w:rPr>
  </w:style>
  <w:style w:type="paragraph" w:customStyle="1" w:styleId="16">
    <w:name w:val="self正文格式"/>
    <w:basedOn w:val="1"/>
    <w:qFormat/>
    <w:uiPriority w:val="0"/>
    <w:pPr>
      <w:spacing w:line="360" w:lineRule="auto"/>
      <w:ind w:firstLine="1440" w:firstLineChars="200"/>
    </w:pPr>
    <w:rPr>
      <w:rFonts w:eastAsia="宋体"/>
      <w:sz w:val="24"/>
    </w:rPr>
  </w:style>
  <w:style w:type="paragraph" w:customStyle="1" w:styleId="17">
    <w:name w:val="self参考文献"/>
    <w:basedOn w:val="16"/>
    <w:qFormat/>
    <w:uiPriority w:val="0"/>
    <w:pPr>
      <w:ind w:firstLine="0" w:firstLineChars="0"/>
      <w:jc w:val="left"/>
    </w:p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uiPriority w:val="0"/>
    <w:pPr>
      <w:ind w:left="200" w:leftChars="200"/>
    </w:pPr>
    <w:rPr>
      <w:rFonts w:ascii="Times New Roman" w:hAnsi="Times New Roman" w:eastAsia="宋体" w:cs="Times New Roman"/>
      <w:lang w:val="en-US" w:eastAsia="zh-CN" w:bidi="ar-SA"/>
    </w:rPr>
  </w:style>
  <w:style w:type="character" w:customStyle="1" w:styleId="20">
    <w:name w:val="批注框文本 字符"/>
    <w:basedOn w:val="9"/>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CB610-4E55-487B-9177-AF7AA76429B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1396</Words>
  <Characters>7963</Characters>
  <Lines>66</Lines>
  <Paragraphs>18</Paragraphs>
  <TotalTime>2</TotalTime>
  <ScaleCrop>false</ScaleCrop>
  <LinksUpToDate>false</LinksUpToDate>
  <CharactersWithSpaces>9341</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2020-10-20T12:11:00Z</dcterms:created>
  <dc:creator>陈 暄翊</dc:creator>
  <cp:lastModifiedBy>Administrator</cp:lastModifiedBy>
  <cp:lastPrinted>2020-10-21T04:19:00Z</cp:lastPrinted>
  <dcterms:modified xsi:type="dcterms:W3CDTF">2020-10-24T08:31:33Z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