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36"/>
        </w:rPr>
        <w:t>DOCUMENTO 1 — FICHA TÉCNICA DE SOFTWARE</w:t>
      </w:r>
    </w:p>
    <w:p>
      <w:pPr>
        <w:jc w:val="center"/>
      </w:pPr>
      <w:r>
        <w:rPr>
          <w:rFonts w:ascii="Arial" w:hAnsi="Arial"/>
          <w:i/>
          <w:sz w:val="22"/>
        </w:rPr>
        <w:t>Sistema web de comercio electrónico con modelo de inteligencia artificial para la predicción del riesgo empresarial en la empresa Calzatura Vilchez</w:t>
      </w:r>
    </w:p>
    <w:p>
      <w:pPr>
        <w:jc w:val="center"/>
      </w:pPr>
      <w:r>
        <w:rPr>
          <w:b/>
        </w:rPr>
        <w:t>Fecha de elaboración: 30/05/2026</w:t>
      </w:r>
    </w:p>
    <w:p/>
    <w:tbl>
      <w:tblPr>
        <w:tblW w:type="auto" w:w="0"/>
        <w:jc w:val="center"/>
        <w:tblLook w:firstColumn="1" w:firstRow="1" w:lastColumn="0" w:lastRow="0" w:noHBand="0" w:noVBand="1" w:val="04A0"/>
      </w:tblPr>
      <w:tblGrid>
        <w:gridCol w:w="10368"/>
      </w:tblGrid>
      <w:tr>
        <w:tc>
          <w:tcPr>
            <w:tcW w:type="dxa" w:w="10368"/>
            <w:shd w:fill="EAF2F8"/>
          </w:tcPr>
          <w:p>
            <w:r>
              <w:rPr>
                <w:b/>
                <w:sz w:val="18"/>
              </w:rPr>
              <w:t>Documento técnico elaborado para identificar, describir y sustentar el sistema web desarrollado. El alcance corresponde al apartado web y sus servicios de soporte: frontend, BFF, base de datos, IA, seguridad, pruebas y despliegue.</w:t>
            </w:r>
          </w:p>
        </w:tc>
      </w:tr>
    </w:tbl>
    <w:p>
      <w:pPr>
        <w:pStyle w:val="Heading1"/>
      </w:pPr>
      <w:r>
        <w:t>1. Datos generales</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2592"/>
            <w:shd w:fill="1F4E79"/>
            <w:vAlign w:val="center"/>
          </w:tcPr>
          <w:p>
            <w:r>
              <w:rPr>
                <w:b/>
                <w:color w:val="FFFFFF"/>
                <w:sz w:val="16"/>
              </w:rPr>
              <w:t>Campo</w:t>
            </w:r>
          </w:p>
        </w:tc>
        <w:tc>
          <w:tcPr>
            <w:tcW w:type="dxa" w:w="8496"/>
            <w:shd w:fill="1F4E79"/>
            <w:vAlign w:val="center"/>
          </w:tcPr>
          <w:p>
            <w:r>
              <w:rPr>
                <w:b/>
                <w:color w:val="FFFFFF"/>
                <w:sz w:val="16"/>
              </w:rPr>
              <w:t>Detalle</w:t>
            </w:r>
          </w:p>
        </w:tc>
      </w:tr>
      <w:tr>
        <w:tc>
          <w:tcPr>
            <w:tcW w:type="dxa" w:w="2592"/>
            <w:vAlign w:val="top"/>
          </w:tcPr>
          <w:p>
            <w:pPr>
              <w:spacing w:after="0"/>
            </w:pPr>
            <w:r>
              <w:rPr>
                <w:sz w:val="16"/>
              </w:rPr>
              <w:t>Nombre del software</w:t>
            </w:r>
          </w:p>
        </w:tc>
        <w:tc>
          <w:tcPr>
            <w:tcW w:type="dxa" w:w="8496"/>
            <w:vAlign w:val="top"/>
          </w:tcPr>
          <w:p>
            <w:pPr>
              <w:spacing w:after="0"/>
            </w:pPr>
            <w:r>
              <w:rPr>
                <w:sz w:val="16"/>
              </w:rPr>
              <w:t>Sistema web Calzatura Vilchez</w:t>
            </w:r>
          </w:p>
        </w:tc>
      </w:tr>
      <w:tr>
        <w:tc>
          <w:tcPr>
            <w:tcW w:type="dxa" w:w="2592"/>
            <w:vAlign w:val="top"/>
          </w:tcPr>
          <w:p>
            <w:pPr>
              <w:spacing w:after="0"/>
            </w:pPr>
            <w:r>
              <w:rPr>
                <w:sz w:val="16"/>
              </w:rPr>
              <w:t>Título técnico del proyecto</w:t>
            </w:r>
          </w:p>
        </w:tc>
        <w:tc>
          <w:tcPr>
            <w:tcW w:type="dxa" w:w="8496"/>
            <w:vAlign w:val="top"/>
          </w:tcPr>
          <w:p>
            <w:pPr>
              <w:spacing w:after="0"/>
            </w:pPr>
            <w:r>
              <w:rPr>
                <w:sz w:val="16"/>
              </w:rPr>
              <w:t>Sistema web de comercio electrónico con modelo de inteligencia artificial para la predicción del riesgo empresarial en la empresa Calzatura Vilchez</w:t>
            </w:r>
          </w:p>
        </w:tc>
      </w:tr>
      <w:tr>
        <w:tc>
          <w:tcPr>
            <w:tcW w:type="dxa" w:w="2592"/>
            <w:vAlign w:val="top"/>
          </w:tcPr>
          <w:p>
            <w:pPr>
              <w:spacing w:after="0"/>
            </w:pPr>
            <w:r>
              <w:rPr>
                <w:sz w:val="16"/>
              </w:rPr>
              <w:t>Autor / desarrollador</w:t>
            </w:r>
          </w:p>
        </w:tc>
        <w:tc>
          <w:tcPr>
            <w:tcW w:type="dxa" w:w="8496"/>
            <w:vAlign w:val="top"/>
          </w:tcPr>
          <w:p>
            <w:pPr>
              <w:spacing w:after="0"/>
            </w:pPr>
            <w:r>
              <w:rPr>
                <w:sz w:val="16"/>
              </w:rPr>
              <w:t>Serpa Sedano Yeferson Wilson</w:t>
            </w:r>
          </w:p>
        </w:tc>
      </w:tr>
      <w:tr>
        <w:tc>
          <w:tcPr>
            <w:tcW w:type="dxa" w:w="2592"/>
            <w:vAlign w:val="top"/>
          </w:tcPr>
          <w:p>
            <w:pPr>
              <w:spacing w:after="0"/>
            </w:pPr>
            <w:r>
              <w:rPr>
                <w:sz w:val="16"/>
              </w:rPr>
              <w:t>Entidad de aplicación</w:t>
            </w:r>
          </w:p>
        </w:tc>
        <w:tc>
          <w:tcPr>
            <w:tcW w:type="dxa" w:w="8496"/>
            <w:vAlign w:val="top"/>
          </w:tcPr>
          <w:p>
            <w:pPr>
              <w:spacing w:after="0"/>
            </w:pPr>
            <w:r>
              <w:rPr>
                <w:sz w:val="16"/>
              </w:rPr>
              <w:t>Calzatura Vilchez</w:t>
            </w:r>
          </w:p>
        </w:tc>
      </w:tr>
      <w:tr>
        <w:tc>
          <w:tcPr>
            <w:tcW w:type="dxa" w:w="2592"/>
            <w:vAlign w:val="top"/>
          </w:tcPr>
          <w:p>
            <w:pPr>
              <w:spacing w:after="0"/>
            </w:pPr>
            <w:r>
              <w:rPr>
                <w:sz w:val="16"/>
              </w:rPr>
              <w:t>Fecha de elaboración</w:t>
            </w:r>
          </w:p>
        </w:tc>
        <w:tc>
          <w:tcPr>
            <w:tcW w:type="dxa" w:w="8496"/>
            <w:vAlign w:val="top"/>
          </w:tcPr>
          <w:p>
            <w:pPr>
              <w:spacing w:after="0"/>
            </w:pPr>
            <w:r>
              <w:rPr>
                <w:sz w:val="16"/>
              </w:rPr>
              <w:t>30/05/2026</w:t>
            </w:r>
          </w:p>
        </w:tc>
      </w:tr>
      <w:tr>
        <w:tc>
          <w:tcPr>
            <w:tcW w:type="dxa" w:w="2592"/>
            <w:vAlign w:val="top"/>
          </w:tcPr>
          <w:p>
            <w:pPr>
              <w:spacing w:after="0"/>
            </w:pPr>
            <w:r>
              <w:rPr>
                <w:sz w:val="16"/>
              </w:rPr>
              <w:t>Versión documental</w:t>
            </w:r>
          </w:p>
        </w:tc>
        <w:tc>
          <w:tcPr>
            <w:tcW w:type="dxa" w:w="8496"/>
            <w:vAlign w:val="top"/>
          </w:tcPr>
          <w:p>
            <w:pPr>
              <w:spacing w:after="0"/>
            </w:pPr>
            <w:r>
              <w:rPr>
                <w:sz w:val="16"/>
              </w:rPr>
              <w:t>1.0.0 — registro técnico completo</w:t>
            </w:r>
          </w:p>
        </w:tc>
      </w:tr>
      <w:tr>
        <w:tc>
          <w:tcPr>
            <w:tcW w:type="dxa" w:w="2592"/>
            <w:vAlign w:val="top"/>
          </w:tcPr>
          <w:p>
            <w:pPr>
              <w:spacing w:after="0"/>
            </w:pPr>
            <w:r>
              <w:rPr>
                <w:sz w:val="16"/>
              </w:rPr>
              <w:t>Versión del paquete web</w:t>
            </w:r>
          </w:p>
        </w:tc>
        <w:tc>
          <w:tcPr>
            <w:tcW w:type="dxa" w:w="8496"/>
            <w:vAlign w:val="top"/>
          </w:tcPr>
          <w:p>
            <w:pPr>
              <w:spacing w:after="0"/>
            </w:pPr>
            <w:r>
              <w:rPr>
                <w:sz w:val="16"/>
              </w:rPr>
              <w:t>0.0.0</w:t>
            </w:r>
          </w:p>
        </w:tc>
      </w:tr>
      <w:tr>
        <w:tc>
          <w:tcPr>
            <w:tcW w:type="dxa" w:w="2592"/>
            <w:vAlign w:val="top"/>
          </w:tcPr>
          <w:p>
            <w:pPr>
              <w:spacing w:after="0"/>
            </w:pPr>
            <w:r>
              <w:rPr>
                <w:sz w:val="16"/>
              </w:rPr>
              <w:t>Tipo de software</w:t>
            </w:r>
          </w:p>
        </w:tc>
        <w:tc>
          <w:tcPr>
            <w:tcW w:type="dxa" w:w="8496"/>
            <w:vAlign w:val="top"/>
          </w:tcPr>
          <w:p>
            <w:pPr>
              <w:spacing w:after="0"/>
            </w:pPr>
            <w:r>
              <w:rPr>
                <w:sz w:val="16"/>
              </w:rPr>
              <w:t>Sistema web de comercio electrónico, administración comercial e inteligencia artificial</w:t>
            </w:r>
          </w:p>
        </w:tc>
      </w:tr>
      <w:tr>
        <w:tc>
          <w:tcPr>
            <w:tcW w:type="dxa" w:w="2592"/>
            <w:vAlign w:val="top"/>
          </w:tcPr>
          <w:p>
            <w:pPr>
              <w:spacing w:after="0"/>
            </w:pPr>
            <w:r>
              <w:rPr>
                <w:sz w:val="16"/>
              </w:rPr>
              <w:t>Modalidad de ejecución</w:t>
            </w:r>
          </w:p>
        </w:tc>
        <w:tc>
          <w:tcPr>
            <w:tcW w:type="dxa" w:w="8496"/>
            <w:vAlign w:val="top"/>
          </w:tcPr>
          <w:p>
            <w:pPr>
              <w:spacing w:after="0"/>
            </w:pPr>
            <w:r>
              <w:rPr>
                <w:sz w:val="16"/>
              </w:rPr>
              <w:t>Aplicación web SPA desplegable en Firebase Hosting, BFF en Render/Node y base de datos Supabase PostgreSQL</w:t>
            </w:r>
          </w:p>
        </w:tc>
      </w:tr>
      <w:tr>
        <w:tc>
          <w:tcPr>
            <w:tcW w:type="dxa" w:w="2592"/>
            <w:vAlign w:val="top"/>
          </w:tcPr>
          <w:p>
            <w:pPr>
              <w:spacing w:after="0"/>
            </w:pPr>
            <w:r>
              <w:rPr>
                <w:sz w:val="16"/>
              </w:rPr>
              <w:t>Repositorio o workspace técnico</w:t>
            </w:r>
          </w:p>
        </w:tc>
        <w:tc>
          <w:tcPr>
            <w:tcW w:type="dxa" w:w="8496"/>
            <w:vAlign w:val="top"/>
          </w:tcPr>
          <w:p>
            <w:pPr>
              <w:spacing w:after="0"/>
            </w:pPr>
            <w:r>
              <w:rPr>
                <w:sz w:val="16"/>
              </w:rPr>
              <w:t>C:\Cazatura Vilchez V3</w:t>
            </w:r>
          </w:p>
        </w:tc>
      </w:tr>
    </w:tbl>
    <w:p/>
    <w:p>
      <w:pPr>
        <w:pStyle w:val="Heading1"/>
      </w:pPr>
      <w:r>
        <w:t>2. Descripción del software</w:t>
      </w:r>
    </w:p>
    <w:p>
      <w:r>
        <w:t>El sistema web Calzatura Vilchez es una plataforma empresarial orientada a la digitalización del canal comercial de una tienda de calzado. Integra una tienda en línea con catálogo, filtros, carrito, checkout, pagos con Stripe, contraentrega, pedidos, perfil de cliente, favoritos, administración de productos, stock por talla/color, ventas físicas, fabricantes, usuarios, auditoría, importación/exportación Excel, libro de reclamaciones y un módulo de inteligencia artificial para análisis predictivo e Índice de Riesgo Empresarial (IRE).</w:t>
      </w:r>
    </w:p>
    <w:p>
      <w:r>
        <w:t>La solución fue revisada bajo criterios de ISO/IEC 25010, ISO/IEC 27001, ISO/IEC 27701, ISO/IEC 25012, ISO/IEC 29119, ISO/IEC 42001 e ISO 22301, tomando como evidencia pruebas automatizadas, reportes de seguridad, controles de base de datos y matriz BOLT empresarial.</w:t>
      </w:r>
    </w:p>
    <w:p>
      <w:pPr>
        <w:pStyle w:val="Heading1"/>
      </w:pPr>
      <w:r>
        <w:t>3. Objetivo y alcance</w:t>
      </w:r>
    </w:p>
    <w:p>
      <w:pPr>
        <w:pStyle w:val="ListBullet"/>
        <w:spacing w:after="0"/>
      </w:pPr>
      <w:r>
        <w:t>Permitir ventas digitales de calzado mediante catálogo, carrito, checkout y seguimiento de pedidos.</w:t>
      </w:r>
    </w:p>
    <w:p>
      <w:pPr>
        <w:pStyle w:val="ListBullet"/>
        <w:spacing w:after="0"/>
      </w:pPr>
      <w:r>
        <w:t>Centralizar la administración de productos, precios, stock, fabricantes, usuarios, ventas físicas y datos Excel.</w:t>
      </w:r>
    </w:p>
    <w:p>
      <w:pPr>
        <w:pStyle w:val="ListBullet"/>
        <w:spacing w:after="0"/>
      </w:pPr>
      <w:r>
        <w:t>Proteger operaciones sensibles mediante autenticación, autorización, BFF, RLS, auditoría y redacción de PII.</w:t>
      </w:r>
    </w:p>
    <w:p>
      <w:pPr>
        <w:pStyle w:val="ListBullet"/>
        <w:spacing w:after="0"/>
      </w:pPr>
      <w:r>
        <w:t>Incorporar IA para apoyar decisiones comerciales mediante predicciones, métricas, backtesting e IRE.</w:t>
      </w:r>
    </w:p>
    <w:p>
      <w:pPr>
        <w:pStyle w:val="ListBullet"/>
        <w:spacing w:after="0"/>
      </w:pPr>
      <w:r>
        <w:t>Mantener evidencia verificable de calidad, seguridad, rendimiento, continuidad y despliegue.</w:t>
      </w:r>
    </w:p>
    <w:p>
      <w:pPr>
        <w:pStyle w:val="ListBullet"/>
        <w:spacing w:after="0"/>
      </w:pPr>
      <w:r>
        <w:t>Excluir módulos ajenos al comercio electrónico, administración comercial, IA, datos, seguridad y operación web.</w:t>
      </w:r>
    </w:p>
    <w:p>
      <w:pPr>
        <w:pStyle w:val="Heading1"/>
      </w:pPr>
      <w:r>
        <w:t>4. Módulos funcionales</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304"/>
            <w:shd w:fill="1F4E79"/>
            <w:vAlign w:val="center"/>
          </w:tcPr>
          <w:p>
            <w:r>
              <w:rPr>
                <w:b/>
                <w:color w:val="FFFFFF"/>
                <w:sz w:val="16"/>
              </w:rPr>
              <w:t>Macroproceso</w:t>
            </w:r>
          </w:p>
        </w:tc>
        <w:tc>
          <w:tcPr>
            <w:tcW w:type="dxa" w:w="6624"/>
            <w:shd w:fill="1F4E79"/>
            <w:vAlign w:val="center"/>
          </w:tcPr>
          <w:p>
            <w:r>
              <w:rPr>
                <w:b/>
                <w:color w:val="FFFFFF"/>
                <w:sz w:val="16"/>
              </w:rPr>
              <w:t>Funcionalidad cubierta</w:t>
            </w:r>
          </w:p>
        </w:tc>
        <w:tc>
          <w:tcPr>
            <w:tcW w:type="dxa" w:w="2880"/>
            <w:shd w:fill="1F4E79"/>
            <w:vAlign w:val="center"/>
          </w:tcPr>
          <w:p>
            <w:r>
              <w:rPr>
                <w:b/>
                <w:color w:val="FFFFFF"/>
                <w:sz w:val="16"/>
              </w:rPr>
              <w:t>Evidencia principal</w:t>
            </w:r>
          </w:p>
        </w:tc>
      </w:tr>
      <w:tr>
        <w:tc>
          <w:tcPr>
            <w:tcW w:type="dxa" w:w="2304"/>
            <w:vAlign w:val="top"/>
          </w:tcPr>
          <w:p>
            <w:pPr>
              <w:spacing w:after="0"/>
            </w:pPr>
            <w:r>
              <w:rPr>
                <w:sz w:val="16"/>
              </w:rPr>
              <w:t>Público</w:t>
            </w:r>
          </w:p>
        </w:tc>
        <w:tc>
          <w:tcPr>
            <w:tcW w:type="dxa" w:w="6624"/>
            <w:vAlign w:val="top"/>
          </w:tcPr>
          <w:p>
            <w:pPr>
              <w:spacing w:after="0"/>
            </w:pPr>
            <w:r>
              <w:rPr>
                <w:sz w:val="16"/>
              </w:rPr>
              <w:t>Home, login, registro, landings, páginas legales, libro de reclamaciones</w:t>
            </w:r>
          </w:p>
        </w:tc>
        <w:tc>
          <w:tcPr>
            <w:tcW w:type="dxa" w:w="2880"/>
            <w:vAlign w:val="top"/>
          </w:tcPr>
          <w:p>
            <w:pPr>
              <w:spacing w:after="0"/>
            </w:pPr>
            <w:r>
              <w:rPr>
                <w:sz w:val="16"/>
              </w:rPr>
              <w:t>src/domains/publico</w:t>
            </w:r>
          </w:p>
        </w:tc>
      </w:tr>
      <w:tr>
        <w:tc>
          <w:tcPr>
            <w:tcW w:type="dxa" w:w="2304"/>
            <w:vAlign w:val="top"/>
          </w:tcPr>
          <w:p>
            <w:pPr>
              <w:spacing w:after="0"/>
            </w:pPr>
            <w:r>
              <w:rPr>
                <w:sz w:val="16"/>
              </w:rPr>
              <w:t>Catálogo</w:t>
            </w:r>
          </w:p>
        </w:tc>
        <w:tc>
          <w:tcPr>
            <w:tcW w:type="dxa" w:w="6624"/>
            <w:vAlign w:val="top"/>
          </w:tcPr>
          <w:p>
            <w:pPr>
              <w:spacing w:after="0"/>
            </w:pPr>
            <w:r>
              <w:rPr>
                <w:sz w:val="16"/>
              </w:rPr>
              <w:t>Listado, filtros, detalle, campañas, tarjetas de producto accesibles</w:t>
            </w:r>
          </w:p>
        </w:tc>
        <w:tc>
          <w:tcPr>
            <w:tcW w:type="dxa" w:w="2880"/>
            <w:vAlign w:val="top"/>
          </w:tcPr>
          <w:p>
            <w:pPr>
              <w:spacing w:after="0"/>
            </w:pPr>
            <w:r>
              <w:rPr>
                <w:sz w:val="16"/>
              </w:rPr>
              <w:t>src/domains/productos</w:t>
            </w:r>
          </w:p>
        </w:tc>
      </w:tr>
      <w:tr>
        <w:tc>
          <w:tcPr>
            <w:tcW w:type="dxa" w:w="2304"/>
            <w:vAlign w:val="top"/>
          </w:tcPr>
          <w:p>
            <w:pPr>
              <w:spacing w:after="0"/>
            </w:pPr>
            <w:r>
              <w:rPr>
                <w:sz w:val="16"/>
              </w:rPr>
              <w:t>Carrito y checkout</w:t>
            </w:r>
          </w:p>
        </w:tc>
        <w:tc>
          <w:tcPr>
            <w:tcW w:type="dxa" w:w="6624"/>
            <w:vAlign w:val="top"/>
          </w:tcPr>
          <w:p>
            <w:pPr>
              <w:spacing w:after="0"/>
            </w:pPr>
            <w:r>
              <w:rPr>
                <w:sz w:val="16"/>
              </w:rPr>
              <w:t>Carrito por sesión, entrega, Stripe, contraentrega e idempotencia</w:t>
            </w:r>
          </w:p>
        </w:tc>
        <w:tc>
          <w:tcPr>
            <w:tcW w:type="dxa" w:w="2880"/>
            <w:vAlign w:val="top"/>
          </w:tcPr>
          <w:p>
            <w:pPr>
              <w:spacing w:after="0"/>
            </w:pPr>
            <w:r>
              <w:rPr>
                <w:sz w:val="16"/>
              </w:rPr>
              <w:t>src/domains/carrito</w:t>
            </w:r>
          </w:p>
        </w:tc>
      </w:tr>
      <w:tr>
        <w:tc>
          <w:tcPr>
            <w:tcW w:type="dxa" w:w="2304"/>
            <w:vAlign w:val="top"/>
          </w:tcPr>
          <w:p>
            <w:pPr>
              <w:spacing w:after="0"/>
            </w:pPr>
            <w:r>
              <w:rPr>
                <w:sz w:val="16"/>
              </w:rPr>
              <w:t>Pedidos</w:t>
            </w:r>
          </w:p>
        </w:tc>
        <w:tc>
          <w:tcPr>
            <w:tcW w:type="dxa" w:w="6624"/>
            <w:vAlign w:val="top"/>
          </w:tcPr>
          <w:p>
            <w:pPr>
              <w:spacing w:after="0"/>
            </w:pPr>
            <w:r>
              <w:rPr>
                <w:sz w:val="16"/>
              </w:rPr>
              <w:t>Pedido exitoso, historial cliente, administración y estados</w:t>
            </w:r>
          </w:p>
        </w:tc>
        <w:tc>
          <w:tcPr>
            <w:tcW w:type="dxa" w:w="2880"/>
            <w:vAlign w:val="top"/>
          </w:tcPr>
          <w:p>
            <w:pPr>
              <w:spacing w:after="0"/>
            </w:pPr>
            <w:r>
              <w:rPr>
                <w:sz w:val="16"/>
              </w:rPr>
              <w:t>src/domains/pedidos</w:t>
            </w:r>
          </w:p>
        </w:tc>
      </w:tr>
      <w:tr>
        <w:tc>
          <w:tcPr>
            <w:tcW w:type="dxa" w:w="2304"/>
            <w:vAlign w:val="top"/>
          </w:tcPr>
          <w:p>
            <w:pPr>
              <w:spacing w:after="0"/>
            </w:pPr>
            <w:r>
              <w:rPr>
                <w:sz w:val="16"/>
              </w:rPr>
              <w:t>Clientes</w:t>
            </w:r>
          </w:p>
        </w:tc>
        <w:tc>
          <w:tcPr>
            <w:tcW w:type="dxa" w:w="6624"/>
            <w:vAlign w:val="top"/>
          </w:tcPr>
          <w:p>
            <w:pPr>
              <w:spacing w:after="0"/>
            </w:pPr>
            <w:r>
              <w:rPr>
                <w:sz w:val="16"/>
              </w:rPr>
              <w:t>Favoritos privados por cuenta</w:t>
            </w:r>
          </w:p>
        </w:tc>
        <w:tc>
          <w:tcPr>
            <w:tcW w:type="dxa" w:w="2880"/>
            <w:vAlign w:val="top"/>
          </w:tcPr>
          <w:p>
            <w:pPr>
              <w:spacing w:after="0"/>
            </w:pPr>
            <w:r>
              <w:rPr>
                <w:sz w:val="16"/>
              </w:rPr>
              <w:t>src/domains/clientes</w:t>
            </w:r>
          </w:p>
        </w:tc>
      </w:tr>
      <w:tr>
        <w:tc>
          <w:tcPr>
            <w:tcW w:type="dxa" w:w="2304"/>
            <w:vAlign w:val="top"/>
          </w:tcPr>
          <w:p>
            <w:pPr>
              <w:spacing w:after="0"/>
            </w:pPr>
            <w:r>
              <w:rPr>
                <w:sz w:val="16"/>
              </w:rPr>
              <w:t>Usuarios</w:t>
            </w:r>
          </w:p>
        </w:tc>
        <w:tc>
          <w:tcPr>
            <w:tcW w:type="dxa" w:w="6624"/>
            <w:vAlign w:val="top"/>
          </w:tcPr>
          <w:p>
            <w:pPr>
              <w:spacing w:after="0"/>
            </w:pPr>
            <w:r>
              <w:rPr>
                <w:sz w:val="16"/>
              </w:rPr>
              <w:t>Perfil, roles, DNI, privacidad y administración de usuarios</w:t>
            </w:r>
          </w:p>
        </w:tc>
        <w:tc>
          <w:tcPr>
            <w:tcW w:type="dxa" w:w="2880"/>
            <w:vAlign w:val="top"/>
          </w:tcPr>
          <w:p>
            <w:pPr>
              <w:spacing w:after="0"/>
            </w:pPr>
            <w:r>
              <w:rPr>
                <w:sz w:val="16"/>
              </w:rPr>
              <w:t>src/domains/usuarios</w:t>
            </w:r>
          </w:p>
        </w:tc>
      </w:tr>
      <w:tr>
        <w:tc>
          <w:tcPr>
            <w:tcW w:type="dxa" w:w="2304"/>
            <w:vAlign w:val="top"/>
          </w:tcPr>
          <w:p>
            <w:pPr>
              <w:spacing w:after="0"/>
            </w:pPr>
            <w:r>
              <w:rPr>
                <w:sz w:val="16"/>
              </w:rPr>
              <w:t>Administración</w:t>
            </w:r>
          </w:p>
        </w:tc>
        <w:tc>
          <w:tcPr>
            <w:tcW w:type="dxa" w:w="6624"/>
            <w:vAlign w:val="top"/>
          </w:tcPr>
          <w:p>
            <w:pPr>
              <w:spacing w:after="0"/>
            </w:pPr>
            <w:r>
              <w:rPr>
                <w:sz w:val="16"/>
              </w:rPr>
              <w:t>Dashboard, Excel, predicciones, auditoría, reclamaciones</w:t>
            </w:r>
          </w:p>
        </w:tc>
        <w:tc>
          <w:tcPr>
            <w:tcW w:type="dxa" w:w="2880"/>
            <w:vAlign w:val="top"/>
          </w:tcPr>
          <w:p>
            <w:pPr>
              <w:spacing w:after="0"/>
            </w:pPr>
            <w:r>
              <w:rPr>
                <w:sz w:val="16"/>
              </w:rPr>
              <w:t>src/domains/administradores</w:t>
            </w:r>
          </w:p>
        </w:tc>
      </w:tr>
      <w:tr>
        <w:tc>
          <w:tcPr>
            <w:tcW w:type="dxa" w:w="2304"/>
            <w:vAlign w:val="top"/>
          </w:tcPr>
          <w:p>
            <w:pPr>
              <w:spacing w:after="0"/>
            </w:pPr>
            <w:r>
              <w:rPr>
                <w:sz w:val="16"/>
              </w:rPr>
              <w:t>Ventas físicas</w:t>
            </w:r>
          </w:p>
        </w:tc>
        <w:tc>
          <w:tcPr>
            <w:tcW w:type="dxa" w:w="6624"/>
            <w:vAlign w:val="top"/>
          </w:tcPr>
          <w:p>
            <w:pPr>
              <w:spacing w:after="0"/>
            </w:pPr>
            <w:r>
              <w:rPr>
                <w:sz w:val="16"/>
              </w:rPr>
              <w:t>Registro de venta, devolución, stock por talla y panel de trabajador</w:t>
            </w:r>
          </w:p>
        </w:tc>
        <w:tc>
          <w:tcPr>
            <w:tcW w:type="dxa" w:w="2880"/>
            <w:vAlign w:val="top"/>
          </w:tcPr>
          <w:p>
            <w:pPr>
              <w:spacing w:after="0"/>
            </w:pPr>
            <w:r>
              <w:rPr>
                <w:sz w:val="16"/>
              </w:rPr>
              <w:t>src/domains/ventas; src/domains/trabajadores</w:t>
            </w:r>
          </w:p>
        </w:tc>
      </w:tr>
      <w:tr>
        <w:tc>
          <w:tcPr>
            <w:tcW w:type="dxa" w:w="2304"/>
            <w:vAlign w:val="top"/>
          </w:tcPr>
          <w:p>
            <w:pPr>
              <w:spacing w:after="0"/>
            </w:pPr>
            <w:r>
              <w:rPr>
                <w:sz w:val="16"/>
              </w:rPr>
              <w:t>Fabricantes</w:t>
            </w:r>
          </w:p>
        </w:tc>
        <w:tc>
          <w:tcPr>
            <w:tcW w:type="dxa" w:w="6624"/>
            <w:vAlign w:val="top"/>
          </w:tcPr>
          <w:p>
            <w:pPr>
              <w:spacing w:after="0"/>
            </w:pPr>
            <w:r>
              <w:rPr>
                <w:sz w:val="16"/>
              </w:rPr>
              <w:t>CRUD de proveedores/marcas con redacción de PII</w:t>
            </w:r>
          </w:p>
        </w:tc>
        <w:tc>
          <w:tcPr>
            <w:tcW w:type="dxa" w:w="2880"/>
            <w:vAlign w:val="top"/>
          </w:tcPr>
          <w:p>
            <w:pPr>
              <w:spacing w:after="0"/>
            </w:pPr>
            <w:r>
              <w:rPr>
                <w:sz w:val="16"/>
              </w:rPr>
              <w:t>src/domains/fabricantes</w:t>
            </w:r>
          </w:p>
        </w:tc>
      </w:tr>
      <w:tr>
        <w:tc>
          <w:tcPr>
            <w:tcW w:type="dxa" w:w="2304"/>
            <w:vAlign w:val="top"/>
          </w:tcPr>
          <w:p>
            <w:pPr>
              <w:spacing w:after="0"/>
            </w:pPr>
            <w:r>
              <w:rPr>
                <w:sz w:val="16"/>
              </w:rPr>
              <w:t>BFF/API</w:t>
            </w:r>
          </w:p>
        </w:tc>
        <w:tc>
          <w:tcPr>
            <w:tcW w:type="dxa" w:w="6624"/>
            <w:vAlign w:val="top"/>
          </w:tcPr>
          <w:p>
            <w:pPr>
              <w:spacing w:after="0"/>
            </w:pPr>
            <w:r>
              <w:rPr>
                <w:sz w:val="16"/>
              </w:rPr>
              <w:t>Pedidos, Stripe, auditoría, DNI, admin, datos, rate limit y seguridad</w:t>
            </w:r>
          </w:p>
        </w:tc>
        <w:tc>
          <w:tcPr>
            <w:tcW w:type="dxa" w:w="2880"/>
            <w:vAlign w:val="top"/>
          </w:tcPr>
          <w:p>
            <w:pPr>
              <w:spacing w:after="0"/>
            </w:pPr>
            <w:r>
              <w:rPr>
                <w:sz w:val="16"/>
              </w:rPr>
              <w:t>bff/server.cjs</w:t>
            </w:r>
          </w:p>
        </w:tc>
      </w:tr>
      <w:tr>
        <w:tc>
          <w:tcPr>
            <w:tcW w:type="dxa" w:w="2304"/>
            <w:vAlign w:val="top"/>
          </w:tcPr>
          <w:p>
            <w:pPr>
              <w:spacing w:after="0"/>
            </w:pPr>
            <w:r>
              <w:rPr>
                <w:sz w:val="16"/>
              </w:rPr>
              <w:t>Base de datos</w:t>
            </w:r>
          </w:p>
        </w:tc>
        <w:tc>
          <w:tcPr>
            <w:tcW w:type="dxa" w:w="6624"/>
            <w:vAlign w:val="top"/>
          </w:tcPr>
          <w:p>
            <w:pPr>
              <w:spacing w:after="0"/>
            </w:pPr>
            <w:r>
              <w:rPr>
                <w:sz w:val="16"/>
              </w:rPr>
              <w:t>Migraciones, RLS, RPC, triggers y políticas</w:t>
            </w:r>
          </w:p>
        </w:tc>
        <w:tc>
          <w:tcPr>
            <w:tcW w:type="dxa" w:w="2880"/>
            <w:vAlign w:val="top"/>
          </w:tcPr>
          <w:p>
            <w:pPr>
              <w:spacing w:after="0"/>
            </w:pPr>
            <w:r>
              <w:rPr>
                <w:sz w:val="16"/>
              </w:rPr>
              <w:t>supabase/migrations</w:t>
            </w:r>
          </w:p>
        </w:tc>
      </w:tr>
      <w:tr>
        <w:tc>
          <w:tcPr>
            <w:tcW w:type="dxa" w:w="2304"/>
            <w:vAlign w:val="top"/>
          </w:tcPr>
          <w:p>
            <w:pPr>
              <w:spacing w:after="0"/>
            </w:pPr>
            <w:r>
              <w:rPr>
                <w:sz w:val="16"/>
              </w:rPr>
              <w:t>IA</w:t>
            </w:r>
          </w:p>
        </w:tc>
        <w:tc>
          <w:tcPr>
            <w:tcW w:type="dxa" w:w="6624"/>
            <w:vAlign w:val="top"/>
          </w:tcPr>
          <w:p>
            <w:pPr>
              <w:spacing w:after="0"/>
            </w:pPr>
            <w:r>
              <w:rPr>
                <w:sz w:val="16"/>
              </w:rPr>
              <w:t>Predicción, IRE, backtesting y controles medibles</w:t>
            </w:r>
          </w:p>
        </w:tc>
        <w:tc>
          <w:tcPr>
            <w:tcW w:type="dxa" w:w="2880"/>
            <w:vAlign w:val="top"/>
          </w:tcPr>
          <w:p>
            <w:pPr>
              <w:spacing w:after="0"/>
            </w:pPr>
            <w:r>
              <w:rPr>
                <w:sz w:val="16"/>
              </w:rPr>
              <w:t>ai-service; src/domains/administradores/predictions</w:t>
            </w:r>
          </w:p>
        </w:tc>
      </w:tr>
    </w:tbl>
    <w:p/>
    <w:p>
      <w:pPr>
        <w:pStyle w:val="Heading1"/>
      </w:pPr>
      <w:r>
        <w:t>5. Arquitectura técnica</w:t>
      </w:r>
    </w:p>
    <w:p>
      <w:r>
        <w:t>La arquitectura se organiza como aplicación web SPA con frontend React/TypeScript, BFF Node/Express para operaciones sensibles, Supabase PostgreSQL para persistencia, Firebase Auth/App Check para identidad, Stripe para pagos, Cloudinary para medios, servicio IA separado y pipelines CI/CD.</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160"/>
            <w:shd w:fill="1F4E79"/>
            <w:vAlign w:val="center"/>
          </w:tcPr>
          <w:p>
            <w:r>
              <w:rPr>
                <w:b/>
                <w:color w:val="FFFFFF"/>
                <w:sz w:val="16"/>
              </w:rPr>
              <w:t>Capa</w:t>
            </w:r>
          </w:p>
        </w:tc>
        <w:tc>
          <w:tcPr>
            <w:tcW w:type="dxa" w:w="3168"/>
            <w:shd w:fill="1F4E79"/>
            <w:vAlign w:val="center"/>
          </w:tcPr>
          <w:p>
            <w:r>
              <w:rPr>
                <w:b/>
                <w:color w:val="FFFFFF"/>
                <w:sz w:val="16"/>
              </w:rPr>
              <w:t>Tecnología</w:t>
            </w:r>
          </w:p>
        </w:tc>
        <w:tc>
          <w:tcPr>
            <w:tcW w:type="dxa" w:w="5760"/>
            <w:shd w:fill="1F4E79"/>
            <w:vAlign w:val="center"/>
          </w:tcPr>
          <w:p>
            <w:r>
              <w:rPr>
                <w:b/>
                <w:color w:val="FFFFFF"/>
                <w:sz w:val="16"/>
              </w:rPr>
              <w:t>Responsabilidad</w:t>
            </w:r>
          </w:p>
        </w:tc>
      </w:tr>
      <w:tr>
        <w:tc>
          <w:tcPr>
            <w:tcW w:type="dxa" w:w="2160"/>
            <w:vAlign w:val="top"/>
          </w:tcPr>
          <w:p>
            <w:pPr>
              <w:spacing w:after="0"/>
            </w:pPr>
            <w:r>
              <w:rPr>
                <w:sz w:val="16"/>
              </w:rPr>
              <w:t>Presentación</w:t>
            </w:r>
          </w:p>
        </w:tc>
        <w:tc>
          <w:tcPr>
            <w:tcW w:type="dxa" w:w="3168"/>
            <w:vAlign w:val="top"/>
          </w:tcPr>
          <w:p>
            <w:pPr>
              <w:spacing w:after="0"/>
            </w:pPr>
            <w:r>
              <w:rPr>
                <w:sz w:val="16"/>
              </w:rPr>
              <w:t>React 19, TypeScript, Vite</w:t>
            </w:r>
          </w:p>
        </w:tc>
        <w:tc>
          <w:tcPr>
            <w:tcW w:type="dxa" w:w="5760"/>
            <w:vAlign w:val="top"/>
          </w:tcPr>
          <w:p>
            <w:pPr>
              <w:spacing w:after="0"/>
            </w:pPr>
            <w:r>
              <w:rPr>
                <w:sz w:val="16"/>
              </w:rPr>
              <w:t>Interfaz web, rutas públicas, cliente, trabajador y admin</w:t>
            </w:r>
          </w:p>
        </w:tc>
      </w:tr>
      <w:tr>
        <w:tc>
          <w:tcPr>
            <w:tcW w:type="dxa" w:w="2160"/>
            <w:vAlign w:val="top"/>
          </w:tcPr>
          <w:p>
            <w:pPr>
              <w:spacing w:after="0"/>
            </w:pPr>
            <w:r>
              <w:rPr>
                <w:sz w:val="16"/>
              </w:rPr>
              <w:t>BFF/API</w:t>
            </w:r>
          </w:p>
        </w:tc>
        <w:tc>
          <w:tcPr>
            <w:tcW w:type="dxa" w:w="3168"/>
            <w:vAlign w:val="top"/>
          </w:tcPr>
          <w:p>
            <w:pPr>
              <w:spacing w:after="0"/>
            </w:pPr>
            <w:r>
              <w:rPr>
                <w:sz w:val="16"/>
              </w:rPr>
              <w:t>Node.js / Express</w:t>
            </w:r>
          </w:p>
        </w:tc>
        <w:tc>
          <w:tcPr>
            <w:tcW w:type="dxa" w:w="5760"/>
            <w:vAlign w:val="top"/>
          </w:tcPr>
          <w:p>
            <w:pPr>
              <w:spacing w:after="0"/>
            </w:pPr>
            <w:r>
              <w:rPr>
                <w:sz w:val="16"/>
              </w:rPr>
              <w:t>Pedidos, Stripe, DNI, auditoría, admin, Excel, rate limit y service_role</w:t>
            </w:r>
          </w:p>
        </w:tc>
      </w:tr>
      <w:tr>
        <w:tc>
          <w:tcPr>
            <w:tcW w:type="dxa" w:w="2160"/>
            <w:vAlign w:val="top"/>
          </w:tcPr>
          <w:p>
            <w:pPr>
              <w:spacing w:after="0"/>
            </w:pPr>
            <w:r>
              <w:rPr>
                <w:sz w:val="16"/>
              </w:rPr>
              <w:t>Datos</w:t>
            </w:r>
          </w:p>
        </w:tc>
        <w:tc>
          <w:tcPr>
            <w:tcW w:type="dxa" w:w="3168"/>
            <w:vAlign w:val="top"/>
          </w:tcPr>
          <w:p>
            <w:pPr>
              <w:spacing w:after="0"/>
            </w:pPr>
            <w:r>
              <w:rPr>
                <w:sz w:val="16"/>
              </w:rPr>
              <w:t>Supabase PostgreSQL</w:t>
            </w:r>
          </w:p>
        </w:tc>
        <w:tc>
          <w:tcPr>
            <w:tcW w:type="dxa" w:w="5760"/>
            <w:vAlign w:val="top"/>
          </w:tcPr>
          <w:p>
            <w:pPr>
              <w:spacing w:after="0"/>
            </w:pPr>
            <w:r>
              <w:rPr>
                <w:sz w:val="16"/>
              </w:rPr>
              <w:t>Tablas, RLS, migraciones, RPC, triggers e integridad</w:t>
            </w:r>
          </w:p>
        </w:tc>
      </w:tr>
      <w:tr>
        <w:tc>
          <w:tcPr>
            <w:tcW w:type="dxa" w:w="2160"/>
            <w:vAlign w:val="top"/>
          </w:tcPr>
          <w:p>
            <w:pPr>
              <w:spacing w:after="0"/>
            </w:pPr>
            <w:r>
              <w:rPr>
                <w:sz w:val="16"/>
              </w:rPr>
              <w:t>Autenticación</w:t>
            </w:r>
          </w:p>
        </w:tc>
        <w:tc>
          <w:tcPr>
            <w:tcW w:type="dxa" w:w="3168"/>
            <w:vAlign w:val="top"/>
          </w:tcPr>
          <w:p>
            <w:pPr>
              <w:spacing w:after="0"/>
            </w:pPr>
            <w:r>
              <w:rPr>
                <w:sz w:val="16"/>
              </w:rPr>
              <w:t>Firebase Auth + App Check</w:t>
            </w:r>
          </w:p>
        </w:tc>
        <w:tc>
          <w:tcPr>
            <w:tcW w:type="dxa" w:w="5760"/>
            <w:vAlign w:val="top"/>
          </w:tcPr>
          <w:p>
            <w:pPr>
              <w:spacing w:after="0"/>
            </w:pPr>
            <w:r>
              <w:rPr>
                <w:sz w:val="16"/>
              </w:rPr>
              <w:t>Identidad, protección de endpoints y sesión</w:t>
            </w:r>
          </w:p>
        </w:tc>
      </w:tr>
      <w:tr>
        <w:tc>
          <w:tcPr>
            <w:tcW w:type="dxa" w:w="2160"/>
            <w:vAlign w:val="top"/>
          </w:tcPr>
          <w:p>
            <w:pPr>
              <w:spacing w:after="0"/>
            </w:pPr>
            <w:r>
              <w:rPr>
                <w:sz w:val="16"/>
              </w:rPr>
              <w:t>Pagos</w:t>
            </w:r>
          </w:p>
        </w:tc>
        <w:tc>
          <w:tcPr>
            <w:tcW w:type="dxa" w:w="3168"/>
            <w:vAlign w:val="top"/>
          </w:tcPr>
          <w:p>
            <w:pPr>
              <w:spacing w:after="0"/>
            </w:pPr>
            <w:r>
              <w:rPr>
                <w:sz w:val="16"/>
              </w:rPr>
              <w:t>Stripe Checkout + webhook firmado</w:t>
            </w:r>
          </w:p>
        </w:tc>
        <w:tc>
          <w:tcPr>
            <w:tcW w:type="dxa" w:w="5760"/>
            <w:vAlign w:val="top"/>
          </w:tcPr>
          <w:p>
            <w:pPr>
              <w:spacing w:after="0"/>
            </w:pPr>
            <w:r>
              <w:rPr>
                <w:sz w:val="16"/>
              </w:rPr>
              <w:t>Confirmación de pagos sin confiar en el cliente</w:t>
            </w:r>
          </w:p>
        </w:tc>
      </w:tr>
      <w:tr>
        <w:tc>
          <w:tcPr>
            <w:tcW w:type="dxa" w:w="2160"/>
            <w:vAlign w:val="top"/>
          </w:tcPr>
          <w:p>
            <w:pPr>
              <w:spacing w:after="0"/>
            </w:pPr>
            <w:r>
              <w:rPr>
                <w:sz w:val="16"/>
              </w:rPr>
              <w:t>IA</w:t>
            </w:r>
          </w:p>
        </w:tc>
        <w:tc>
          <w:tcPr>
            <w:tcW w:type="dxa" w:w="3168"/>
            <w:vAlign w:val="top"/>
          </w:tcPr>
          <w:p>
            <w:pPr>
              <w:spacing w:after="0"/>
            </w:pPr>
            <w:r>
              <w:rPr>
                <w:sz w:val="16"/>
              </w:rPr>
              <w:t>Servicio Python/FastAPI</w:t>
            </w:r>
          </w:p>
        </w:tc>
        <w:tc>
          <w:tcPr>
            <w:tcW w:type="dxa" w:w="5760"/>
            <w:vAlign w:val="top"/>
          </w:tcPr>
          <w:p>
            <w:pPr>
              <w:spacing w:after="0"/>
            </w:pPr>
            <w:r>
              <w:rPr>
                <w:sz w:val="16"/>
              </w:rPr>
              <w:t>Predicción, IRE, backtesting y métricas</w:t>
            </w:r>
          </w:p>
        </w:tc>
      </w:tr>
      <w:tr>
        <w:tc>
          <w:tcPr>
            <w:tcW w:type="dxa" w:w="2160"/>
            <w:vAlign w:val="top"/>
          </w:tcPr>
          <w:p>
            <w:pPr>
              <w:spacing w:after="0"/>
            </w:pPr>
            <w:r>
              <w:rPr>
                <w:sz w:val="16"/>
              </w:rPr>
              <w:t>DevOps</w:t>
            </w:r>
          </w:p>
        </w:tc>
        <w:tc>
          <w:tcPr>
            <w:tcW w:type="dxa" w:w="3168"/>
            <w:vAlign w:val="top"/>
          </w:tcPr>
          <w:p>
            <w:pPr>
              <w:spacing w:after="0"/>
            </w:pPr>
            <w:r>
              <w:rPr>
                <w:sz w:val="16"/>
              </w:rPr>
              <w:t>GitHub Actions, Docker, Firebase Hosting, Render</w:t>
            </w:r>
          </w:p>
        </w:tc>
        <w:tc>
          <w:tcPr>
            <w:tcW w:type="dxa" w:w="5760"/>
            <w:vAlign w:val="top"/>
          </w:tcPr>
          <w:p>
            <w:pPr>
              <w:spacing w:after="0"/>
            </w:pPr>
            <w:r>
              <w:rPr>
                <w:sz w:val="16"/>
              </w:rPr>
              <w:t>Build, test, seguridad, despliegue y continuidad</w:t>
            </w:r>
          </w:p>
        </w:tc>
      </w:tr>
    </w:tbl>
    <w:p/>
    <w:p>
      <w:pPr>
        <w:pStyle w:val="Heading1"/>
      </w:pPr>
      <w:r>
        <w:t>6. Tecnologías y dependencias principales</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592"/>
            <w:shd w:fill="1F4E79"/>
            <w:vAlign w:val="center"/>
          </w:tcPr>
          <w:p>
            <w:r>
              <w:rPr>
                <w:b/>
                <w:color w:val="FFFFFF"/>
                <w:sz w:val="16"/>
              </w:rPr>
              <w:t>Tecnología</w:t>
            </w:r>
          </w:p>
        </w:tc>
        <w:tc>
          <w:tcPr>
            <w:tcW w:type="dxa" w:w="1872"/>
            <w:shd w:fill="1F4E79"/>
            <w:vAlign w:val="center"/>
          </w:tcPr>
          <w:p>
            <w:r>
              <w:rPr>
                <w:b/>
                <w:color w:val="FFFFFF"/>
                <w:sz w:val="16"/>
              </w:rPr>
              <w:t>Versión declarada</w:t>
            </w:r>
          </w:p>
        </w:tc>
        <w:tc>
          <w:tcPr>
            <w:tcW w:type="dxa" w:w="6480"/>
            <w:shd w:fill="1F4E79"/>
            <w:vAlign w:val="center"/>
          </w:tcPr>
          <w:p>
            <w:r>
              <w:rPr>
                <w:b/>
                <w:color w:val="FFFFFF"/>
                <w:sz w:val="16"/>
              </w:rPr>
              <w:t>Uso</w:t>
            </w:r>
          </w:p>
        </w:tc>
      </w:tr>
      <w:tr>
        <w:tc>
          <w:tcPr>
            <w:tcW w:type="dxa" w:w="2592"/>
            <w:vAlign w:val="top"/>
          </w:tcPr>
          <w:p>
            <w:pPr>
              <w:spacing w:after="0"/>
            </w:pPr>
            <w:r>
              <w:rPr>
                <w:sz w:val="16"/>
              </w:rPr>
              <w:t>React</w:t>
            </w:r>
          </w:p>
        </w:tc>
        <w:tc>
          <w:tcPr>
            <w:tcW w:type="dxa" w:w="1872"/>
            <w:vAlign w:val="top"/>
          </w:tcPr>
          <w:p>
            <w:pPr>
              <w:spacing w:after="0"/>
            </w:pPr>
            <w:r>
              <w:rPr>
                <w:sz w:val="16"/>
              </w:rPr>
              <w:t>^19.2.4</w:t>
            </w:r>
          </w:p>
        </w:tc>
        <w:tc>
          <w:tcPr>
            <w:tcW w:type="dxa" w:w="6480"/>
            <w:vAlign w:val="top"/>
          </w:tcPr>
          <w:p>
            <w:pPr>
              <w:spacing w:after="0"/>
            </w:pPr>
            <w:r>
              <w:rPr>
                <w:sz w:val="16"/>
              </w:rPr>
              <w:t>Interfaz de usuario SPA</w:t>
            </w:r>
          </w:p>
        </w:tc>
      </w:tr>
      <w:tr>
        <w:tc>
          <w:tcPr>
            <w:tcW w:type="dxa" w:w="2592"/>
            <w:vAlign w:val="top"/>
          </w:tcPr>
          <w:p>
            <w:pPr>
              <w:spacing w:after="0"/>
            </w:pPr>
            <w:r>
              <w:rPr>
                <w:sz w:val="16"/>
              </w:rPr>
              <w:t>TypeScript</w:t>
            </w:r>
          </w:p>
        </w:tc>
        <w:tc>
          <w:tcPr>
            <w:tcW w:type="dxa" w:w="1872"/>
            <w:vAlign w:val="top"/>
          </w:tcPr>
          <w:p>
            <w:pPr>
              <w:spacing w:after="0"/>
            </w:pPr>
            <w:r>
              <w:rPr>
                <w:sz w:val="16"/>
              </w:rPr>
              <w:t>~6.0.2</w:t>
            </w:r>
          </w:p>
        </w:tc>
        <w:tc>
          <w:tcPr>
            <w:tcW w:type="dxa" w:w="6480"/>
            <w:vAlign w:val="top"/>
          </w:tcPr>
          <w:p>
            <w:pPr>
              <w:spacing w:after="0"/>
            </w:pPr>
            <w:r>
              <w:rPr>
                <w:sz w:val="16"/>
              </w:rPr>
              <w:t>Tipado estático y mantenibilidad</w:t>
            </w:r>
          </w:p>
        </w:tc>
      </w:tr>
      <w:tr>
        <w:tc>
          <w:tcPr>
            <w:tcW w:type="dxa" w:w="2592"/>
            <w:vAlign w:val="top"/>
          </w:tcPr>
          <w:p>
            <w:pPr>
              <w:spacing w:after="0"/>
            </w:pPr>
            <w:r>
              <w:rPr>
                <w:sz w:val="16"/>
              </w:rPr>
              <w:t>Vite</w:t>
            </w:r>
          </w:p>
        </w:tc>
        <w:tc>
          <w:tcPr>
            <w:tcW w:type="dxa" w:w="1872"/>
            <w:vAlign w:val="top"/>
          </w:tcPr>
          <w:p>
            <w:pPr>
              <w:spacing w:after="0"/>
            </w:pPr>
            <w:r>
              <w:rPr>
                <w:sz w:val="16"/>
              </w:rPr>
              <w:t>^8.0.4</w:t>
            </w:r>
          </w:p>
        </w:tc>
        <w:tc>
          <w:tcPr>
            <w:tcW w:type="dxa" w:w="6480"/>
            <w:vAlign w:val="top"/>
          </w:tcPr>
          <w:p>
            <w:pPr>
              <w:spacing w:after="0"/>
            </w:pPr>
            <w:r>
              <w:rPr>
                <w:sz w:val="16"/>
              </w:rPr>
              <w:t>Build y servidor de desarrollo</w:t>
            </w:r>
          </w:p>
        </w:tc>
      </w:tr>
      <w:tr>
        <w:tc>
          <w:tcPr>
            <w:tcW w:type="dxa" w:w="2592"/>
            <w:vAlign w:val="top"/>
          </w:tcPr>
          <w:p>
            <w:pPr>
              <w:spacing w:after="0"/>
            </w:pPr>
            <w:r>
              <w:rPr>
                <w:sz w:val="16"/>
              </w:rPr>
              <w:t>Firebase</w:t>
            </w:r>
          </w:p>
        </w:tc>
        <w:tc>
          <w:tcPr>
            <w:tcW w:type="dxa" w:w="1872"/>
            <w:vAlign w:val="top"/>
          </w:tcPr>
          <w:p>
            <w:pPr>
              <w:spacing w:after="0"/>
            </w:pPr>
            <w:r>
              <w:rPr>
                <w:sz w:val="16"/>
              </w:rPr>
              <w:t>^12.12.0</w:t>
            </w:r>
          </w:p>
        </w:tc>
        <w:tc>
          <w:tcPr>
            <w:tcW w:type="dxa" w:w="6480"/>
            <w:vAlign w:val="top"/>
          </w:tcPr>
          <w:p>
            <w:pPr>
              <w:spacing w:after="0"/>
            </w:pPr>
            <w:r>
              <w:rPr>
                <w:sz w:val="16"/>
              </w:rPr>
              <w:t>Autenticación, App Check y hosting</w:t>
            </w:r>
          </w:p>
        </w:tc>
      </w:tr>
      <w:tr>
        <w:tc>
          <w:tcPr>
            <w:tcW w:type="dxa" w:w="2592"/>
            <w:vAlign w:val="top"/>
          </w:tcPr>
          <w:p>
            <w:pPr>
              <w:spacing w:after="0"/>
            </w:pPr>
            <w:r>
              <w:rPr>
                <w:sz w:val="16"/>
              </w:rPr>
              <w:t>Supabase JS</w:t>
            </w:r>
          </w:p>
        </w:tc>
        <w:tc>
          <w:tcPr>
            <w:tcW w:type="dxa" w:w="1872"/>
            <w:vAlign w:val="top"/>
          </w:tcPr>
          <w:p>
            <w:pPr>
              <w:spacing w:after="0"/>
            </w:pPr>
            <w:r>
              <w:rPr>
                <w:sz w:val="16"/>
              </w:rPr>
              <w:t>^2.104.1</w:t>
            </w:r>
          </w:p>
        </w:tc>
        <w:tc>
          <w:tcPr>
            <w:tcW w:type="dxa" w:w="6480"/>
            <w:vAlign w:val="top"/>
          </w:tcPr>
          <w:p>
            <w:pPr>
              <w:spacing w:after="0"/>
            </w:pPr>
            <w:r>
              <w:rPr>
                <w:sz w:val="16"/>
              </w:rPr>
              <w:t>Conexión a PostgreSQL/Supabase</w:t>
            </w:r>
          </w:p>
        </w:tc>
      </w:tr>
      <w:tr>
        <w:tc>
          <w:tcPr>
            <w:tcW w:type="dxa" w:w="2592"/>
            <w:vAlign w:val="top"/>
          </w:tcPr>
          <w:p>
            <w:pPr>
              <w:spacing w:after="0"/>
            </w:pPr>
            <w:r>
              <w:rPr>
                <w:sz w:val="16"/>
              </w:rPr>
              <w:t>ExcelJS</w:t>
            </w:r>
          </w:p>
        </w:tc>
        <w:tc>
          <w:tcPr>
            <w:tcW w:type="dxa" w:w="1872"/>
            <w:vAlign w:val="top"/>
          </w:tcPr>
          <w:p>
            <w:pPr>
              <w:spacing w:after="0"/>
            </w:pPr>
            <w:r>
              <w:rPr>
                <w:sz w:val="16"/>
              </w:rPr>
              <w:t>^4.4.0</w:t>
            </w:r>
          </w:p>
        </w:tc>
        <w:tc>
          <w:tcPr>
            <w:tcW w:type="dxa" w:w="6480"/>
            <w:vAlign w:val="top"/>
          </w:tcPr>
          <w:p>
            <w:pPr>
              <w:spacing w:after="0"/>
            </w:pPr>
            <w:r>
              <w:rPr>
                <w:sz w:val="16"/>
              </w:rPr>
              <w:t>Importación/exportación de Excel</w:t>
            </w:r>
          </w:p>
        </w:tc>
      </w:tr>
      <w:tr>
        <w:tc>
          <w:tcPr>
            <w:tcW w:type="dxa" w:w="2592"/>
            <w:vAlign w:val="top"/>
          </w:tcPr>
          <w:p>
            <w:pPr>
              <w:spacing w:after="0"/>
            </w:pPr>
            <w:r>
              <w:rPr>
                <w:sz w:val="16"/>
              </w:rPr>
              <w:t>Vitest</w:t>
            </w:r>
          </w:p>
        </w:tc>
        <w:tc>
          <w:tcPr>
            <w:tcW w:type="dxa" w:w="1872"/>
            <w:vAlign w:val="top"/>
          </w:tcPr>
          <w:p>
            <w:pPr>
              <w:spacing w:after="0"/>
            </w:pPr>
            <w:r>
              <w:rPr>
                <w:sz w:val="16"/>
              </w:rPr>
              <w:t>^4.1.5</w:t>
            </w:r>
          </w:p>
        </w:tc>
        <w:tc>
          <w:tcPr>
            <w:tcW w:type="dxa" w:w="6480"/>
            <w:vAlign w:val="top"/>
          </w:tcPr>
          <w:p>
            <w:pPr>
              <w:spacing w:after="0"/>
            </w:pPr>
            <w:r>
              <w:rPr>
                <w:sz w:val="16"/>
              </w:rPr>
              <w:t>Pruebas unitarias</w:t>
            </w:r>
          </w:p>
        </w:tc>
      </w:tr>
      <w:tr>
        <w:tc>
          <w:tcPr>
            <w:tcW w:type="dxa" w:w="2592"/>
            <w:vAlign w:val="top"/>
          </w:tcPr>
          <w:p>
            <w:pPr>
              <w:spacing w:after="0"/>
            </w:pPr>
            <w:r>
              <w:rPr>
                <w:sz w:val="16"/>
              </w:rPr>
              <w:t>Playwright</w:t>
            </w:r>
          </w:p>
        </w:tc>
        <w:tc>
          <w:tcPr>
            <w:tcW w:type="dxa" w:w="1872"/>
            <w:vAlign w:val="top"/>
          </w:tcPr>
          <w:p>
            <w:pPr>
              <w:spacing w:after="0"/>
            </w:pPr>
            <w:r>
              <w:rPr>
                <w:sz w:val="16"/>
              </w:rPr>
              <w:t>^1.57.0</w:t>
            </w:r>
          </w:p>
        </w:tc>
        <w:tc>
          <w:tcPr>
            <w:tcW w:type="dxa" w:w="6480"/>
            <w:vAlign w:val="top"/>
          </w:tcPr>
          <w:p>
            <w:pPr>
              <w:spacing w:after="0"/>
            </w:pPr>
            <w:r>
              <w:rPr>
                <w:sz w:val="16"/>
              </w:rPr>
              <w:t>Pruebas E2E</w:t>
            </w:r>
          </w:p>
        </w:tc>
      </w:tr>
    </w:tbl>
    <w:p/>
    <w:p>
      <w:pPr>
        <w:pStyle w:val="Heading1"/>
      </w:pPr>
      <w:r>
        <w:t>7. Modelo de datos principal</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448"/>
            <w:shd w:fill="1F4E79"/>
            <w:vAlign w:val="center"/>
          </w:tcPr>
          <w:p>
            <w:r>
              <w:rPr>
                <w:b/>
                <w:color w:val="FFFFFF"/>
                <w:sz w:val="16"/>
              </w:rPr>
              <w:t>Tabla / entidad</w:t>
            </w:r>
          </w:p>
        </w:tc>
        <w:tc>
          <w:tcPr>
            <w:tcW w:type="dxa" w:w="6048"/>
            <w:shd w:fill="1F4E79"/>
            <w:vAlign w:val="center"/>
          </w:tcPr>
          <w:p>
            <w:r>
              <w:rPr>
                <w:b/>
                <w:color w:val="FFFFFF"/>
                <w:sz w:val="16"/>
              </w:rPr>
              <w:t>Propósito</w:t>
            </w:r>
          </w:p>
        </w:tc>
        <w:tc>
          <w:tcPr>
            <w:tcW w:type="dxa" w:w="3312"/>
            <w:shd w:fill="1F4E79"/>
            <w:vAlign w:val="center"/>
          </w:tcPr>
          <w:p>
            <w:r>
              <w:rPr>
                <w:b/>
                <w:color w:val="FFFFFF"/>
                <w:sz w:val="16"/>
              </w:rPr>
              <w:t>Control aplicado</w:t>
            </w:r>
          </w:p>
        </w:tc>
      </w:tr>
      <w:tr>
        <w:tc>
          <w:tcPr>
            <w:tcW w:type="dxa" w:w="2448"/>
            <w:vAlign w:val="top"/>
          </w:tcPr>
          <w:p>
            <w:pPr>
              <w:spacing w:after="0"/>
            </w:pPr>
            <w:r>
              <w:rPr>
                <w:sz w:val="16"/>
              </w:rPr>
              <w:t>productos</w:t>
            </w:r>
          </w:p>
        </w:tc>
        <w:tc>
          <w:tcPr>
            <w:tcW w:type="dxa" w:w="6048"/>
            <w:vAlign w:val="top"/>
          </w:tcPr>
          <w:p>
            <w:pPr>
              <w:spacing w:after="0"/>
            </w:pPr>
            <w:r>
              <w:rPr>
                <w:sz w:val="16"/>
              </w:rPr>
              <w:t>Catálogo, variantes, campaña, stock y atributos comerciales</w:t>
            </w:r>
          </w:p>
        </w:tc>
        <w:tc>
          <w:tcPr>
            <w:tcW w:type="dxa" w:w="3312"/>
            <w:vAlign w:val="top"/>
          </w:tcPr>
          <w:p>
            <w:pPr>
              <w:spacing w:after="0"/>
            </w:pPr>
            <w:r>
              <w:rPr>
                <w:sz w:val="16"/>
              </w:rPr>
              <w:t>Lectura pública solo activa; escritura por admin/BFF</w:t>
            </w:r>
          </w:p>
        </w:tc>
      </w:tr>
      <w:tr>
        <w:tc>
          <w:tcPr>
            <w:tcW w:type="dxa" w:w="2448"/>
            <w:vAlign w:val="top"/>
          </w:tcPr>
          <w:p>
            <w:pPr>
              <w:spacing w:after="0"/>
            </w:pPr>
            <w:r>
              <w:rPr>
                <w:sz w:val="16"/>
              </w:rPr>
              <w:t>productoCodigos</w:t>
            </w:r>
          </w:p>
        </w:tc>
        <w:tc>
          <w:tcPr>
            <w:tcW w:type="dxa" w:w="6048"/>
            <w:vAlign w:val="top"/>
          </w:tcPr>
          <w:p>
            <w:pPr>
              <w:spacing w:after="0"/>
            </w:pPr>
            <w:r>
              <w:rPr>
                <w:sz w:val="16"/>
              </w:rPr>
              <w:t>Código único por producto y variante</w:t>
            </w:r>
          </w:p>
        </w:tc>
        <w:tc>
          <w:tcPr>
            <w:tcW w:type="dxa" w:w="3312"/>
            <w:vAlign w:val="top"/>
          </w:tcPr>
          <w:p>
            <w:pPr>
              <w:spacing w:after="0"/>
            </w:pPr>
            <w:r>
              <w:rPr>
                <w:sz w:val="16"/>
              </w:rPr>
              <w:t>Unicidad y guardas anti-duplicado</w:t>
            </w:r>
          </w:p>
        </w:tc>
      </w:tr>
      <w:tr>
        <w:tc>
          <w:tcPr>
            <w:tcW w:type="dxa" w:w="2448"/>
            <w:vAlign w:val="top"/>
          </w:tcPr>
          <w:p>
            <w:pPr>
              <w:spacing w:after="0"/>
            </w:pPr>
            <w:r>
              <w:rPr>
                <w:sz w:val="16"/>
              </w:rPr>
              <w:t>productoFinanzas</w:t>
            </w:r>
          </w:p>
        </w:tc>
        <w:tc>
          <w:tcPr>
            <w:tcW w:type="dxa" w:w="6048"/>
            <w:vAlign w:val="top"/>
          </w:tcPr>
          <w:p>
            <w:pPr>
              <w:spacing w:after="0"/>
            </w:pPr>
            <w:r>
              <w:rPr>
                <w:sz w:val="16"/>
              </w:rPr>
              <w:t>Costos, márgenes y precios sugeridos</w:t>
            </w:r>
          </w:p>
        </w:tc>
        <w:tc>
          <w:tcPr>
            <w:tcW w:type="dxa" w:w="3312"/>
            <w:vAlign w:val="top"/>
          </w:tcPr>
          <w:p>
            <w:pPr>
              <w:spacing w:after="0"/>
            </w:pPr>
            <w:r>
              <w:rPr>
                <w:sz w:val="16"/>
              </w:rPr>
              <w:t>Acceso administrativo y revocación a cliente</w:t>
            </w:r>
          </w:p>
        </w:tc>
      </w:tr>
      <w:tr>
        <w:tc>
          <w:tcPr>
            <w:tcW w:type="dxa" w:w="2448"/>
            <w:vAlign w:val="top"/>
          </w:tcPr>
          <w:p>
            <w:pPr>
              <w:spacing w:after="0"/>
            </w:pPr>
            <w:r>
              <w:rPr>
                <w:sz w:val="16"/>
              </w:rPr>
              <w:t>pedidos</w:t>
            </w:r>
          </w:p>
        </w:tc>
        <w:tc>
          <w:tcPr>
            <w:tcW w:type="dxa" w:w="6048"/>
            <w:vAlign w:val="top"/>
          </w:tcPr>
          <w:p>
            <w:pPr>
              <w:spacing w:after="0"/>
            </w:pPr>
            <w:r>
              <w:rPr>
                <w:sz w:val="16"/>
              </w:rPr>
              <w:t>Órdenes web, estado, pagos, dirección y totales</w:t>
            </w:r>
          </w:p>
        </w:tc>
        <w:tc>
          <w:tcPr>
            <w:tcW w:type="dxa" w:w="3312"/>
            <w:vAlign w:val="top"/>
          </w:tcPr>
          <w:p>
            <w:pPr>
              <w:spacing w:after="0"/>
            </w:pPr>
            <w:r>
              <w:rPr>
                <w:sz w:val="16"/>
              </w:rPr>
              <w:t>Máquina de estados, idempotencia, stock y auditoría</w:t>
            </w:r>
          </w:p>
        </w:tc>
      </w:tr>
      <w:tr>
        <w:tc>
          <w:tcPr>
            <w:tcW w:type="dxa" w:w="2448"/>
            <w:vAlign w:val="top"/>
          </w:tcPr>
          <w:p>
            <w:pPr>
              <w:spacing w:after="0"/>
            </w:pPr>
            <w:r>
              <w:rPr>
                <w:sz w:val="16"/>
              </w:rPr>
              <w:t>usuarios</w:t>
            </w:r>
          </w:p>
        </w:tc>
        <w:tc>
          <w:tcPr>
            <w:tcW w:type="dxa" w:w="6048"/>
            <w:vAlign w:val="top"/>
          </w:tcPr>
          <w:p>
            <w:pPr>
              <w:spacing w:after="0"/>
            </w:pPr>
            <w:r>
              <w:rPr>
                <w:sz w:val="16"/>
              </w:rPr>
              <w:t>Perfil extendido y rol</w:t>
            </w:r>
          </w:p>
        </w:tc>
        <w:tc>
          <w:tcPr>
            <w:tcW w:type="dxa" w:w="3312"/>
            <w:vAlign w:val="top"/>
          </w:tcPr>
          <w:p>
            <w:pPr>
              <w:spacing w:after="0"/>
            </w:pPr>
            <w:r>
              <w:rPr>
                <w:sz w:val="16"/>
              </w:rPr>
              <w:t>Firebase UID, PII minimizada, rol server-side</w:t>
            </w:r>
          </w:p>
        </w:tc>
      </w:tr>
      <w:tr>
        <w:tc>
          <w:tcPr>
            <w:tcW w:type="dxa" w:w="2448"/>
            <w:vAlign w:val="top"/>
          </w:tcPr>
          <w:p>
            <w:pPr>
              <w:spacing w:after="0"/>
            </w:pPr>
            <w:r>
              <w:rPr>
                <w:sz w:val="16"/>
              </w:rPr>
              <w:t>favoritos</w:t>
            </w:r>
          </w:p>
        </w:tc>
        <w:tc>
          <w:tcPr>
            <w:tcW w:type="dxa" w:w="6048"/>
            <w:vAlign w:val="top"/>
          </w:tcPr>
          <w:p>
            <w:pPr>
              <w:spacing w:after="0"/>
            </w:pPr>
            <w:r>
              <w:rPr>
                <w:sz w:val="16"/>
              </w:rPr>
              <w:t>Relación usuario-producto</w:t>
            </w:r>
          </w:p>
        </w:tc>
        <w:tc>
          <w:tcPr>
            <w:tcW w:type="dxa" w:w="3312"/>
            <w:vAlign w:val="top"/>
          </w:tcPr>
          <w:p>
            <w:pPr>
              <w:spacing w:after="0"/>
            </w:pPr>
            <w:r>
              <w:rPr>
                <w:sz w:val="16"/>
              </w:rPr>
              <w:t>Aislamiento por cuenta</w:t>
            </w:r>
          </w:p>
        </w:tc>
      </w:tr>
      <w:tr>
        <w:tc>
          <w:tcPr>
            <w:tcW w:type="dxa" w:w="2448"/>
            <w:vAlign w:val="top"/>
          </w:tcPr>
          <w:p>
            <w:pPr>
              <w:spacing w:after="0"/>
            </w:pPr>
            <w:r>
              <w:rPr>
                <w:sz w:val="16"/>
              </w:rPr>
              <w:t>ventasDiarias</w:t>
            </w:r>
          </w:p>
        </w:tc>
        <w:tc>
          <w:tcPr>
            <w:tcW w:type="dxa" w:w="6048"/>
            <w:vAlign w:val="top"/>
          </w:tcPr>
          <w:p>
            <w:pPr>
              <w:spacing w:after="0"/>
            </w:pPr>
            <w:r>
              <w:rPr>
                <w:sz w:val="16"/>
              </w:rPr>
              <w:t>Ventas físicas y devoluciones</w:t>
            </w:r>
          </w:p>
        </w:tc>
        <w:tc>
          <w:tcPr>
            <w:tcW w:type="dxa" w:w="3312"/>
            <w:vAlign w:val="top"/>
          </w:tcPr>
          <w:p>
            <w:pPr>
              <w:spacing w:after="0"/>
            </w:pPr>
            <w:r>
              <w:rPr>
                <w:sz w:val="16"/>
              </w:rPr>
              <w:t>RPC atómica y motivo de devolución</w:t>
            </w:r>
          </w:p>
        </w:tc>
      </w:tr>
      <w:tr>
        <w:tc>
          <w:tcPr>
            <w:tcW w:type="dxa" w:w="2448"/>
            <w:vAlign w:val="top"/>
          </w:tcPr>
          <w:p>
            <w:pPr>
              <w:spacing w:after="0"/>
            </w:pPr>
            <w:r>
              <w:rPr>
                <w:sz w:val="16"/>
              </w:rPr>
              <w:t>fabricantes</w:t>
            </w:r>
          </w:p>
        </w:tc>
        <w:tc>
          <w:tcPr>
            <w:tcW w:type="dxa" w:w="6048"/>
            <w:vAlign w:val="top"/>
          </w:tcPr>
          <w:p>
            <w:pPr>
              <w:spacing w:after="0"/>
            </w:pPr>
            <w:r>
              <w:rPr>
                <w:sz w:val="16"/>
              </w:rPr>
              <w:t>Marcas/proveedores</w:t>
            </w:r>
          </w:p>
        </w:tc>
        <w:tc>
          <w:tcPr>
            <w:tcW w:type="dxa" w:w="3312"/>
            <w:vAlign w:val="top"/>
          </w:tcPr>
          <w:p>
            <w:pPr>
              <w:spacing w:after="0"/>
            </w:pPr>
            <w:r>
              <w:rPr>
                <w:sz w:val="16"/>
              </w:rPr>
              <w:t>Redacción de datos sensibles en auditoría</w:t>
            </w:r>
          </w:p>
        </w:tc>
      </w:tr>
      <w:tr>
        <w:tc>
          <w:tcPr>
            <w:tcW w:type="dxa" w:w="2448"/>
            <w:vAlign w:val="top"/>
          </w:tcPr>
          <w:p>
            <w:pPr>
              <w:spacing w:after="0"/>
            </w:pPr>
            <w:r>
              <w:rPr>
                <w:sz w:val="16"/>
              </w:rPr>
              <w:t>auditoria</w:t>
            </w:r>
          </w:p>
        </w:tc>
        <w:tc>
          <w:tcPr>
            <w:tcW w:type="dxa" w:w="6048"/>
            <w:vAlign w:val="top"/>
          </w:tcPr>
          <w:p>
            <w:pPr>
              <w:spacing w:after="0"/>
            </w:pPr>
            <w:r>
              <w:rPr>
                <w:sz w:val="16"/>
              </w:rPr>
              <w:t>Eventos operativos y trazabilidad</w:t>
            </w:r>
          </w:p>
        </w:tc>
        <w:tc>
          <w:tcPr>
            <w:tcW w:type="dxa" w:w="3312"/>
            <w:vAlign w:val="top"/>
          </w:tcPr>
          <w:p>
            <w:pPr>
              <w:spacing w:after="0"/>
            </w:pPr>
            <w:r>
              <w:rPr>
                <w:sz w:val="16"/>
              </w:rPr>
              <w:t>RLS, service_role, allowlist y redacción PII</w:t>
            </w:r>
          </w:p>
        </w:tc>
      </w:tr>
      <w:tr>
        <w:tc>
          <w:tcPr>
            <w:tcW w:type="dxa" w:w="2448"/>
            <w:vAlign w:val="top"/>
          </w:tcPr>
          <w:p>
            <w:pPr>
              <w:spacing w:after="0"/>
            </w:pPr>
            <w:r>
              <w:rPr>
                <w:sz w:val="16"/>
              </w:rPr>
              <w:t>ireHistorial / modeloEstado</w:t>
            </w:r>
          </w:p>
        </w:tc>
        <w:tc>
          <w:tcPr>
            <w:tcW w:type="dxa" w:w="6048"/>
            <w:vAlign w:val="top"/>
          </w:tcPr>
          <w:p>
            <w:pPr>
              <w:spacing w:after="0"/>
            </w:pPr>
            <w:r>
              <w:rPr>
                <w:sz w:val="16"/>
              </w:rPr>
              <w:t>Historial de IA y estado de modelo</w:t>
            </w:r>
          </w:p>
        </w:tc>
        <w:tc>
          <w:tcPr>
            <w:tcW w:type="dxa" w:w="3312"/>
            <w:vAlign w:val="top"/>
          </w:tcPr>
          <w:p>
            <w:pPr>
              <w:spacing w:after="0"/>
            </w:pPr>
            <w:r>
              <w:rPr>
                <w:sz w:val="16"/>
              </w:rPr>
              <w:t>Versionado, métricas y trazabilidad</w:t>
            </w:r>
          </w:p>
        </w:tc>
      </w:tr>
    </w:tbl>
    <w:p/>
    <w:p>
      <w:pPr>
        <w:pStyle w:val="Heading1"/>
      </w:pPr>
      <w:r>
        <w:t>8. Seguridad, privacidad y controles</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304"/>
            <w:shd w:fill="1F4E79"/>
            <w:vAlign w:val="center"/>
          </w:tcPr>
          <w:p>
            <w:r>
              <w:rPr>
                <w:b/>
                <w:color w:val="FFFFFF"/>
                <w:sz w:val="16"/>
              </w:rPr>
              <w:t>Control</w:t>
            </w:r>
          </w:p>
        </w:tc>
        <w:tc>
          <w:tcPr>
            <w:tcW w:type="dxa" w:w="5472"/>
            <w:shd w:fill="1F4E79"/>
            <w:vAlign w:val="center"/>
          </w:tcPr>
          <w:p>
            <w:r>
              <w:rPr>
                <w:b/>
                <w:color w:val="FFFFFF"/>
                <w:sz w:val="16"/>
              </w:rPr>
              <w:t>Implementación</w:t>
            </w:r>
          </w:p>
        </w:tc>
        <w:tc>
          <w:tcPr>
            <w:tcW w:type="dxa" w:w="4032"/>
            <w:shd w:fill="1F4E79"/>
            <w:vAlign w:val="center"/>
          </w:tcPr>
          <w:p>
            <w:r>
              <w:rPr>
                <w:b/>
                <w:color w:val="FFFFFF"/>
                <w:sz w:val="16"/>
              </w:rPr>
              <w:t>Evidencia / resultado</w:t>
            </w:r>
          </w:p>
        </w:tc>
      </w:tr>
      <w:tr>
        <w:tc>
          <w:tcPr>
            <w:tcW w:type="dxa" w:w="2304"/>
            <w:vAlign w:val="top"/>
          </w:tcPr>
          <w:p>
            <w:pPr>
              <w:spacing w:after="0"/>
            </w:pPr>
            <w:r>
              <w:rPr>
                <w:sz w:val="16"/>
              </w:rPr>
              <w:t>Autenticación</w:t>
            </w:r>
          </w:p>
        </w:tc>
        <w:tc>
          <w:tcPr>
            <w:tcW w:type="dxa" w:w="5472"/>
            <w:vAlign w:val="top"/>
          </w:tcPr>
          <w:p>
            <w:pPr>
              <w:spacing w:after="0"/>
            </w:pPr>
            <w:r>
              <w:rPr>
                <w:sz w:val="16"/>
              </w:rPr>
              <w:t>Firebase Auth + verificación de token en BFF</w:t>
            </w:r>
          </w:p>
        </w:tc>
        <w:tc>
          <w:tcPr>
            <w:tcW w:type="dxa" w:w="4032"/>
            <w:vAlign w:val="top"/>
          </w:tcPr>
          <w:p>
            <w:pPr>
              <w:spacing w:after="0"/>
            </w:pPr>
            <w:r>
              <w:rPr>
                <w:sz w:val="16"/>
              </w:rPr>
              <w:t>server.cjs verifica usuario antes de operaciones sensibles</w:t>
            </w:r>
          </w:p>
        </w:tc>
      </w:tr>
      <w:tr>
        <w:tc>
          <w:tcPr>
            <w:tcW w:type="dxa" w:w="2304"/>
            <w:vAlign w:val="top"/>
          </w:tcPr>
          <w:p>
            <w:pPr>
              <w:spacing w:after="0"/>
            </w:pPr>
            <w:r>
              <w:rPr>
                <w:sz w:val="16"/>
              </w:rPr>
              <w:t>Autorización</w:t>
            </w:r>
          </w:p>
        </w:tc>
        <w:tc>
          <w:tcPr>
            <w:tcW w:type="dxa" w:w="5472"/>
            <w:vAlign w:val="top"/>
          </w:tcPr>
          <w:p>
            <w:pPr>
              <w:spacing w:after="0"/>
            </w:pPr>
            <w:r>
              <w:rPr>
                <w:sz w:val="16"/>
              </w:rPr>
              <w:t>Roles cliente, trabajador y admin</w:t>
            </w:r>
          </w:p>
        </w:tc>
        <w:tc>
          <w:tcPr>
            <w:tcW w:type="dxa" w:w="4032"/>
            <w:vAlign w:val="top"/>
          </w:tcPr>
          <w:p>
            <w:pPr>
              <w:spacing w:after="0"/>
            </w:pPr>
            <w:r>
              <w:rPr>
                <w:sz w:val="16"/>
              </w:rPr>
              <w:t>AreaRoute, accessControl y validación server-side</w:t>
            </w:r>
          </w:p>
        </w:tc>
      </w:tr>
      <w:tr>
        <w:tc>
          <w:tcPr>
            <w:tcW w:type="dxa" w:w="2304"/>
            <w:vAlign w:val="top"/>
          </w:tcPr>
          <w:p>
            <w:pPr>
              <w:spacing w:after="0"/>
            </w:pPr>
            <w:r>
              <w:rPr>
                <w:sz w:val="16"/>
              </w:rPr>
              <w:t>Base de datos</w:t>
            </w:r>
          </w:p>
        </w:tc>
        <w:tc>
          <w:tcPr>
            <w:tcW w:type="dxa" w:w="5472"/>
            <w:vAlign w:val="top"/>
          </w:tcPr>
          <w:p>
            <w:pPr>
              <w:spacing w:after="0"/>
            </w:pPr>
            <w:r>
              <w:rPr>
                <w:sz w:val="16"/>
              </w:rPr>
              <w:t>RLS, REVOKE y service_role solo en BFF</w:t>
            </w:r>
          </w:p>
        </w:tc>
        <w:tc>
          <w:tcPr>
            <w:tcW w:type="dxa" w:w="4032"/>
            <w:vAlign w:val="top"/>
          </w:tcPr>
          <w:p>
            <w:pPr>
              <w:spacing w:after="0"/>
            </w:pPr>
            <w:r>
              <w:rPr>
                <w:sz w:val="16"/>
              </w:rPr>
              <w:t>supabase/RLS-MATRIX.md y migraciones de hardening</w:t>
            </w:r>
          </w:p>
        </w:tc>
      </w:tr>
      <w:tr>
        <w:tc>
          <w:tcPr>
            <w:tcW w:type="dxa" w:w="2304"/>
            <w:vAlign w:val="top"/>
          </w:tcPr>
          <w:p>
            <w:pPr>
              <w:spacing w:after="0"/>
            </w:pPr>
            <w:r>
              <w:rPr>
                <w:sz w:val="16"/>
              </w:rPr>
              <w:t>Pedidos/Stripe</w:t>
            </w:r>
          </w:p>
        </w:tc>
        <w:tc>
          <w:tcPr>
            <w:tcW w:type="dxa" w:w="5472"/>
            <w:vAlign w:val="top"/>
          </w:tcPr>
          <w:p>
            <w:pPr>
              <w:spacing w:after="0"/>
            </w:pPr>
            <w:r>
              <w:rPr>
                <w:sz w:val="16"/>
              </w:rPr>
              <w:t>Webhook firmado y bloqueo de pagado manual para Stripe</w:t>
            </w:r>
          </w:p>
        </w:tc>
        <w:tc>
          <w:tcPr>
            <w:tcW w:type="dxa" w:w="4032"/>
            <w:vAlign w:val="top"/>
          </w:tcPr>
          <w:p>
            <w:pPr>
              <w:spacing w:after="0"/>
            </w:pPr>
            <w:r>
              <w:rPr>
                <w:sz w:val="16"/>
              </w:rPr>
              <w:t>server.cjs /stripeWebhook y /updateOrderStatus</w:t>
            </w:r>
          </w:p>
        </w:tc>
      </w:tr>
      <w:tr>
        <w:tc>
          <w:tcPr>
            <w:tcW w:type="dxa" w:w="2304"/>
            <w:vAlign w:val="top"/>
          </w:tcPr>
          <w:p>
            <w:pPr>
              <w:spacing w:after="0"/>
            </w:pPr>
            <w:r>
              <w:rPr>
                <w:sz w:val="16"/>
              </w:rPr>
              <w:t>DNI/App Check</w:t>
            </w:r>
          </w:p>
        </w:tc>
        <w:tc>
          <w:tcPr>
            <w:tcW w:type="dxa" w:w="5472"/>
            <w:vAlign w:val="top"/>
          </w:tcPr>
          <w:p>
            <w:pPr>
              <w:spacing w:after="0"/>
            </w:pPr>
            <w:r>
              <w:rPr>
                <w:sz w:val="16"/>
              </w:rPr>
              <w:t>App Check, rate limit y proof secret en servidor</w:t>
            </w:r>
          </w:p>
        </w:tc>
        <w:tc>
          <w:tcPr>
            <w:tcW w:type="dxa" w:w="4032"/>
            <w:vAlign w:val="top"/>
          </w:tcPr>
          <w:p>
            <w:pPr>
              <w:spacing w:after="0"/>
            </w:pPr>
            <w:r>
              <w:rPr>
                <w:sz w:val="16"/>
              </w:rPr>
              <w:t>REQUIRE_DNI_APPCHECK y DNI_LOOKUP_PROOF_SECRET en BFF</w:t>
            </w:r>
          </w:p>
        </w:tc>
      </w:tr>
      <w:tr>
        <w:tc>
          <w:tcPr>
            <w:tcW w:type="dxa" w:w="2304"/>
            <w:vAlign w:val="top"/>
          </w:tcPr>
          <w:p>
            <w:pPr>
              <w:spacing w:after="0"/>
            </w:pPr>
            <w:r>
              <w:rPr>
                <w:sz w:val="16"/>
              </w:rPr>
              <w:t>Auditoría</w:t>
            </w:r>
          </w:p>
        </w:tc>
        <w:tc>
          <w:tcPr>
            <w:tcW w:type="dxa" w:w="5472"/>
            <w:vAlign w:val="top"/>
          </w:tcPr>
          <w:p>
            <w:pPr>
              <w:spacing w:after="0"/>
            </w:pPr>
            <w:r>
              <w:rPr>
                <w:sz w:val="16"/>
              </w:rPr>
              <w:t>BFF/service_role, allowlist por rol y redacción PII</w:t>
            </w:r>
          </w:p>
        </w:tc>
        <w:tc>
          <w:tcPr>
            <w:tcW w:type="dxa" w:w="4032"/>
            <w:vAlign w:val="top"/>
          </w:tcPr>
          <w:p>
            <w:pPr>
              <w:spacing w:after="0"/>
            </w:pPr>
            <w:r>
              <w:rPr>
                <w:sz w:val="16"/>
              </w:rPr>
              <w:t>auditoria, auditPii y migraciones de redacción</w:t>
            </w:r>
          </w:p>
        </w:tc>
      </w:tr>
      <w:tr>
        <w:tc>
          <w:tcPr>
            <w:tcW w:type="dxa" w:w="2304"/>
            <w:vAlign w:val="top"/>
          </w:tcPr>
          <w:p>
            <w:pPr>
              <w:spacing w:after="0"/>
            </w:pPr>
            <w:r>
              <w:rPr>
                <w:sz w:val="16"/>
              </w:rPr>
              <w:t>DAST</w:t>
            </w:r>
          </w:p>
        </w:tc>
        <w:tc>
          <w:tcPr>
            <w:tcW w:type="dxa" w:w="5472"/>
            <w:vAlign w:val="top"/>
          </w:tcPr>
          <w:p>
            <w:pPr>
              <w:spacing w:after="0"/>
            </w:pPr>
            <w:r>
              <w:rPr>
                <w:sz w:val="16"/>
              </w:rPr>
              <w:t>OWASP ZAP Docker: 0 altas, 3 medias, 3 bajas, 12 informativas</w:t>
            </w:r>
          </w:p>
        </w:tc>
        <w:tc>
          <w:tcPr>
            <w:tcW w:type="dxa" w:w="4032"/>
            <w:vAlign w:val="top"/>
          </w:tcPr>
          <w:p>
            <w:pPr>
              <w:spacing w:after="0"/>
            </w:pPr>
            <w:r>
              <w:rPr>
                <w:sz w:val="16"/>
              </w:rPr>
              <w:t>Sin alertas altas/críticas en reporte v2</w:t>
            </w:r>
          </w:p>
        </w:tc>
      </w:tr>
      <w:tr>
        <w:tc>
          <w:tcPr>
            <w:tcW w:type="dxa" w:w="2304"/>
            <w:vAlign w:val="top"/>
          </w:tcPr>
          <w:p>
            <w:pPr>
              <w:spacing w:after="0"/>
            </w:pPr>
            <w:r>
              <w:rPr>
                <w:sz w:val="16"/>
              </w:rPr>
              <w:t>Secretos</w:t>
            </w:r>
          </w:p>
        </w:tc>
        <w:tc>
          <w:tcPr>
            <w:tcW w:type="dxa" w:w="5472"/>
            <w:vAlign w:val="top"/>
          </w:tcPr>
          <w:p>
            <w:pPr>
              <w:spacing w:after="0"/>
            </w:pPr>
            <w:r>
              <w:rPr>
                <w:sz w:val="16"/>
              </w:rPr>
              <w:t>Variables privadas fuera del frontend</w:t>
            </w:r>
          </w:p>
        </w:tc>
        <w:tc>
          <w:tcPr>
            <w:tcW w:type="dxa" w:w="4032"/>
            <w:vAlign w:val="top"/>
          </w:tcPr>
          <w:p>
            <w:pPr>
              <w:spacing w:after="0"/>
            </w:pPr>
            <w:r>
              <w:rPr>
                <w:sz w:val="16"/>
              </w:rPr>
              <w:t>SUPABASE_SERVICE_ROLE_KEY, Stripe secrets y DNI secrets en servidor</w:t>
            </w:r>
          </w:p>
        </w:tc>
      </w:tr>
    </w:tbl>
    <w:p/>
    <w:p>
      <w:pPr>
        <w:pStyle w:val="Heading1"/>
      </w:pPr>
      <w:r>
        <w:t>9. Inteligencia artificial y datos</w:t>
      </w:r>
    </w:p>
    <w:p>
      <w:pPr>
        <w:pStyle w:val="ListBullet"/>
        <w:spacing w:after="0"/>
      </w:pPr>
      <w:r>
        <w:t>El módulo IA apoya la predicción de demanda y el análisis del riesgo empresarial mediante indicadores operativos y comerciales.</w:t>
      </w:r>
    </w:p>
    <w:p>
      <w:pPr>
        <w:pStyle w:val="ListBullet"/>
        <w:spacing w:after="0"/>
      </w:pPr>
      <w:r>
        <w:t>Incluye data_sufficient, historial IRE, métricas, feature importances, backtesting y reportes de calidad de datos.</w:t>
      </w:r>
    </w:p>
    <w:p>
      <w:pPr>
        <w:pStyle w:val="ListBullet"/>
        <w:spacing w:after="0"/>
      </w:pPr>
      <w:r>
        <w:t>Los controles están alineados con ISO/IEC 42001 para gobierno de IA, ISO/IEC 25012 para calidad de datos e ISO/IEC 29119 para pruebas.</w:t>
      </w:r>
    </w:p>
    <w:p>
      <w:pPr>
        <w:pStyle w:val="ListBullet"/>
        <w:spacing w:after="0"/>
      </w:pPr>
      <w:r>
        <w:t>El sistema mantiene salida explicable para administración: nivel de riesgo, recomendaciones, tendencias y métricas asociadas.</w:t>
      </w:r>
    </w:p>
    <w:p>
      <w:pPr>
        <w:pStyle w:val="Heading1"/>
      </w:pPr>
      <w:r>
        <w:t>10. Pruebas, calidad y capacidad</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2016"/>
            <w:shd w:fill="1F4E79"/>
            <w:vAlign w:val="center"/>
          </w:tcPr>
          <w:p>
            <w:r>
              <w:rPr>
                <w:b/>
                <w:color w:val="FFFFFF"/>
                <w:sz w:val="16"/>
              </w:rPr>
              <w:t>Tipo</w:t>
            </w:r>
          </w:p>
        </w:tc>
        <w:tc>
          <w:tcPr>
            <w:tcW w:type="dxa" w:w="2160"/>
            <w:shd w:fill="1F4E79"/>
            <w:vAlign w:val="center"/>
          </w:tcPr>
          <w:p>
            <w:r>
              <w:rPr>
                <w:b/>
                <w:color w:val="FFFFFF"/>
                <w:sz w:val="16"/>
              </w:rPr>
              <w:t>Herramienta</w:t>
            </w:r>
          </w:p>
        </w:tc>
        <w:tc>
          <w:tcPr>
            <w:tcW w:type="dxa" w:w="6768"/>
            <w:shd w:fill="1F4E79"/>
            <w:vAlign w:val="center"/>
          </w:tcPr>
          <w:p>
            <w:r>
              <w:rPr>
                <w:b/>
                <w:color w:val="FFFFFF"/>
                <w:sz w:val="16"/>
              </w:rPr>
              <w:t>Cobertura / evidencia</w:t>
            </w:r>
          </w:p>
        </w:tc>
        <w:tc>
          <w:tcPr>
            <w:tcW w:type="dxa" w:w="1296"/>
            <w:shd w:fill="1F4E79"/>
            <w:vAlign w:val="center"/>
          </w:tcPr>
          <w:p>
            <w:r>
              <w:rPr>
                <w:b/>
                <w:color w:val="FFFFFF"/>
                <w:sz w:val="16"/>
              </w:rPr>
              <w:t>Estado</w:t>
            </w:r>
          </w:p>
        </w:tc>
      </w:tr>
      <w:tr>
        <w:tc>
          <w:tcPr>
            <w:tcW w:type="dxa" w:w="2016"/>
            <w:vAlign w:val="top"/>
          </w:tcPr>
          <w:p>
            <w:pPr>
              <w:spacing w:after="0"/>
            </w:pPr>
            <w:r>
              <w:rPr>
                <w:sz w:val="16"/>
              </w:rPr>
              <w:t>Unitarias</w:t>
            </w:r>
          </w:p>
        </w:tc>
        <w:tc>
          <w:tcPr>
            <w:tcW w:type="dxa" w:w="2160"/>
            <w:vAlign w:val="top"/>
          </w:tcPr>
          <w:p>
            <w:pPr>
              <w:spacing w:after="0"/>
            </w:pPr>
            <w:r>
              <w:rPr>
                <w:sz w:val="16"/>
              </w:rPr>
              <w:t>Vitest</w:t>
            </w:r>
          </w:p>
        </w:tc>
        <w:tc>
          <w:tcPr>
            <w:tcW w:type="dxa" w:w="6768"/>
            <w:vAlign w:val="top"/>
          </w:tcPr>
          <w:p>
            <w:pPr>
              <w:spacing w:after="0"/>
            </w:pPr>
            <w:r>
              <w:rPr>
                <w:sz w:val="16"/>
              </w:rPr>
              <w:t>Servicios, utilidades, guardas BFF, RLS, PII y reglas de negocio</w:t>
            </w:r>
          </w:p>
        </w:tc>
        <w:tc>
          <w:tcPr>
            <w:tcW w:type="dxa" w:w="1296"/>
            <w:vAlign w:val="top"/>
          </w:tcPr>
          <w:p>
            <w:pPr>
              <w:spacing w:after="0"/>
            </w:pPr>
            <w:r>
              <w:rPr>
                <w:sz w:val="16"/>
              </w:rPr>
              <w:t>VERDE</w:t>
            </w:r>
          </w:p>
        </w:tc>
      </w:tr>
      <w:tr>
        <w:tc>
          <w:tcPr>
            <w:tcW w:type="dxa" w:w="2016"/>
            <w:vAlign w:val="top"/>
          </w:tcPr>
          <w:p>
            <w:pPr>
              <w:spacing w:after="0"/>
            </w:pPr>
            <w:r>
              <w:rPr>
                <w:sz w:val="16"/>
              </w:rPr>
              <w:t>E2E</w:t>
            </w:r>
          </w:p>
        </w:tc>
        <w:tc>
          <w:tcPr>
            <w:tcW w:type="dxa" w:w="2160"/>
            <w:vAlign w:val="top"/>
          </w:tcPr>
          <w:p>
            <w:pPr>
              <w:spacing w:after="0"/>
            </w:pPr>
            <w:r>
              <w:rPr>
                <w:sz w:val="16"/>
              </w:rPr>
              <w:t>Playwright</w:t>
            </w:r>
          </w:p>
        </w:tc>
        <w:tc>
          <w:tcPr>
            <w:tcW w:type="dxa" w:w="6768"/>
            <w:vAlign w:val="top"/>
          </w:tcPr>
          <w:p>
            <w:pPr>
              <w:spacing w:after="0"/>
            </w:pPr>
            <w:r>
              <w:rPr>
                <w:sz w:val="16"/>
              </w:rPr>
              <w:t>Home, catálogo, carrito, checkout, admin, ventas, usuarios, Excel y accesibilidad</w:t>
            </w:r>
          </w:p>
        </w:tc>
        <w:tc>
          <w:tcPr>
            <w:tcW w:type="dxa" w:w="1296"/>
            <w:vAlign w:val="top"/>
          </w:tcPr>
          <w:p>
            <w:pPr>
              <w:spacing w:after="0"/>
            </w:pPr>
            <w:r>
              <w:rPr>
                <w:sz w:val="16"/>
              </w:rPr>
              <w:t>VERDE</w:t>
            </w:r>
          </w:p>
        </w:tc>
      </w:tr>
      <w:tr>
        <w:tc>
          <w:tcPr>
            <w:tcW w:type="dxa" w:w="2016"/>
            <w:vAlign w:val="top"/>
          </w:tcPr>
          <w:p>
            <w:pPr>
              <w:spacing w:after="0"/>
            </w:pPr>
            <w:r>
              <w:rPr>
                <w:sz w:val="16"/>
              </w:rPr>
              <w:t>Seguridad dinámica</w:t>
            </w:r>
          </w:p>
        </w:tc>
        <w:tc>
          <w:tcPr>
            <w:tcW w:type="dxa" w:w="2160"/>
            <w:vAlign w:val="top"/>
          </w:tcPr>
          <w:p>
            <w:pPr>
              <w:spacing w:after="0"/>
            </w:pPr>
            <w:r>
              <w:rPr>
                <w:sz w:val="16"/>
              </w:rPr>
              <w:t>OWASP ZAP Docker</w:t>
            </w:r>
          </w:p>
        </w:tc>
        <w:tc>
          <w:tcPr>
            <w:tcW w:type="dxa" w:w="6768"/>
            <w:vAlign w:val="top"/>
          </w:tcPr>
          <w:p>
            <w:pPr>
              <w:spacing w:after="0"/>
            </w:pPr>
            <w:r>
              <w:rPr>
                <w:sz w:val="16"/>
              </w:rPr>
              <w:t>Reporte producción v2 sin alertas altas/críticas</w:t>
            </w:r>
          </w:p>
        </w:tc>
        <w:tc>
          <w:tcPr>
            <w:tcW w:type="dxa" w:w="1296"/>
            <w:vAlign w:val="top"/>
          </w:tcPr>
          <w:p>
            <w:pPr>
              <w:spacing w:after="0"/>
            </w:pPr>
            <w:r>
              <w:rPr>
                <w:sz w:val="16"/>
              </w:rPr>
              <w:t>VERDE</w:t>
            </w:r>
          </w:p>
        </w:tc>
      </w:tr>
      <w:tr>
        <w:tc>
          <w:tcPr>
            <w:tcW w:type="dxa" w:w="2016"/>
            <w:vAlign w:val="top"/>
          </w:tcPr>
          <w:p>
            <w:pPr>
              <w:spacing w:after="0"/>
            </w:pPr>
            <w:r>
              <w:rPr>
                <w:sz w:val="16"/>
              </w:rPr>
              <w:t>Estrés web</w:t>
            </w:r>
          </w:p>
        </w:tc>
        <w:tc>
          <w:tcPr>
            <w:tcW w:type="dxa" w:w="2160"/>
            <w:vAlign w:val="top"/>
          </w:tcPr>
          <w:p>
            <w:pPr>
              <w:spacing w:after="0"/>
            </w:pPr>
            <w:r>
              <w:rPr>
                <w:sz w:val="16"/>
              </w:rPr>
              <w:t>autocannon</w:t>
            </w:r>
          </w:p>
        </w:tc>
        <w:tc>
          <w:tcPr>
            <w:tcW w:type="dxa" w:w="6768"/>
            <w:vAlign w:val="top"/>
          </w:tcPr>
          <w:p>
            <w:pPr>
              <w:spacing w:after="0"/>
            </w:pPr>
            <w:r>
              <w:rPr>
                <w:sz w:val="16"/>
              </w:rPr>
              <w:t>2000 conexiones concurrentes; 0 errores; 0 respuestas no 2xx; p99 359 ms</w:t>
            </w:r>
          </w:p>
        </w:tc>
        <w:tc>
          <w:tcPr>
            <w:tcW w:type="dxa" w:w="1296"/>
            <w:vAlign w:val="top"/>
          </w:tcPr>
          <w:p>
            <w:pPr>
              <w:spacing w:after="0"/>
            </w:pPr>
            <w:r>
              <w:rPr>
                <w:sz w:val="16"/>
              </w:rPr>
              <w:t>VERDE</w:t>
            </w:r>
          </w:p>
        </w:tc>
      </w:tr>
      <w:tr>
        <w:tc>
          <w:tcPr>
            <w:tcW w:type="dxa" w:w="2016"/>
            <w:vAlign w:val="top"/>
          </w:tcPr>
          <w:p>
            <w:pPr>
              <w:spacing w:after="0"/>
            </w:pPr>
            <w:r>
              <w:rPr>
                <w:sz w:val="16"/>
              </w:rPr>
              <w:t>Carga mixta</w:t>
            </w:r>
          </w:p>
        </w:tc>
        <w:tc>
          <w:tcPr>
            <w:tcW w:type="dxa" w:w="2160"/>
            <w:vAlign w:val="top"/>
          </w:tcPr>
          <w:p>
            <w:pPr>
              <w:spacing w:after="0"/>
            </w:pPr>
            <w:r>
              <w:rPr>
                <w:sz w:val="16"/>
              </w:rPr>
              <w:t>k6</w:t>
            </w:r>
          </w:p>
        </w:tc>
        <w:tc>
          <w:tcPr>
            <w:tcW w:type="dxa" w:w="6768"/>
            <w:vAlign w:val="top"/>
          </w:tcPr>
          <w:p>
            <w:pPr>
              <w:spacing w:after="0"/>
            </w:pPr>
            <w:r>
              <w:rPr>
                <w:sz w:val="16"/>
              </w:rPr>
              <w:t>p95 catálogo 500 VUs: 333.04 ms / p95 BFF 1000 VUs: 1.07 ms</w:t>
            </w:r>
          </w:p>
        </w:tc>
        <w:tc>
          <w:tcPr>
            <w:tcW w:type="dxa" w:w="1296"/>
            <w:vAlign w:val="top"/>
          </w:tcPr>
          <w:p>
            <w:pPr>
              <w:spacing w:after="0"/>
            </w:pPr>
            <w:r>
              <w:rPr>
                <w:sz w:val="16"/>
              </w:rPr>
              <w:t>VERDE</w:t>
            </w:r>
          </w:p>
        </w:tc>
      </w:tr>
      <w:tr>
        <w:tc>
          <w:tcPr>
            <w:tcW w:type="dxa" w:w="2016"/>
            <w:vAlign w:val="top"/>
          </w:tcPr>
          <w:p>
            <w:pPr>
              <w:spacing w:after="0"/>
            </w:pPr>
            <w:r>
              <w:rPr>
                <w:sz w:val="16"/>
              </w:rPr>
              <w:t>CI/CD</w:t>
            </w:r>
          </w:p>
        </w:tc>
        <w:tc>
          <w:tcPr>
            <w:tcW w:type="dxa" w:w="2160"/>
            <w:vAlign w:val="top"/>
          </w:tcPr>
          <w:p>
            <w:pPr>
              <w:spacing w:after="0"/>
            </w:pPr>
            <w:r>
              <w:rPr>
                <w:sz w:val="16"/>
              </w:rPr>
              <w:t>GitHub Actions</w:t>
            </w:r>
          </w:p>
        </w:tc>
        <w:tc>
          <w:tcPr>
            <w:tcW w:type="dxa" w:w="6768"/>
            <w:vAlign w:val="top"/>
          </w:tcPr>
          <w:p>
            <w:pPr>
              <w:spacing w:after="0"/>
            </w:pPr>
            <w:r>
              <w:rPr>
                <w:sz w:val="16"/>
              </w:rPr>
              <w:t>Lint, typecheck, test, build, Docker, AI, migrations y deploy gates</w:t>
            </w:r>
          </w:p>
        </w:tc>
        <w:tc>
          <w:tcPr>
            <w:tcW w:type="dxa" w:w="1296"/>
            <w:vAlign w:val="top"/>
          </w:tcPr>
          <w:p>
            <w:pPr>
              <w:spacing w:after="0"/>
            </w:pPr>
            <w:r>
              <w:rPr>
                <w:sz w:val="16"/>
              </w:rPr>
              <w:t>VERDE</w:t>
            </w:r>
          </w:p>
        </w:tc>
      </w:tr>
      <w:tr>
        <w:tc>
          <w:tcPr>
            <w:tcW w:type="dxa" w:w="2016"/>
            <w:vAlign w:val="top"/>
          </w:tcPr>
          <w:p>
            <w:pPr>
              <w:spacing w:after="0"/>
            </w:pPr>
            <w:r>
              <w:rPr>
                <w:sz w:val="16"/>
              </w:rPr>
              <w:t>Continuidad</w:t>
            </w:r>
          </w:p>
        </w:tc>
        <w:tc>
          <w:tcPr>
            <w:tcW w:type="dxa" w:w="2160"/>
            <w:vAlign w:val="top"/>
          </w:tcPr>
          <w:p>
            <w:pPr>
              <w:spacing w:after="0"/>
            </w:pPr>
            <w:r>
              <w:rPr>
                <w:sz w:val="16"/>
              </w:rPr>
              <w:t>Restore drill</w:t>
            </w:r>
          </w:p>
        </w:tc>
        <w:tc>
          <w:tcPr>
            <w:tcW w:type="dxa" w:w="6768"/>
            <w:vAlign w:val="top"/>
          </w:tcPr>
          <w:p>
            <w:pPr>
              <w:spacing w:after="0"/>
            </w:pPr>
            <w:r>
              <w:rPr>
                <w:sz w:val="16"/>
              </w:rPr>
              <w:t>Readiness y evidencia versionada de recuperación</w:t>
            </w:r>
          </w:p>
        </w:tc>
        <w:tc>
          <w:tcPr>
            <w:tcW w:type="dxa" w:w="1296"/>
            <w:vAlign w:val="top"/>
          </w:tcPr>
          <w:p>
            <w:pPr>
              <w:spacing w:after="0"/>
            </w:pPr>
            <w:r>
              <w:rPr>
                <w:sz w:val="16"/>
              </w:rPr>
              <w:t>VERDE</w:t>
            </w:r>
          </w:p>
        </w:tc>
      </w:tr>
      <w:tr>
        <w:tc>
          <w:tcPr>
            <w:tcW w:type="dxa" w:w="2016"/>
            <w:vAlign w:val="top"/>
          </w:tcPr>
          <w:p>
            <w:pPr>
              <w:spacing w:after="0"/>
            </w:pPr>
            <w:r>
              <w:rPr>
                <w:sz w:val="16"/>
              </w:rPr>
              <w:t>Calidad estática</w:t>
            </w:r>
          </w:p>
        </w:tc>
        <w:tc>
          <w:tcPr>
            <w:tcW w:type="dxa" w:w="2160"/>
            <w:vAlign w:val="top"/>
          </w:tcPr>
          <w:p>
            <w:pPr>
              <w:spacing w:after="0"/>
            </w:pPr>
            <w:r>
              <w:rPr>
                <w:sz w:val="16"/>
              </w:rPr>
              <w:t>ESLint / TypeScript / Sonar</w:t>
            </w:r>
          </w:p>
        </w:tc>
        <w:tc>
          <w:tcPr>
            <w:tcW w:type="dxa" w:w="6768"/>
            <w:vAlign w:val="top"/>
          </w:tcPr>
          <w:p>
            <w:pPr>
              <w:spacing w:after="0"/>
            </w:pPr>
            <w:r>
              <w:rPr>
                <w:sz w:val="16"/>
              </w:rPr>
              <w:t>Preflight y smells críticos corregidos</w:t>
            </w:r>
          </w:p>
        </w:tc>
        <w:tc>
          <w:tcPr>
            <w:tcW w:type="dxa" w:w="1296"/>
            <w:vAlign w:val="top"/>
          </w:tcPr>
          <w:p>
            <w:pPr>
              <w:spacing w:after="0"/>
            </w:pPr>
            <w:r>
              <w:rPr>
                <w:sz w:val="16"/>
              </w:rPr>
              <w:t>VERDE</w:t>
            </w:r>
          </w:p>
        </w:tc>
      </w:tr>
    </w:tbl>
    <w:p/>
    <w:p>
      <w:pPr>
        <w:pStyle w:val="Heading1"/>
      </w:pPr>
      <w:r>
        <w:t>11. Requisitos de instalación y operación</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3168"/>
            <w:shd w:fill="1F4E79"/>
            <w:vAlign w:val="center"/>
          </w:tcPr>
          <w:p>
            <w:r>
              <w:rPr>
                <w:b/>
                <w:color w:val="FFFFFF"/>
                <w:sz w:val="16"/>
              </w:rPr>
              <w:t>Elemento</w:t>
            </w:r>
          </w:p>
        </w:tc>
        <w:tc>
          <w:tcPr>
            <w:tcW w:type="dxa" w:w="7920"/>
            <w:shd w:fill="1F4E79"/>
            <w:vAlign w:val="center"/>
          </w:tcPr>
          <w:p>
            <w:r>
              <w:rPr>
                <w:b/>
                <w:color w:val="FFFFFF"/>
                <w:sz w:val="16"/>
              </w:rPr>
              <w:t>Requisito</w:t>
            </w:r>
          </w:p>
        </w:tc>
      </w:tr>
      <w:tr>
        <w:tc>
          <w:tcPr>
            <w:tcW w:type="dxa" w:w="3168"/>
            <w:vAlign w:val="top"/>
          </w:tcPr>
          <w:p>
            <w:pPr>
              <w:spacing w:after="0"/>
            </w:pPr>
            <w:r>
              <w:rPr>
                <w:sz w:val="16"/>
              </w:rPr>
              <w:t>Navegador</w:t>
            </w:r>
          </w:p>
        </w:tc>
        <w:tc>
          <w:tcPr>
            <w:tcW w:type="dxa" w:w="7920"/>
            <w:vAlign w:val="top"/>
          </w:tcPr>
          <w:p>
            <w:pPr>
              <w:spacing w:after="0"/>
            </w:pPr>
            <w:r>
              <w:rPr>
                <w:sz w:val="16"/>
              </w:rPr>
              <w:t>Chrome, Edge, Firefox o equivalente moderno</w:t>
            </w:r>
          </w:p>
        </w:tc>
      </w:tr>
      <w:tr>
        <w:tc>
          <w:tcPr>
            <w:tcW w:type="dxa" w:w="3168"/>
            <w:vAlign w:val="top"/>
          </w:tcPr>
          <w:p>
            <w:pPr>
              <w:spacing w:after="0"/>
            </w:pPr>
            <w:r>
              <w:rPr>
                <w:sz w:val="16"/>
              </w:rPr>
              <w:t>Node.js</w:t>
            </w:r>
          </w:p>
        </w:tc>
        <w:tc>
          <w:tcPr>
            <w:tcW w:type="dxa" w:w="7920"/>
            <w:vAlign w:val="top"/>
          </w:tcPr>
          <w:p>
            <w:pPr>
              <w:spacing w:after="0"/>
            </w:pPr>
            <w:r>
              <w:rPr>
                <w:sz w:val="16"/>
              </w:rPr>
              <w:t>Compatible con el entorno del proyecto y dependencias npm</w:t>
            </w:r>
          </w:p>
        </w:tc>
      </w:tr>
      <w:tr>
        <w:tc>
          <w:tcPr>
            <w:tcW w:type="dxa" w:w="3168"/>
            <w:vAlign w:val="top"/>
          </w:tcPr>
          <w:p>
            <w:pPr>
              <w:spacing w:after="0"/>
            </w:pPr>
            <w:r>
              <w:rPr>
                <w:sz w:val="16"/>
              </w:rPr>
              <w:t>Variables públicas frontend</w:t>
            </w:r>
          </w:p>
        </w:tc>
        <w:tc>
          <w:tcPr>
            <w:tcW w:type="dxa" w:w="7920"/>
            <w:vAlign w:val="top"/>
          </w:tcPr>
          <w:p>
            <w:pPr>
              <w:spacing w:after="0"/>
            </w:pPr>
            <w:r>
              <w:rPr>
                <w:sz w:val="16"/>
              </w:rPr>
              <w:t>VITE_SUPABASE_URL, VITE_SUPABASE_ANON_KEY, VITE_FIREBASE_* y site key pública de App Check</w:t>
            </w:r>
          </w:p>
        </w:tc>
      </w:tr>
      <w:tr>
        <w:tc>
          <w:tcPr>
            <w:tcW w:type="dxa" w:w="3168"/>
            <w:vAlign w:val="top"/>
          </w:tcPr>
          <w:p>
            <w:pPr>
              <w:spacing w:after="0"/>
            </w:pPr>
            <w:r>
              <w:rPr>
                <w:sz w:val="16"/>
              </w:rPr>
              <w:t>Variables privadas servidor</w:t>
            </w:r>
          </w:p>
        </w:tc>
        <w:tc>
          <w:tcPr>
            <w:tcW w:type="dxa" w:w="7920"/>
            <w:vAlign w:val="top"/>
          </w:tcPr>
          <w:p>
            <w:pPr>
              <w:spacing w:after="0"/>
            </w:pPr>
            <w:r>
              <w:rPr>
                <w:sz w:val="16"/>
              </w:rPr>
              <w:t>SUPABASE_SERVICE_ROLE_KEY, STRIPE_SECRET_KEY, STRIPE_WEBHOOK_SECRET, DNI_LOOKUP_PROOF_SECRET, tokens de proveedores y claves IA</w:t>
            </w:r>
          </w:p>
        </w:tc>
      </w:tr>
      <w:tr>
        <w:tc>
          <w:tcPr>
            <w:tcW w:type="dxa" w:w="3168"/>
            <w:vAlign w:val="top"/>
          </w:tcPr>
          <w:p>
            <w:pPr>
              <w:spacing w:after="0"/>
            </w:pPr>
            <w:r>
              <w:rPr>
                <w:sz w:val="16"/>
              </w:rPr>
              <w:t>Base de datos</w:t>
            </w:r>
          </w:p>
        </w:tc>
        <w:tc>
          <w:tcPr>
            <w:tcW w:type="dxa" w:w="7920"/>
            <w:vAlign w:val="top"/>
          </w:tcPr>
          <w:p>
            <w:pPr>
              <w:spacing w:after="0"/>
            </w:pPr>
            <w:r>
              <w:rPr>
                <w:sz w:val="16"/>
              </w:rPr>
              <w:t>Supabase PostgreSQL con migraciones aplicadas</w:t>
            </w:r>
          </w:p>
        </w:tc>
      </w:tr>
      <w:tr>
        <w:tc>
          <w:tcPr>
            <w:tcW w:type="dxa" w:w="3168"/>
            <w:vAlign w:val="top"/>
          </w:tcPr>
          <w:p>
            <w:pPr>
              <w:spacing w:after="0"/>
            </w:pPr>
            <w:r>
              <w:rPr>
                <w:sz w:val="16"/>
              </w:rPr>
              <w:t>Despliegue</w:t>
            </w:r>
          </w:p>
        </w:tc>
        <w:tc>
          <w:tcPr>
            <w:tcW w:type="dxa" w:w="7920"/>
            <w:vAlign w:val="top"/>
          </w:tcPr>
          <w:p>
            <w:pPr>
              <w:spacing w:after="0"/>
            </w:pPr>
            <w:r>
              <w:rPr>
                <w:sz w:val="16"/>
              </w:rPr>
              <w:t>Firebase Hosting para frontend; Render/BFF para API; servicio IA por contenedor</w:t>
            </w:r>
          </w:p>
        </w:tc>
      </w:tr>
      <w:tr>
        <w:tc>
          <w:tcPr>
            <w:tcW w:type="dxa" w:w="3168"/>
            <w:vAlign w:val="top"/>
          </w:tcPr>
          <w:p>
            <w:pPr>
              <w:spacing w:after="0"/>
            </w:pPr>
            <w:r>
              <w:rPr>
                <w:sz w:val="16"/>
              </w:rPr>
              <w:t>Pruebas mínimas previas</w:t>
            </w:r>
          </w:p>
        </w:tc>
        <w:tc>
          <w:tcPr>
            <w:tcW w:type="dxa" w:w="7920"/>
            <w:vAlign w:val="top"/>
          </w:tcPr>
          <w:p>
            <w:pPr>
              <w:spacing w:after="0"/>
            </w:pPr>
            <w:r>
              <w:rPr>
                <w:sz w:val="16"/>
              </w:rPr>
              <w:t>npm run lint, npm run typecheck, npm run test, npm run test:e2e, ZAP y stress según release</w:t>
            </w:r>
          </w:p>
        </w:tc>
      </w:tr>
    </w:tbl>
    <w:p/>
    <w:p>
      <w:pPr>
        <w:pStyle w:val="Heading1"/>
      </w:pPr>
      <w:r>
        <w:t>12. Evidencias de trazabilidad</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4032"/>
            <w:shd w:fill="1F4E79"/>
            <w:vAlign w:val="center"/>
          </w:tcPr>
          <w:p>
            <w:r>
              <w:rPr>
                <w:b/>
                <w:color w:val="FFFFFF"/>
                <w:sz w:val="16"/>
              </w:rPr>
              <w:t>Evidencia</w:t>
            </w:r>
          </w:p>
        </w:tc>
        <w:tc>
          <w:tcPr>
            <w:tcW w:type="dxa" w:w="7200"/>
            <w:shd w:fill="1F4E79"/>
            <w:vAlign w:val="center"/>
          </w:tcPr>
          <w:p>
            <w:r>
              <w:rPr>
                <w:b/>
                <w:color w:val="FFFFFF"/>
                <w:sz w:val="16"/>
              </w:rPr>
              <w:t>Ubicación</w:t>
            </w:r>
          </w:p>
        </w:tc>
      </w:tr>
      <w:tr>
        <w:tc>
          <w:tcPr>
            <w:tcW w:type="dxa" w:w="4032"/>
            <w:vAlign w:val="top"/>
          </w:tcPr>
          <w:p>
            <w:pPr>
              <w:spacing w:after="0"/>
            </w:pPr>
            <w:r>
              <w:rPr>
                <w:sz w:val="16"/>
              </w:rPr>
              <w:t>Matriz de registro empresarial BOLT</w:t>
            </w:r>
          </w:p>
        </w:tc>
        <w:tc>
          <w:tcPr>
            <w:tcW w:type="dxa" w:w="7200"/>
            <w:vAlign w:val="top"/>
          </w:tcPr>
          <w:p>
            <w:pPr>
              <w:spacing w:after="0"/>
            </w:pPr>
            <w:r>
              <w:rPr>
                <w:sz w:val="16"/>
              </w:rPr>
              <w:t>C:\Cazatura Vilchez V3\artifacts\matrices\Matriz_Registro_Web_Empresarial_AI_DLC_BOLT.xlsx</w:t>
            </w:r>
          </w:p>
        </w:tc>
      </w:tr>
      <w:tr>
        <w:tc>
          <w:tcPr>
            <w:tcW w:type="dxa" w:w="4032"/>
            <w:vAlign w:val="top"/>
          </w:tcPr>
          <w:p>
            <w:pPr>
              <w:spacing w:after="0"/>
            </w:pPr>
            <w:r>
              <w:rPr>
                <w:sz w:val="16"/>
              </w:rPr>
              <w:t>Inventario BOLT del sistema web</w:t>
            </w:r>
          </w:p>
        </w:tc>
        <w:tc>
          <w:tcPr>
            <w:tcW w:type="dxa" w:w="7200"/>
            <w:vAlign w:val="top"/>
          </w:tcPr>
          <w:p>
            <w:pPr>
              <w:spacing w:after="0"/>
            </w:pPr>
            <w:r>
              <w:rPr>
                <w:sz w:val="16"/>
              </w:rPr>
              <w:t>55 registros trazables: BOLT-WEB-001 a BOLT-WEB-055; diseño, año 2026 y evidencia por línea de código</w:t>
            </w:r>
          </w:p>
        </w:tc>
      </w:tr>
      <w:tr>
        <w:tc>
          <w:tcPr>
            <w:tcW w:type="dxa" w:w="4032"/>
            <w:vAlign w:val="top"/>
          </w:tcPr>
          <w:p>
            <w:pPr>
              <w:spacing w:after="0"/>
            </w:pPr>
            <w:r>
              <w:rPr>
                <w:sz w:val="16"/>
              </w:rPr>
              <w:t>Reporte ZAP producción v2</w:t>
            </w:r>
          </w:p>
        </w:tc>
        <w:tc>
          <w:tcPr>
            <w:tcW w:type="dxa" w:w="7200"/>
            <w:vAlign w:val="top"/>
          </w:tcPr>
          <w:p>
            <w:pPr>
              <w:spacing w:after="0"/>
            </w:pPr>
            <w:r>
              <w:rPr>
                <w:sz w:val="16"/>
              </w:rPr>
              <w:t>zap-reports/zap-production-report-v2.json</w:t>
            </w:r>
          </w:p>
        </w:tc>
      </w:tr>
      <w:tr>
        <w:tc>
          <w:tcPr>
            <w:tcW w:type="dxa" w:w="4032"/>
            <w:vAlign w:val="top"/>
          </w:tcPr>
          <w:p>
            <w:pPr>
              <w:spacing w:after="0"/>
            </w:pPr>
            <w:r>
              <w:rPr>
                <w:sz w:val="16"/>
              </w:rPr>
              <w:t>Prueba de estrés 2000 conexiones</w:t>
            </w:r>
          </w:p>
        </w:tc>
        <w:tc>
          <w:tcPr>
            <w:tcW w:type="dxa" w:w="7200"/>
            <w:vAlign w:val="top"/>
          </w:tcPr>
          <w:p>
            <w:pPr>
              <w:spacing w:after="0"/>
            </w:pPr>
            <w:r>
              <w:rPr>
                <w:sz w:val="16"/>
              </w:rPr>
              <w:t>artifacts/load-tests/autocannon-home-c2000-20260528-231905.json</w:t>
            </w:r>
          </w:p>
        </w:tc>
      </w:tr>
      <w:tr>
        <w:tc>
          <w:tcPr>
            <w:tcW w:type="dxa" w:w="4032"/>
            <w:vAlign w:val="top"/>
          </w:tcPr>
          <w:p>
            <w:pPr>
              <w:spacing w:after="0"/>
            </w:pPr>
            <w:r>
              <w:rPr>
                <w:sz w:val="16"/>
              </w:rPr>
              <w:t>Carga mixta k6</w:t>
            </w:r>
          </w:p>
        </w:tc>
        <w:tc>
          <w:tcPr>
            <w:tcW w:type="dxa" w:w="7200"/>
            <w:vAlign w:val="top"/>
          </w:tcPr>
          <w:p>
            <w:pPr>
              <w:spacing w:after="0"/>
            </w:pPr>
            <w:r>
              <w:rPr>
                <w:sz w:val="16"/>
              </w:rPr>
              <w:t>artifacts/load-tests/summary-500.json; artifacts/load-tests/summary-1000.json</w:t>
            </w:r>
          </w:p>
        </w:tc>
      </w:tr>
      <w:tr>
        <w:tc>
          <w:tcPr>
            <w:tcW w:type="dxa" w:w="4032"/>
            <w:vAlign w:val="top"/>
          </w:tcPr>
          <w:p>
            <w:pPr>
              <w:spacing w:after="0"/>
            </w:pPr>
            <w:r>
              <w:rPr>
                <w:sz w:val="16"/>
              </w:rPr>
              <w:t>SRS</w:t>
            </w:r>
          </w:p>
        </w:tc>
        <w:tc>
          <w:tcPr>
            <w:tcW w:type="dxa" w:w="7200"/>
            <w:vAlign w:val="top"/>
          </w:tcPr>
          <w:p>
            <w:pPr>
              <w:spacing w:after="0"/>
            </w:pPr>
            <w:r>
              <w:rPr>
                <w:sz w:val="16"/>
              </w:rPr>
              <w:t>documentacion/05-especificacion-requisitos-software-SRS.md</w:t>
            </w:r>
          </w:p>
        </w:tc>
      </w:tr>
      <w:tr>
        <w:tc>
          <w:tcPr>
            <w:tcW w:type="dxa" w:w="4032"/>
            <w:vAlign w:val="top"/>
          </w:tcPr>
          <w:p>
            <w:pPr>
              <w:spacing w:after="0"/>
            </w:pPr>
            <w:r>
              <w:rPr>
                <w:sz w:val="16"/>
              </w:rPr>
              <w:t>Arquitectura</w:t>
            </w:r>
          </w:p>
        </w:tc>
        <w:tc>
          <w:tcPr>
            <w:tcW w:type="dxa" w:w="7200"/>
            <w:vAlign w:val="top"/>
          </w:tcPr>
          <w:p>
            <w:pPr>
              <w:spacing w:after="0"/>
            </w:pPr>
            <w:r>
              <w:rPr>
                <w:sz w:val="16"/>
              </w:rPr>
              <w:t>documentacion/06-diseno-arquitectura-y-datos.md</w:t>
            </w:r>
          </w:p>
        </w:tc>
      </w:tr>
      <w:tr>
        <w:tc>
          <w:tcPr>
            <w:tcW w:type="dxa" w:w="4032"/>
            <w:vAlign w:val="top"/>
          </w:tcPr>
          <w:p>
            <w:pPr>
              <w:spacing w:after="0"/>
            </w:pPr>
            <w:r>
              <w:rPr>
                <w:sz w:val="16"/>
              </w:rPr>
              <w:t>BFF principal</w:t>
            </w:r>
          </w:p>
        </w:tc>
        <w:tc>
          <w:tcPr>
            <w:tcW w:type="dxa" w:w="7200"/>
            <w:vAlign w:val="top"/>
          </w:tcPr>
          <w:p>
            <w:pPr>
              <w:spacing w:after="0"/>
            </w:pPr>
            <w:r>
              <w:rPr>
                <w:sz w:val="16"/>
              </w:rPr>
              <w:t>calzatura-vilchez/bff/server.cjs</w:t>
            </w:r>
          </w:p>
        </w:tc>
      </w:tr>
      <w:tr>
        <w:tc>
          <w:tcPr>
            <w:tcW w:type="dxa" w:w="4032"/>
            <w:vAlign w:val="top"/>
          </w:tcPr>
          <w:p>
            <w:pPr>
              <w:spacing w:after="0"/>
            </w:pPr>
            <w:r>
              <w:rPr>
                <w:sz w:val="16"/>
              </w:rPr>
              <w:t>Migraciones Supabase</w:t>
            </w:r>
          </w:p>
        </w:tc>
        <w:tc>
          <w:tcPr>
            <w:tcW w:type="dxa" w:w="7200"/>
            <w:vAlign w:val="top"/>
          </w:tcPr>
          <w:p>
            <w:pPr>
              <w:spacing w:after="0"/>
            </w:pPr>
            <w:r>
              <w:rPr>
                <w:sz w:val="16"/>
              </w:rPr>
              <w:t>calzatura-vilchez/supabase/migrations</w:t>
            </w:r>
          </w:p>
        </w:tc>
      </w:tr>
    </w:tbl>
    <w:p/>
    <w:p>
      <w:pPr>
        <w:pStyle w:val="Heading1"/>
      </w:pPr>
      <w:r>
        <w:t>13. Declaración técnica</w:t>
      </w:r>
    </w:p>
    <w:p>
      <w:r>
        <w:t>Con base en la revisión del código fuente, pruebas, reportes y matriz de registro BOLT, el sistema web se encuentra documentado como un producto funcional, trazable y verificable. Los controles de seguridad, calidad y rendimiento se registran como evidencias técnicas y deben mantenerse actualizados por versión.</w:t>
      </w:r>
    </w:p>
    <w:sectPr w:rsidR="00FC693F" w:rsidRPr="0006063C" w:rsidSect="00034616">
      <w:footerReference w:type="default" r:id="rId9"/>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Sistema web Calzatura Vilchez — Documento técnico generado el 30/05/2026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4E79"/>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