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Arial" w:hAnsi="Arial" w:eastAsia="Arial"/>
          <w:b/>
          <w:i w:val="0"/>
          <w:sz w:val="28"/>
        </w:rPr>
        <w:t>ENLACES PDF — ESTADO DEL ARTE (43 ARTÍCULOS)</w:t>
      </w:r>
    </w:p>
    <w:p>
      <w:pPr>
        <w:spacing w:after="40"/>
        <w:jc w:val="center"/>
      </w:pPr>
      <w:r>
        <w:rPr>
          <w:rFonts w:ascii="Arial" w:hAnsi="Arial" w:eastAsia="Arial"/>
          <w:b w:val="0"/>
          <w:i w:val="0"/>
          <w:sz w:val="18"/>
        </w:rPr>
        <w:t>Tesis: Sistema web e-commerce + IA para predicción del riesgo empresarial (IRE) — Calzatura Vilchez · Piero Vilchez · Universidad Continental · 2026</w:t>
      </w:r>
    </w:p>
    <w:p>
      <w:pPr>
        <w:spacing w:after="160"/>
        <w:jc w:val="both"/>
      </w:pPr>
      <w:r>
        <w:rPr>
          <w:rFonts w:ascii="Arial" w:hAnsi="Arial" w:eastAsia="Arial"/>
          <w:b w:val="0"/>
          <w:i w:val="0"/>
          <w:sz w:val="18"/>
        </w:rPr>
        <w:t>Este documento lista el enlace de descarga o acceso al PDF de cada fuente, el DOI verificado y el motivo de su inclusión en el estado del arte de la tesis.</w:t>
      </w:r>
    </w:p>
    <w:p>
      <w:pPr>
        <w:spacing w:after="200"/>
        <w:jc w:val="both"/>
      </w:pPr>
      <w:r>
        <w:rPr>
          <w:rFonts w:ascii="Arial" w:hAnsi="Arial" w:eastAsia="Arial"/>
          <w:b w:val="0"/>
          <w:i w:val="0"/>
          <w:sz w:val="18"/>
        </w:rPr>
        <w:t>Resumen: 43 artículos · 13 con PDF directo o acceso abierto conocido · 1 PDF descargado localmente en el repositorio (artículo 43 — Dai et al. 2024). Los demás requieren acceso institucional UCV o descarga manual desde el DOI.</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Pr>
                <w:rFonts w:ascii="Arial" w:hAnsi="Arial" w:eastAsia="Arial"/>
                <w:b/>
                <w:i w:val="0"/>
                <w:sz w:val="14"/>
              </w:rPr>
              <w:t>N.°</w:t>
            </w:r>
          </w:p>
        </w:tc>
        <w:tc>
          <w:tcPr>
            <w:tcW w:type="dxa" w:w="2016"/>
          </w:tcPr>
          <w:p>
            <w:r>
              <w:rPr>
                <w:rFonts w:ascii="Arial" w:hAnsi="Arial" w:eastAsia="Arial"/>
                <w:b/>
                <w:i w:val="0"/>
                <w:sz w:val="14"/>
              </w:rPr>
              <w:t>Autor / título (abrev.)</w:t>
            </w:r>
          </w:p>
        </w:tc>
        <w:tc>
          <w:tcPr>
            <w:tcW w:type="dxa" w:w="2016"/>
          </w:tcPr>
          <w:p>
            <w:r>
              <w:rPr>
                <w:rFonts w:ascii="Arial" w:hAnsi="Arial" w:eastAsia="Arial"/>
                <w:b/>
                <w:i w:val="0"/>
                <w:sz w:val="14"/>
              </w:rPr>
              <w:t>Enlace PDF</w:t>
            </w:r>
          </w:p>
        </w:tc>
        <w:tc>
          <w:tcPr>
            <w:tcW w:type="dxa" w:w="2016"/>
          </w:tcPr>
          <w:p>
            <w:r>
              <w:rPr>
                <w:rFonts w:ascii="Arial" w:hAnsi="Arial" w:eastAsia="Arial"/>
                <w:b/>
                <w:i w:val="0"/>
                <w:sz w:val="14"/>
              </w:rPr>
              <w:t>DOI</w:t>
            </w:r>
          </w:p>
        </w:tc>
        <w:tc>
          <w:tcPr>
            <w:tcW w:type="dxa" w:w="2016"/>
          </w:tcPr>
          <w:p>
            <w:r>
              <w:rPr>
                <w:rFonts w:ascii="Arial" w:hAnsi="Arial" w:eastAsia="Arial"/>
                <w:b/>
                <w:i w:val="0"/>
                <w:sz w:val="14"/>
              </w:rPr>
              <w:t>Eje</w:t>
            </w:r>
          </w:p>
        </w:tc>
      </w:tr>
      <w:tr>
        <w:tc>
          <w:tcPr>
            <w:tcW w:type="dxa" w:w="2016"/>
          </w:tcPr>
          <w:p>
            <w:r>
              <w:t>01</w:t>
            </w:r>
          </w:p>
        </w:tc>
        <w:tc>
          <w:tcPr>
            <w:tcW w:type="dxa" w:w="2016"/>
          </w:tcPr>
          <w:p>
            <w:r>
              <w:t>Verhoef, P.C. — Digital transformation: A multidisciplin…</w:t>
            </w:r>
          </w:p>
        </w:tc>
        <w:tc>
          <w:tcPr>
            <w:tcW w:type="dxa" w:w="2016"/>
          </w:tcPr>
          <w:p>
            <w:r/>
            <w:hyperlink r:id="rId9">
              <w:r>
                <w:rPr>
                  <w:u w:val="single"/>
                  <w:color w:val="0563C1"/>
                  <w:sz w:val="14"/>
                </w:rPr>
                <w:t>Abrir PDF / acceso</w:t>
              </w:r>
            </w:hyperlink>
          </w:p>
        </w:tc>
        <w:tc>
          <w:tcPr>
            <w:tcW w:type="dxa" w:w="2016"/>
          </w:tcPr>
          <w:p>
            <w:r/>
            <w:hyperlink r:id="rId9">
              <w:r>
                <w:rPr>
                  <w:u w:val="single"/>
                  <w:color w:val="0563C1"/>
                  <w:sz w:val="14"/>
                </w:rPr>
                <w:t>10.1016/j.jbusres.2019.09.022</w:t>
              </w:r>
            </w:hyperlink>
          </w:p>
        </w:tc>
        <w:tc>
          <w:tcPr>
            <w:tcW w:type="dxa" w:w="2016"/>
          </w:tcPr>
          <w:p>
            <w:r>
              <w:t>1</w:t>
            </w:r>
          </w:p>
        </w:tc>
      </w:tr>
      <w:tr>
        <w:tc>
          <w:tcPr>
            <w:tcW w:type="dxa" w:w="2016"/>
          </w:tcPr>
          <w:p>
            <w:r>
              <w:t>02</w:t>
            </w:r>
          </w:p>
        </w:tc>
        <w:tc>
          <w:tcPr>
            <w:tcW w:type="dxa" w:w="2016"/>
          </w:tcPr>
          <w:p>
            <w:r>
              <w:t>Soto-Acosta, P. (2020) — COVID-19 Pandemic: Shifting Digital Tran…</w:t>
            </w:r>
          </w:p>
        </w:tc>
        <w:tc>
          <w:tcPr>
            <w:tcW w:type="dxa" w:w="2016"/>
          </w:tcPr>
          <w:p>
            <w:r/>
            <w:hyperlink r:id="rId10">
              <w:r>
                <w:rPr>
                  <w:u w:val="single"/>
                  <w:color w:val="0563C1"/>
                  <w:sz w:val="14"/>
                </w:rPr>
                <w:t>Abrir PDF / acceso</w:t>
              </w:r>
            </w:hyperlink>
          </w:p>
        </w:tc>
        <w:tc>
          <w:tcPr>
            <w:tcW w:type="dxa" w:w="2016"/>
          </w:tcPr>
          <w:p>
            <w:r/>
            <w:hyperlink r:id="rId11">
              <w:r>
                <w:rPr>
                  <w:u w:val="single"/>
                  <w:color w:val="0563C1"/>
                  <w:sz w:val="14"/>
                </w:rPr>
                <w:t>10.1080/10580530.2020.1814461</w:t>
              </w:r>
            </w:hyperlink>
          </w:p>
        </w:tc>
        <w:tc>
          <w:tcPr>
            <w:tcW w:type="dxa" w:w="2016"/>
          </w:tcPr>
          <w:p>
            <w:r>
              <w:t>1</w:t>
            </w:r>
          </w:p>
        </w:tc>
      </w:tr>
      <w:tr>
        <w:tc>
          <w:tcPr>
            <w:tcW w:type="dxa" w:w="2016"/>
          </w:tcPr>
          <w:p>
            <w:r>
              <w:t>03</w:t>
            </w:r>
          </w:p>
        </w:tc>
        <w:tc>
          <w:tcPr>
            <w:tcW w:type="dxa" w:w="2016"/>
          </w:tcPr>
          <w:p>
            <w:r>
              <w:t>Nambisan, S. — Digital Innovation Management: Reinventi…</w:t>
            </w:r>
          </w:p>
        </w:tc>
        <w:tc>
          <w:tcPr>
            <w:tcW w:type="dxa" w:w="2016"/>
          </w:tcPr>
          <w:p>
            <w:r/>
            <w:hyperlink r:id="rId12">
              <w:r>
                <w:rPr>
                  <w:u w:val="single"/>
                  <w:color w:val="0563C1"/>
                  <w:sz w:val="14"/>
                </w:rPr>
                <w:t>Abrir PDF / acceso</w:t>
              </w:r>
            </w:hyperlink>
          </w:p>
        </w:tc>
        <w:tc>
          <w:tcPr>
            <w:tcW w:type="dxa" w:w="2016"/>
          </w:tcPr>
          <w:p>
            <w:r/>
            <w:hyperlink r:id="rId13">
              <w:r>
                <w:rPr>
                  <w:u w:val="single"/>
                  <w:color w:val="0563C1"/>
                  <w:sz w:val="14"/>
                </w:rPr>
                <w:t>10.25300/misq/2017/41:1.03</w:t>
              </w:r>
            </w:hyperlink>
          </w:p>
        </w:tc>
        <w:tc>
          <w:tcPr>
            <w:tcW w:type="dxa" w:w="2016"/>
          </w:tcPr>
          <w:p>
            <w:r>
              <w:t>1</w:t>
            </w:r>
          </w:p>
        </w:tc>
      </w:tr>
      <w:tr>
        <w:tc>
          <w:tcPr>
            <w:tcW w:type="dxa" w:w="2016"/>
          </w:tcPr>
          <w:p>
            <w:r>
              <w:t>04</w:t>
            </w:r>
          </w:p>
        </w:tc>
        <w:tc>
          <w:tcPr>
            <w:tcW w:type="dxa" w:w="2016"/>
          </w:tcPr>
          <w:p>
            <w:r>
              <w:t>Li, F. (2020) — The digital transformation of business m…</w:t>
            </w:r>
          </w:p>
        </w:tc>
        <w:tc>
          <w:tcPr>
            <w:tcW w:type="dxa" w:w="2016"/>
          </w:tcPr>
          <w:p>
            <w:r/>
            <w:hyperlink r:id="rId14">
              <w:r>
                <w:rPr>
                  <w:u w:val="single"/>
                  <w:color w:val="0563C1"/>
                  <w:sz w:val="14"/>
                </w:rPr>
                <w:t>Abrir PDF / acceso</w:t>
              </w:r>
            </w:hyperlink>
          </w:p>
        </w:tc>
        <w:tc>
          <w:tcPr>
            <w:tcW w:type="dxa" w:w="2016"/>
          </w:tcPr>
          <w:p>
            <w:r/>
            <w:hyperlink r:id="rId14">
              <w:r>
                <w:rPr>
                  <w:u w:val="single"/>
                  <w:color w:val="0563C1"/>
                  <w:sz w:val="14"/>
                </w:rPr>
                <w:t>10.1016/j.technovation.2017.12.004</w:t>
              </w:r>
            </w:hyperlink>
          </w:p>
        </w:tc>
        <w:tc>
          <w:tcPr>
            <w:tcW w:type="dxa" w:w="2016"/>
          </w:tcPr>
          <w:p>
            <w:r>
              <w:t>1</w:t>
            </w:r>
          </w:p>
        </w:tc>
      </w:tr>
      <w:tr>
        <w:tc>
          <w:tcPr>
            <w:tcW w:type="dxa" w:w="2016"/>
          </w:tcPr>
          <w:p>
            <w:r>
              <w:t>05</w:t>
            </w:r>
          </w:p>
        </w:tc>
        <w:tc>
          <w:tcPr>
            <w:tcW w:type="dxa" w:w="2016"/>
          </w:tcPr>
          <w:p>
            <w:r>
              <w:t>Chatterjee, S. y Kumar Kar, A. (202 — Why do small and medium enterprises use …</w:t>
            </w:r>
          </w:p>
        </w:tc>
        <w:tc>
          <w:tcPr>
            <w:tcW w:type="dxa" w:w="2016"/>
          </w:tcPr>
          <w:p>
            <w:r/>
            <w:hyperlink r:id="rId15">
              <w:r>
                <w:rPr>
                  <w:u w:val="single"/>
                  <w:color w:val="0563C1"/>
                  <w:sz w:val="14"/>
                </w:rPr>
                <w:t>Abrir PDF / acceso</w:t>
              </w:r>
            </w:hyperlink>
          </w:p>
        </w:tc>
        <w:tc>
          <w:tcPr>
            <w:tcW w:type="dxa" w:w="2016"/>
          </w:tcPr>
          <w:p>
            <w:r/>
            <w:hyperlink r:id="rId15">
              <w:r>
                <w:rPr>
                  <w:u w:val="single"/>
                  <w:color w:val="0563C1"/>
                  <w:sz w:val="14"/>
                </w:rPr>
                <w:t>10.1016/j.ijinfomgt.2020.102103</w:t>
              </w:r>
            </w:hyperlink>
          </w:p>
        </w:tc>
        <w:tc>
          <w:tcPr>
            <w:tcW w:type="dxa" w:w="2016"/>
          </w:tcPr>
          <w:p>
            <w:r>
              <w:t>1</w:t>
            </w:r>
          </w:p>
        </w:tc>
      </w:tr>
      <w:tr>
        <w:tc>
          <w:tcPr>
            <w:tcW w:type="dxa" w:w="2016"/>
          </w:tcPr>
          <w:p>
            <w:r>
              <w:t>06</w:t>
            </w:r>
          </w:p>
        </w:tc>
        <w:tc>
          <w:tcPr>
            <w:tcW w:type="dxa" w:w="2016"/>
          </w:tcPr>
          <w:p>
            <w:r>
              <w:t>Kannan, P.K. (2017) — Digital marketing: A framework, review a…</w:t>
            </w:r>
          </w:p>
        </w:tc>
        <w:tc>
          <w:tcPr>
            <w:tcW w:type="dxa" w:w="2016"/>
          </w:tcPr>
          <w:p>
            <w:r/>
            <w:hyperlink r:id="rId16">
              <w:r>
                <w:rPr>
                  <w:u w:val="single"/>
                  <w:color w:val="0563C1"/>
                  <w:sz w:val="14"/>
                </w:rPr>
                <w:t>Abrir PDF / acceso</w:t>
              </w:r>
            </w:hyperlink>
          </w:p>
        </w:tc>
        <w:tc>
          <w:tcPr>
            <w:tcW w:type="dxa" w:w="2016"/>
          </w:tcPr>
          <w:p>
            <w:r/>
            <w:hyperlink r:id="rId16">
              <w:r>
                <w:rPr>
                  <w:u w:val="single"/>
                  <w:color w:val="0563C1"/>
                  <w:sz w:val="14"/>
                </w:rPr>
                <w:t>10.1016/j.ijresmar.2016.11.006</w:t>
              </w:r>
            </w:hyperlink>
          </w:p>
        </w:tc>
        <w:tc>
          <w:tcPr>
            <w:tcW w:type="dxa" w:w="2016"/>
          </w:tcPr>
          <w:p>
            <w:r>
              <w:t>1</w:t>
            </w:r>
          </w:p>
        </w:tc>
      </w:tr>
      <w:tr>
        <w:tc>
          <w:tcPr>
            <w:tcW w:type="dxa" w:w="2016"/>
          </w:tcPr>
          <w:p>
            <w:r>
              <w:t>07</w:t>
            </w:r>
          </w:p>
        </w:tc>
        <w:tc>
          <w:tcPr>
            <w:tcW w:type="dxa" w:w="2016"/>
          </w:tcPr>
          <w:p>
            <w:r>
              <w:t>Reinartz, W.; Wiegand, N. y Imschlo — The impact of digital transformation on …</w:t>
            </w:r>
          </w:p>
        </w:tc>
        <w:tc>
          <w:tcPr>
            <w:tcW w:type="dxa" w:w="2016"/>
          </w:tcPr>
          <w:p>
            <w:r/>
            <w:hyperlink r:id="rId17">
              <w:r>
                <w:rPr>
                  <w:u w:val="single"/>
                  <w:color w:val="0563C1"/>
                  <w:sz w:val="14"/>
                </w:rPr>
                <w:t>Abrir PDF / acceso</w:t>
              </w:r>
            </w:hyperlink>
          </w:p>
        </w:tc>
        <w:tc>
          <w:tcPr>
            <w:tcW w:type="dxa" w:w="2016"/>
          </w:tcPr>
          <w:p>
            <w:r/>
            <w:hyperlink r:id="rId17">
              <w:r>
                <w:rPr>
                  <w:u w:val="single"/>
                  <w:color w:val="0563C1"/>
                  <w:sz w:val="14"/>
                </w:rPr>
                <w:t>10.1016/j.ijresmar.2018.12.002</w:t>
              </w:r>
            </w:hyperlink>
          </w:p>
        </w:tc>
        <w:tc>
          <w:tcPr>
            <w:tcW w:type="dxa" w:w="2016"/>
          </w:tcPr>
          <w:p>
            <w:r>
              <w:t>1</w:t>
            </w:r>
          </w:p>
        </w:tc>
      </w:tr>
      <w:tr>
        <w:tc>
          <w:tcPr>
            <w:tcW w:type="dxa" w:w="2016"/>
          </w:tcPr>
          <w:p>
            <w:r>
              <w:t>08</w:t>
            </w:r>
          </w:p>
        </w:tc>
        <w:tc>
          <w:tcPr>
            <w:tcW w:type="dxa" w:w="2016"/>
          </w:tcPr>
          <w:p>
            <w:r>
              <w:t>Hagberg, J.; Sundstrom, M. y Egels- — The digitalization of retailing: An expl…</w:t>
            </w:r>
          </w:p>
        </w:tc>
        <w:tc>
          <w:tcPr>
            <w:tcW w:type="dxa" w:w="2016"/>
          </w:tcPr>
          <w:p>
            <w:r/>
            <w:hyperlink r:id="rId18">
              <w:r>
                <w:rPr>
                  <w:u w:val="single"/>
                  <w:color w:val="0563C1"/>
                  <w:sz w:val="14"/>
                </w:rPr>
                <w:t>Abrir PDF / acceso</w:t>
              </w:r>
            </w:hyperlink>
          </w:p>
        </w:tc>
        <w:tc>
          <w:tcPr>
            <w:tcW w:type="dxa" w:w="2016"/>
          </w:tcPr>
          <w:p>
            <w:r/>
            <w:hyperlink r:id="rId18">
              <w:r>
                <w:rPr>
                  <w:u w:val="single"/>
                  <w:color w:val="0563C1"/>
                  <w:sz w:val="14"/>
                </w:rPr>
                <w:t>10.1108/ijrdm-09-2015-0140</w:t>
              </w:r>
            </w:hyperlink>
          </w:p>
        </w:tc>
        <w:tc>
          <w:tcPr>
            <w:tcW w:type="dxa" w:w="2016"/>
          </w:tcPr>
          <w:p>
            <w:r>
              <w:t>1</w:t>
            </w:r>
          </w:p>
        </w:tc>
      </w:tr>
      <w:tr>
        <w:tc>
          <w:tcPr>
            <w:tcW w:type="dxa" w:w="2016"/>
          </w:tcPr>
          <w:p>
            <w:r>
              <w:t>09</w:t>
            </w:r>
          </w:p>
        </w:tc>
        <w:tc>
          <w:tcPr>
            <w:tcW w:type="dxa" w:w="2016"/>
          </w:tcPr>
          <w:p>
            <w:r>
              <w:t>Duan, Y.; Edwards, J.S. y Dwivedi,  — Artificial intelligence for decision mak…</w:t>
            </w:r>
          </w:p>
        </w:tc>
        <w:tc>
          <w:tcPr>
            <w:tcW w:type="dxa" w:w="2016"/>
          </w:tcPr>
          <w:p>
            <w:r/>
            <w:hyperlink r:id="rId19">
              <w:r>
                <w:rPr>
                  <w:u w:val="single"/>
                  <w:color w:val="0563C1"/>
                  <w:sz w:val="14"/>
                </w:rPr>
                <w:t>Abrir PDF / acceso</w:t>
              </w:r>
            </w:hyperlink>
          </w:p>
        </w:tc>
        <w:tc>
          <w:tcPr>
            <w:tcW w:type="dxa" w:w="2016"/>
          </w:tcPr>
          <w:p>
            <w:r/>
            <w:hyperlink r:id="rId19">
              <w:r>
                <w:rPr>
                  <w:u w:val="single"/>
                  <w:color w:val="0563C1"/>
                  <w:sz w:val="14"/>
                </w:rPr>
                <w:t>10.1016/j.ijinfomgt.2019.01.021</w:t>
              </w:r>
            </w:hyperlink>
          </w:p>
        </w:tc>
        <w:tc>
          <w:tcPr>
            <w:tcW w:type="dxa" w:w="2016"/>
          </w:tcPr>
          <w:p>
            <w:r>
              <w:t>2</w:t>
            </w:r>
          </w:p>
        </w:tc>
      </w:tr>
      <w:tr>
        <w:tc>
          <w:tcPr>
            <w:tcW w:type="dxa" w:w="2016"/>
          </w:tcPr>
          <w:p>
            <w:r>
              <w:t>10</w:t>
            </w:r>
          </w:p>
        </w:tc>
        <w:tc>
          <w:tcPr>
            <w:tcW w:type="dxa" w:w="2016"/>
          </w:tcPr>
          <w:p>
            <w:r>
              <w:t>Davenport, T. — How artificial intelligence will change …</w:t>
            </w:r>
          </w:p>
        </w:tc>
        <w:tc>
          <w:tcPr>
            <w:tcW w:type="dxa" w:w="2016"/>
          </w:tcPr>
          <w:p>
            <w:r/>
            <w:hyperlink r:id="rId20">
              <w:r>
                <w:rPr>
                  <w:u w:val="single"/>
                  <w:color w:val="0563C1"/>
                  <w:sz w:val="14"/>
                </w:rPr>
                <w:t>Abrir PDF / acceso</w:t>
              </w:r>
            </w:hyperlink>
          </w:p>
        </w:tc>
        <w:tc>
          <w:tcPr>
            <w:tcW w:type="dxa" w:w="2016"/>
          </w:tcPr>
          <w:p>
            <w:r/>
            <w:hyperlink r:id="rId21">
              <w:r>
                <w:rPr>
                  <w:u w:val="single"/>
                  <w:color w:val="0563C1"/>
                  <w:sz w:val="14"/>
                </w:rPr>
                <w:t>10.1007/s11747-019-00696-0</w:t>
              </w:r>
            </w:hyperlink>
          </w:p>
        </w:tc>
        <w:tc>
          <w:tcPr>
            <w:tcW w:type="dxa" w:w="2016"/>
          </w:tcPr>
          <w:p>
            <w:r>
              <w:t>2</w:t>
            </w:r>
          </w:p>
        </w:tc>
      </w:tr>
      <w:tr>
        <w:tc>
          <w:tcPr>
            <w:tcW w:type="dxa" w:w="2016"/>
          </w:tcPr>
          <w:p>
            <w:r>
              <w:t>11</w:t>
            </w:r>
          </w:p>
        </w:tc>
        <w:tc>
          <w:tcPr>
            <w:tcW w:type="dxa" w:w="2016"/>
          </w:tcPr>
          <w:p>
            <w:r>
              <w:t>Shrestha, Y.R.; Ben-Menahem, S.M. y — Organizational decision-making structure…</w:t>
            </w:r>
          </w:p>
        </w:tc>
        <w:tc>
          <w:tcPr>
            <w:tcW w:type="dxa" w:w="2016"/>
          </w:tcPr>
          <w:p>
            <w:r/>
            <w:hyperlink r:id="rId22">
              <w:r>
                <w:rPr>
                  <w:u w:val="single"/>
                  <w:color w:val="0563C1"/>
                  <w:sz w:val="14"/>
                </w:rPr>
                <w:t>Abrir PDF / acceso</w:t>
              </w:r>
            </w:hyperlink>
          </w:p>
        </w:tc>
        <w:tc>
          <w:tcPr>
            <w:tcW w:type="dxa" w:w="2016"/>
          </w:tcPr>
          <w:p>
            <w:r/>
            <w:hyperlink r:id="rId23">
              <w:r>
                <w:rPr>
                  <w:u w:val="single"/>
                  <w:color w:val="0563C1"/>
                  <w:sz w:val="14"/>
                </w:rPr>
                <w:t>10.1177/0008125619862257</w:t>
              </w:r>
            </w:hyperlink>
          </w:p>
        </w:tc>
        <w:tc>
          <w:tcPr>
            <w:tcW w:type="dxa" w:w="2016"/>
          </w:tcPr>
          <w:p>
            <w:r>
              <w:t>2</w:t>
            </w:r>
          </w:p>
        </w:tc>
      </w:tr>
      <w:tr>
        <w:tc>
          <w:tcPr>
            <w:tcW w:type="dxa" w:w="2016"/>
          </w:tcPr>
          <w:p>
            <w:r>
              <w:t>12</w:t>
            </w:r>
          </w:p>
        </w:tc>
        <w:tc>
          <w:tcPr>
            <w:tcW w:type="dxa" w:w="2016"/>
          </w:tcPr>
          <w:p>
            <w:r>
              <w:t>Amba, S.F. — Big data analytics and firm performance:…</w:t>
            </w:r>
          </w:p>
        </w:tc>
        <w:tc>
          <w:tcPr>
            <w:tcW w:type="dxa" w:w="2016"/>
          </w:tcPr>
          <w:p>
            <w:r/>
            <w:hyperlink r:id="rId24">
              <w:r>
                <w:rPr>
                  <w:u w:val="single"/>
                  <w:color w:val="0563C1"/>
                  <w:sz w:val="14"/>
                </w:rPr>
                <w:t>Abrir PDF / acceso</w:t>
              </w:r>
            </w:hyperlink>
          </w:p>
        </w:tc>
        <w:tc>
          <w:tcPr>
            <w:tcW w:type="dxa" w:w="2016"/>
          </w:tcPr>
          <w:p>
            <w:r/>
            <w:hyperlink r:id="rId24">
              <w:r>
                <w:rPr>
                  <w:u w:val="single"/>
                  <w:color w:val="0563C1"/>
                  <w:sz w:val="14"/>
                </w:rPr>
                <w:t>10.1016/j.jbusres.2016.08.009</w:t>
              </w:r>
            </w:hyperlink>
          </w:p>
        </w:tc>
        <w:tc>
          <w:tcPr>
            <w:tcW w:type="dxa" w:w="2016"/>
          </w:tcPr>
          <w:p>
            <w:r>
              <w:t>2</w:t>
            </w:r>
          </w:p>
        </w:tc>
      </w:tr>
      <w:tr>
        <w:tc>
          <w:tcPr>
            <w:tcW w:type="dxa" w:w="2016"/>
          </w:tcPr>
          <w:p>
            <w:r>
              <w:t>13</w:t>
            </w:r>
          </w:p>
        </w:tc>
        <w:tc>
          <w:tcPr>
            <w:tcW w:type="dxa" w:w="2016"/>
          </w:tcPr>
          <w:p>
            <w:r>
              <w:t>Makridakis, S.; Spiliotis, E. y Ass — Statistical and Machine Learning forecas…</w:t>
            </w:r>
          </w:p>
        </w:tc>
        <w:tc>
          <w:tcPr>
            <w:tcW w:type="dxa" w:w="2016"/>
          </w:tcPr>
          <w:p>
            <w:r/>
            <w:hyperlink r:id="rId25">
              <w:r>
                <w:rPr>
                  <w:u w:val="single"/>
                  <w:color w:val="0563C1"/>
                  <w:sz w:val="14"/>
                </w:rPr>
                <w:t>Abrir PDF / acceso</w:t>
              </w:r>
            </w:hyperlink>
          </w:p>
        </w:tc>
        <w:tc>
          <w:tcPr>
            <w:tcW w:type="dxa" w:w="2016"/>
          </w:tcPr>
          <w:p>
            <w:r/>
            <w:hyperlink r:id="rId26">
              <w:r>
                <w:rPr>
                  <w:u w:val="single"/>
                  <w:color w:val="0563C1"/>
                  <w:sz w:val="14"/>
                </w:rPr>
                <w:t>10.1371/journal.pone.0194889</w:t>
              </w:r>
            </w:hyperlink>
          </w:p>
        </w:tc>
        <w:tc>
          <w:tcPr>
            <w:tcW w:type="dxa" w:w="2016"/>
          </w:tcPr>
          <w:p>
            <w:r>
              <w:t>2</w:t>
            </w:r>
          </w:p>
        </w:tc>
      </w:tr>
      <w:tr>
        <w:tc>
          <w:tcPr>
            <w:tcW w:type="dxa" w:w="2016"/>
          </w:tcPr>
          <w:p>
            <w:r>
              <w:t>14</w:t>
            </w:r>
          </w:p>
        </w:tc>
        <w:tc>
          <w:tcPr>
            <w:tcW w:type="dxa" w:w="2016"/>
          </w:tcPr>
          <w:p>
            <w:r>
              <w:t>Fildes, R.; Ma, S. y Kolassa, S. (2 — Retail forecasting: Research and practic…</w:t>
            </w:r>
          </w:p>
        </w:tc>
        <w:tc>
          <w:tcPr>
            <w:tcW w:type="dxa" w:w="2016"/>
          </w:tcPr>
          <w:p>
            <w:r/>
            <w:hyperlink r:id="rId27">
              <w:r>
                <w:rPr>
                  <w:u w:val="single"/>
                  <w:color w:val="0563C1"/>
                  <w:sz w:val="14"/>
                </w:rPr>
                <w:t>Abrir PDF / acceso</w:t>
              </w:r>
            </w:hyperlink>
          </w:p>
        </w:tc>
        <w:tc>
          <w:tcPr>
            <w:tcW w:type="dxa" w:w="2016"/>
          </w:tcPr>
          <w:p>
            <w:r/>
            <w:hyperlink r:id="rId27">
              <w:r>
                <w:rPr>
                  <w:u w:val="single"/>
                  <w:color w:val="0563C1"/>
                  <w:sz w:val="14"/>
                </w:rPr>
                <w:t>10.1016/j.ijforecast.2019.06.004</w:t>
              </w:r>
            </w:hyperlink>
          </w:p>
        </w:tc>
        <w:tc>
          <w:tcPr>
            <w:tcW w:type="dxa" w:w="2016"/>
          </w:tcPr>
          <w:p>
            <w:r>
              <w:t>2</w:t>
            </w:r>
          </w:p>
        </w:tc>
      </w:tr>
      <w:tr>
        <w:tc>
          <w:tcPr>
            <w:tcW w:type="dxa" w:w="2016"/>
          </w:tcPr>
          <w:p>
            <w:r>
              <w:t>15</w:t>
            </w:r>
          </w:p>
        </w:tc>
        <w:tc>
          <w:tcPr>
            <w:tcW w:type="dxa" w:w="2016"/>
          </w:tcPr>
          <w:p>
            <w:r>
              <w:t>Syam, N. y Sharma, A. (2018) — Waiting for a sales renaissance in the f…</w:t>
            </w:r>
          </w:p>
        </w:tc>
        <w:tc>
          <w:tcPr>
            <w:tcW w:type="dxa" w:w="2016"/>
          </w:tcPr>
          <w:p>
            <w:r/>
            <w:hyperlink r:id="rId28">
              <w:r>
                <w:rPr>
                  <w:u w:val="single"/>
                  <w:color w:val="0563C1"/>
                  <w:sz w:val="14"/>
                </w:rPr>
                <w:t>Abrir PDF / acceso</w:t>
              </w:r>
            </w:hyperlink>
          </w:p>
        </w:tc>
        <w:tc>
          <w:tcPr>
            <w:tcW w:type="dxa" w:w="2016"/>
          </w:tcPr>
          <w:p>
            <w:r/>
            <w:hyperlink r:id="rId28">
              <w:r>
                <w:rPr>
                  <w:u w:val="single"/>
                  <w:color w:val="0563C1"/>
                  <w:sz w:val="14"/>
                </w:rPr>
                <w:t>10.1016/j.indmarman.2017.12.019</w:t>
              </w:r>
            </w:hyperlink>
          </w:p>
        </w:tc>
        <w:tc>
          <w:tcPr>
            <w:tcW w:type="dxa" w:w="2016"/>
          </w:tcPr>
          <w:p>
            <w:r>
              <w:t>2</w:t>
            </w:r>
          </w:p>
        </w:tc>
      </w:tr>
      <w:tr>
        <w:tc>
          <w:tcPr>
            <w:tcW w:type="dxa" w:w="2016"/>
          </w:tcPr>
          <w:p>
            <w:r>
              <w:t>16</w:t>
            </w:r>
          </w:p>
        </w:tc>
        <w:tc>
          <w:tcPr>
            <w:tcW w:type="dxa" w:w="2016"/>
          </w:tcPr>
          <w:p>
            <w:r>
              <w:t>Haefner, N. — Artificial intelligence and innovation m…</w:t>
            </w:r>
          </w:p>
        </w:tc>
        <w:tc>
          <w:tcPr>
            <w:tcW w:type="dxa" w:w="2016"/>
          </w:tcPr>
          <w:p>
            <w:r/>
            <w:hyperlink r:id="rId29">
              <w:r>
                <w:rPr>
                  <w:u w:val="single"/>
                  <w:color w:val="0563C1"/>
                  <w:sz w:val="14"/>
                </w:rPr>
                <w:t>Abrir PDF / acceso</w:t>
              </w:r>
            </w:hyperlink>
          </w:p>
        </w:tc>
        <w:tc>
          <w:tcPr>
            <w:tcW w:type="dxa" w:w="2016"/>
          </w:tcPr>
          <w:p>
            <w:r/>
            <w:hyperlink r:id="rId29">
              <w:r>
                <w:rPr>
                  <w:u w:val="single"/>
                  <w:color w:val="0563C1"/>
                  <w:sz w:val="14"/>
                </w:rPr>
                <w:t>10.1016/j.techfore.2020.120392</w:t>
              </w:r>
            </w:hyperlink>
          </w:p>
        </w:tc>
        <w:tc>
          <w:tcPr>
            <w:tcW w:type="dxa" w:w="2016"/>
          </w:tcPr>
          <w:p>
            <w:r>
              <w:t>2</w:t>
            </w:r>
          </w:p>
        </w:tc>
      </w:tr>
      <w:tr>
        <w:tc>
          <w:tcPr>
            <w:tcW w:type="dxa" w:w="2016"/>
          </w:tcPr>
          <w:p>
            <w:r>
              <w:t>17</w:t>
            </w:r>
          </w:p>
        </w:tc>
        <w:tc>
          <w:tcPr>
            <w:tcW w:type="dxa" w:w="2016"/>
          </w:tcPr>
          <w:p>
            <w:r>
              <w:t>Paschen, J.; Kietzmann, J. y Kietzm — Artificial intelligence (AI) and its imp…</w:t>
            </w:r>
          </w:p>
        </w:tc>
        <w:tc>
          <w:tcPr>
            <w:tcW w:type="dxa" w:w="2016"/>
          </w:tcPr>
          <w:p>
            <w:r/>
            <w:hyperlink r:id="rId30">
              <w:r>
                <w:rPr>
                  <w:u w:val="single"/>
                  <w:color w:val="0563C1"/>
                  <w:sz w:val="14"/>
                </w:rPr>
                <w:t>Abrir PDF / acceso</w:t>
              </w:r>
            </w:hyperlink>
          </w:p>
        </w:tc>
        <w:tc>
          <w:tcPr>
            <w:tcW w:type="dxa" w:w="2016"/>
          </w:tcPr>
          <w:p>
            <w:r/>
            <w:hyperlink r:id="rId30">
              <w:r>
                <w:rPr>
                  <w:u w:val="single"/>
                  <w:color w:val="0563C1"/>
                  <w:sz w:val="14"/>
                </w:rPr>
                <w:t>10.1108/jbim-10-2018-0295</w:t>
              </w:r>
            </w:hyperlink>
          </w:p>
        </w:tc>
        <w:tc>
          <w:tcPr>
            <w:tcW w:type="dxa" w:w="2016"/>
          </w:tcPr>
          <w:p>
            <w:r>
              <w:t>2</w:t>
            </w:r>
          </w:p>
        </w:tc>
      </w:tr>
      <w:tr>
        <w:tc>
          <w:tcPr>
            <w:tcW w:type="dxa" w:w="2016"/>
          </w:tcPr>
          <w:p>
            <w:r>
              <w:t>18</w:t>
            </w:r>
          </w:p>
        </w:tc>
        <w:tc>
          <w:tcPr>
            <w:tcW w:type="dxa" w:w="2016"/>
          </w:tcPr>
          <w:p>
            <w:r>
              <w:t>Ozbayoglu, A.M.; Gudelek, M.U. y Se — Deep learning for financial applications…</w:t>
            </w:r>
          </w:p>
        </w:tc>
        <w:tc>
          <w:tcPr>
            <w:tcW w:type="dxa" w:w="2016"/>
          </w:tcPr>
          <w:p>
            <w:r/>
            <w:hyperlink r:id="rId31">
              <w:r>
                <w:rPr>
                  <w:u w:val="single"/>
                  <w:color w:val="0563C1"/>
                  <w:sz w:val="14"/>
                </w:rPr>
                <w:t>Abrir PDF / acceso</w:t>
              </w:r>
            </w:hyperlink>
          </w:p>
        </w:tc>
        <w:tc>
          <w:tcPr>
            <w:tcW w:type="dxa" w:w="2016"/>
          </w:tcPr>
          <w:p>
            <w:r/>
            <w:hyperlink r:id="rId31">
              <w:r>
                <w:rPr>
                  <w:u w:val="single"/>
                  <w:color w:val="0563C1"/>
                  <w:sz w:val="14"/>
                </w:rPr>
                <w:t>10.1016/j.asoc.2020.106384</w:t>
              </w:r>
            </w:hyperlink>
          </w:p>
        </w:tc>
        <w:tc>
          <w:tcPr>
            <w:tcW w:type="dxa" w:w="2016"/>
          </w:tcPr>
          <w:p>
            <w:r>
              <w:t>3</w:t>
            </w:r>
          </w:p>
        </w:tc>
      </w:tr>
      <w:tr>
        <w:tc>
          <w:tcPr>
            <w:tcW w:type="dxa" w:w="2016"/>
          </w:tcPr>
          <w:p>
            <w:r>
              <w:t>19</w:t>
            </w:r>
          </w:p>
        </w:tc>
        <w:tc>
          <w:tcPr>
            <w:tcW w:type="dxa" w:w="2016"/>
          </w:tcPr>
          <w:p>
            <w:r>
              <w:t>Barboza, F.; Kimura, H. y Altman, E — Machine learning models and bankruptcy p…</w:t>
            </w:r>
          </w:p>
        </w:tc>
        <w:tc>
          <w:tcPr>
            <w:tcW w:type="dxa" w:w="2016"/>
          </w:tcPr>
          <w:p>
            <w:r/>
            <w:hyperlink r:id="rId32">
              <w:r>
                <w:rPr>
                  <w:u w:val="single"/>
                  <w:color w:val="0563C1"/>
                  <w:sz w:val="14"/>
                </w:rPr>
                <w:t>Abrir PDF / acceso</w:t>
              </w:r>
            </w:hyperlink>
          </w:p>
        </w:tc>
        <w:tc>
          <w:tcPr>
            <w:tcW w:type="dxa" w:w="2016"/>
          </w:tcPr>
          <w:p>
            <w:r/>
            <w:hyperlink r:id="rId32">
              <w:r>
                <w:rPr>
                  <w:u w:val="single"/>
                  <w:color w:val="0563C1"/>
                  <w:sz w:val="14"/>
                </w:rPr>
                <w:t>10.1016/j.eswa.2017.04.006</w:t>
              </w:r>
            </w:hyperlink>
          </w:p>
        </w:tc>
        <w:tc>
          <w:tcPr>
            <w:tcW w:type="dxa" w:w="2016"/>
          </w:tcPr>
          <w:p>
            <w:r>
              <w:t>3</w:t>
            </w:r>
          </w:p>
        </w:tc>
      </w:tr>
      <w:tr>
        <w:tc>
          <w:tcPr>
            <w:tcW w:type="dxa" w:w="2016"/>
          </w:tcPr>
          <w:p>
            <w:r>
              <w:t>20</w:t>
            </w:r>
          </w:p>
        </w:tc>
        <w:tc>
          <w:tcPr>
            <w:tcW w:type="dxa" w:w="2016"/>
          </w:tcPr>
          <w:p>
            <w:r>
              <w:t>Osaka, T. (2019) — Bankruptcy prediction using imaged finan…</w:t>
            </w:r>
          </w:p>
        </w:tc>
        <w:tc>
          <w:tcPr>
            <w:tcW w:type="dxa" w:w="2016"/>
          </w:tcPr>
          <w:p>
            <w:r/>
            <w:hyperlink r:id="rId33">
              <w:r>
                <w:rPr>
                  <w:u w:val="single"/>
                  <w:color w:val="0563C1"/>
                  <w:sz w:val="14"/>
                </w:rPr>
                <w:t>Abrir PDF / acceso</w:t>
              </w:r>
            </w:hyperlink>
          </w:p>
        </w:tc>
        <w:tc>
          <w:tcPr>
            <w:tcW w:type="dxa" w:w="2016"/>
          </w:tcPr>
          <w:p>
            <w:r/>
            <w:hyperlink r:id="rId33">
              <w:r>
                <w:rPr>
                  <w:u w:val="single"/>
                  <w:color w:val="0563C1"/>
                  <w:sz w:val="14"/>
                </w:rPr>
                <w:t>10.1016/j.eswa.2018.09.039</w:t>
              </w:r>
            </w:hyperlink>
          </w:p>
        </w:tc>
        <w:tc>
          <w:tcPr>
            <w:tcW w:type="dxa" w:w="2016"/>
          </w:tcPr>
          <w:p>
            <w:r>
              <w:t>3</w:t>
            </w:r>
          </w:p>
        </w:tc>
      </w:tr>
      <w:tr>
        <w:tc>
          <w:tcPr>
            <w:tcW w:type="dxa" w:w="2016"/>
          </w:tcPr>
          <w:p>
            <w:r>
              <w:t>21</w:t>
            </w:r>
          </w:p>
        </w:tc>
        <w:tc>
          <w:tcPr>
            <w:tcW w:type="dxa" w:w="2016"/>
          </w:tcPr>
          <w:p>
            <w:r>
              <w:t>Kim, M.J.; Cho, S.W. y Ryu, I. (202 — Corporate default predictions using mach…</w:t>
            </w:r>
          </w:p>
        </w:tc>
        <w:tc>
          <w:tcPr>
            <w:tcW w:type="dxa" w:w="2016"/>
          </w:tcPr>
          <w:p>
            <w:r/>
            <w:hyperlink r:id="rId34">
              <w:r>
                <w:rPr>
                  <w:u w:val="single"/>
                  <w:color w:val="0563C1"/>
                  <w:sz w:val="14"/>
                </w:rPr>
                <w:t>Abrir PDF / acceso</w:t>
              </w:r>
            </w:hyperlink>
          </w:p>
        </w:tc>
        <w:tc>
          <w:tcPr>
            <w:tcW w:type="dxa" w:w="2016"/>
          </w:tcPr>
          <w:p>
            <w:r/>
            <w:hyperlink r:id="rId35">
              <w:r>
                <w:rPr>
                  <w:u w:val="single"/>
                  <w:color w:val="0563C1"/>
                  <w:sz w:val="14"/>
                </w:rPr>
                <w:t>10.3390/su12166325</w:t>
              </w:r>
            </w:hyperlink>
          </w:p>
        </w:tc>
        <w:tc>
          <w:tcPr>
            <w:tcW w:type="dxa" w:w="2016"/>
          </w:tcPr>
          <w:p>
            <w:r>
              <w:t>3</w:t>
            </w:r>
          </w:p>
        </w:tc>
      </w:tr>
      <w:tr>
        <w:tc>
          <w:tcPr>
            <w:tcW w:type="dxa" w:w="2016"/>
          </w:tcPr>
          <w:p>
            <w:r>
              <w:t>22</w:t>
            </w:r>
          </w:p>
        </w:tc>
        <w:tc>
          <w:tcPr>
            <w:tcW w:type="dxa" w:w="2016"/>
          </w:tcPr>
          <w:p>
            <w:r>
              <w:t>Du Jardin, P. (2017) — Dynamics of firm financial evolution and…</w:t>
            </w:r>
          </w:p>
        </w:tc>
        <w:tc>
          <w:tcPr>
            <w:tcW w:type="dxa" w:w="2016"/>
          </w:tcPr>
          <w:p>
            <w:r/>
            <w:hyperlink r:id="rId36">
              <w:r>
                <w:rPr>
                  <w:u w:val="single"/>
                  <w:color w:val="0563C1"/>
                  <w:sz w:val="14"/>
                </w:rPr>
                <w:t>Abrir PDF / acceso</w:t>
              </w:r>
            </w:hyperlink>
          </w:p>
        </w:tc>
        <w:tc>
          <w:tcPr>
            <w:tcW w:type="dxa" w:w="2016"/>
          </w:tcPr>
          <w:p>
            <w:r/>
            <w:hyperlink r:id="rId36">
              <w:r>
                <w:rPr>
                  <w:u w:val="single"/>
                  <w:color w:val="0563C1"/>
                  <w:sz w:val="14"/>
                </w:rPr>
                <w:t>10.1016/j.eswa.2017.01.016</w:t>
              </w:r>
            </w:hyperlink>
          </w:p>
        </w:tc>
        <w:tc>
          <w:tcPr>
            <w:tcW w:type="dxa" w:w="2016"/>
          </w:tcPr>
          <w:p>
            <w:r>
              <w:t>3</w:t>
            </w:r>
          </w:p>
        </w:tc>
      </w:tr>
      <w:tr>
        <w:tc>
          <w:tcPr>
            <w:tcW w:type="dxa" w:w="2016"/>
          </w:tcPr>
          <w:p>
            <w:r>
              <w:t>23</w:t>
            </w:r>
          </w:p>
        </w:tc>
        <w:tc>
          <w:tcPr>
            <w:tcW w:type="dxa" w:w="2016"/>
          </w:tcPr>
          <w:p>
            <w:r>
              <w:t>Jiang, D. — Financial ratios and corporate governanc…</w:t>
            </w:r>
          </w:p>
        </w:tc>
        <w:tc>
          <w:tcPr>
            <w:tcW w:type="dxa" w:w="2016"/>
          </w:tcPr>
          <w:p>
            <w:r/>
            <w:hyperlink r:id="rId37">
              <w:r>
                <w:rPr>
                  <w:u w:val="single"/>
                  <w:color w:val="0563C1"/>
                  <w:sz w:val="14"/>
                </w:rPr>
                <w:t>Abrir PDF / acceso</w:t>
              </w:r>
            </w:hyperlink>
          </w:p>
        </w:tc>
        <w:tc>
          <w:tcPr>
            <w:tcW w:type="dxa" w:w="2016"/>
          </w:tcPr>
          <w:p>
            <w:r/>
            <w:hyperlink r:id="rId37">
              <w:r>
                <w:rPr>
                  <w:u w:val="single"/>
                  <w:color w:val="0563C1"/>
                  <w:sz w:val="14"/>
                </w:rPr>
                <w:t>10.1016/j.ejor.2016.01.012</w:t>
              </w:r>
            </w:hyperlink>
          </w:p>
        </w:tc>
        <w:tc>
          <w:tcPr>
            <w:tcW w:type="dxa" w:w="2016"/>
          </w:tcPr>
          <w:p>
            <w:r>
              <w:t>3</w:t>
            </w:r>
          </w:p>
        </w:tc>
      </w:tr>
      <w:tr>
        <w:tc>
          <w:tcPr>
            <w:tcW w:type="dxa" w:w="2016"/>
          </w:tcPr>
          <w:p>
            <w:r>
              <w:t>24</w:t>
            </w:r>
          </w:p>
        </w:tc>
        <w:tc>
          <w:tcPr>
            <w:tcW w:type="dxa" w:w="2016"/>
          </w:tcPr>
          <w:p>
            <w:r>
              <w:t>Cai, F. — Deep learning models for bankruptcy pred…</w:t>
            </w:r>
          </w:p>
        </w:tc>
        <w:tc>
          <w:tcPr>
            <w:tcW w:type="dxa" w:w="2016"/>
          </w:tcPr>
          <w:p>
            <w:r/>
            <w:hyperlink r:id="rId38">
              <w:r>
                <w:rPr>
                  <w:u w:val="single"/>
                  <w:color w:val="0563C1"/>
                  <w:sz w:val="14"/>
                </w:rPr>
                <w:t>Abrir PDF / acceso</w:t>
              </w:r>
            </w:hyperlink>
          </w:p>
        </w:tc>
        <w:tc>
          <w:tcPr>
            <w:tcW w:type="dxa" w:w="2016"/>
          </w:tcPr>
          <w:p>
            <w:r/>
            <w:hyperlink r:id="rId38">
              <w:r>
                <w:rPr>
                  <w:u w:val="single"/>
                  <w:color w:val="0563C1"/>
                  <w:sz w:val="14"/>
                </w:rPr>
                <w:t>10.1016/j.ejor.2018.10.024</w:t>
              </w:r>
            </w:hyperlink>
          </w:p>
        </w:tc>
        <w:tc>
          <w:tcPr>
            <w:tcW w:type="dxa" w:w="2016"/>
          </w:tcPr>
          <w:p>
            <w:r>
              <w:t>3</w:t>
            </w:r>
          </w:p>
        </w:tc>
      </w:tr>
      <w:tr>
        <w:tc>
          <w:tcPr>
            <w:tcW w:type="dxa" w:w="2016"/>
          </w:tcPr>
          <w:p>
            <w:r>
              <w:t>25</w:t>
            </w:r>
          </w:p>
        </w:tc>
        <w:tc>
          <w:tcPr>
            <w:tcW w:type="dxa" w:w="2016"/>
          </w:tcPr>
          <w:p>
            <w:r>
              <w:t>Tian, S.; Yu, Y. y Guo, H. (2015) — Variable selection and corporate bankrup…</w:t>
            </w:r>
          </w:p>
        </w:tc>
        <w:tc>
          <w:tcPr>
            <w:tcW w:type="dxa" w:w="2016"/>
          </w:tcPr>
          <w:p>
            <w:r/>
            <w:hyperlink r:id="rId39">
              <w:r>
                <w:rPr>
                  <w:u w:val="single"/>
                  <w:color w:val="0563C1"/>
                  <w:sz w:val="14"/>
                </w:rPr>
                <w:t>Abrir PDF / acceso</w:t>
              </w:r>
            </w:hyperlink>
          </w:p>
        </w:tc>
        <w:tc>
          <w:tcPr>
            <w:tcW w:type="dxa" w:w="2016"/>
          </w:tcPr>
          <w:p>
            <w:r/>
            <w:hyperlink r:id="rId40">
              <w:r>
                <w:rPr>
                  <w:u w:val="single"/>
                  <w:color w:val="0563C1"/>
                  <w:sz w:val="14"/>
                </w:rPr>
                <w:t>10.1016/j.jbankfin.2014.12.003</w:t>
              </w:r>
            </w:hyperlink>
          </w:p>
        </w:tc>
        <w:tc>
          <w:tcPr>
            <w:tcW w:type="dxa" w:w="2016"/>
          </w:tcPr>
          <w:p>
            <w:r>
              <w:t>3</w:t>
            </w:r>
          </w:p>
        </w:tc>
      </w:tr>
      <w:tr>
        <w:tc>
          <w:tcPr>
            <w:tcW w:type="dxa" w:w="2016"/>
          </w:tcPr>
          <w:p>
            <w:r>
              <w:t>26</w:t>
            </w:r>
          </w:p>
        </w:tc>
        <w:tc>
          <w:tcPr>
            <w:tcW w:type="dxa" w:w="2016"/>
          </w:tcPr>
          <w:p>
            <w:r>
              <w:t>Altman, E.I. (1968) — Financial ratios, discriminant analysis …</w:t>
            </w:r>
          </w:p>
        </w:tc>
        <w:tc>
          <w:tcPr>
            <w:tcW w:type="dxa" w:w="2016"/>
          </w:tcPr>
          <w:p>
            <w:r/>
            <w:hyperlink r:id="rId41">
              <w:r>
                <w:rPr>
                  <w:u w:val="single"/>
                  <w:color w:val="0563C1"/>
                  <w:sz w:val="14"/>
                </w:rPr>
                <w:t>Abrir PDF / acceso</w:t>
              </w:r>
            </w:hyperlink>
          </w:p>
        </w:tc>
        <w:tc>
          <w:tcPr>
            <w:tcW w:type="dxa" w:w="2016"/>
          </w:tcPr>
          <w:p>
            <w:r/>
            <w:hyperlink r:id="rId41">
              <w:r>
                <w:rPr>
                  <w:u w:val="single"/>
                  <w:color w:val="0563C1"/>
                  <w:sz w:val="14"/>
                </w:rPr>
                <w:t>10.1111/j.1540-6261.1968.tb00843.x</w:t>
              </w:r>
            </w:hyperlink>
          </w:p>
        </w:tc>
        <w:tc>
          <w:tcPr>
            <w:tcW w:type="dxa" w:w="2016"/>
          </w:tcPr>
          <w:p>
            <w:r>
              <w:t>3</w:t>
            </w:r>
          </w:p>
        </w:tc>
      </w:tr>
      <w:tr>
        <w:tc>
          <w:tcPr>
            <w:tcW w:type="dxa" w:w="2016"/>
          </w:tcPr>
          <w:p>
            <w:r>
              <w:t>27</w:t>
            </w:r>
          </w:p>
        </w:tc>
        <w:tc>
          <w:tcPr>
            <w:tcW w:type="dxa" w:w="2016"/>
          </w:tcPr>
          <w:p>
            <w:r>
              <w:t>Beaver, W.H. (1966) — Financial ratios as predictors of failur…</w:t>
            </w:r>
          </w:p>
        </w:tc>
        <w:tc>
          <w:tcPr>
            <w:tcW w:type="dxa" w:w="2016"/>
          </w:tcPr>
          <w:p>
            <w:r/>
            <w:hyperlink r:id="rId42">
              <w:r>
                <w:rPr>
                  <w:u w:val="single"/>
                  <w:color w:val="0563C1"/>
                  <w:sz w:val="14"/>
                </w:rPr>
                <w:t>Abrir PDF / acceso</w:t>
              </w:r>
            </w:hyperlink>
          </w:p>
        </w:tc>
        <w:tc>
          <w:tcPr>
            <w:tcW w:type="dxa" w:w="2016"/>
          </w:tcPr>
          <w:p>
            <w:r/>
            <w:hyperlink r:id="rId42">
              <w:r>
                <w:rPr>
                  <w:u w:val="single"/>
                  <w:color w:val="0563C1"/>
                  <w:sz w:val="14"/>
                </w:rPr>
                <w:t>10.2307/2490171</w:t>
              </w:r>
            </w:hyperlink>
          </w:p>
        </w:tc>
        <w:tc>
          <w:tcPr>
            <w:tcW w:type="dxa" w:w="2016"/>
          </w:tcPr>
          <w:p>
            <w:r>
              <w:t>3</w:t>
            </w:r>
          </w:p>
        </w:tc>
      </w:tr>
      <w:tr>
        <w:tc>
          <w:tcPr>
            <w:tcW w:type="dxa" w:w="2016"/>
          </w:tcPr>
          <w:p>
            <w:r>
              <w:t>28</w:t>
            </w:r>
          </w:p>
        </w:tc>
        <w:tc>
          <w:tcPr>
            <w:tcW w:type="dxa" w:w="2016"/>
          </w:tcPr>
          <w:p>
            <w:r>
              <w:t>Jamshidi, P. — Microservices: The journey so far and ch…</w:t>
            </w:r>
          </w:p>
        </w:tc>
        <w:tc>
          <w:tcPr>
            <w:tcW w:type="dxa" w:w="2016"/>
          </w:tcPr>
          <w:p>
            <w:r/>
            <w:hyperlink r:id="rId43">
              <w:r>
                <w:rPr>
                  <w:u w:val="single"/>
                  <w:color w:val="0563C1"/>
                  <w:sz w:val="14"/>
                </w:rPr>
                <w:t>Abrir PDF / acceso</w:t>
              </w:r>
            </w:hyperlink>
          </w:p>
        </w:tc>
        <w:tc>
          <w:tcPr>
            <w:tcW w:type="dxa" w:w="2016"/>
          </w:tcPr>
          <w:p>
            <w:r/>
            <w:hyperlink r:id="rId43">
              <w:r>
                <w:rPr>
                  <w:u w:val="single"/>
                  <w:color w:val="0563C1"/>
                  <w:sz w:val="14"/>
                </w:rPr>
                <w:t>10.1109/ms.2018.2141039</w:t>
              </w:r>
            </w:hyperlink>
          </w:p>
        </w:tc>
        <w:tc>
          <w:tcPr>
            <w:tcW w:type="dxa" w:w="2016"/>
          </w:tcPr>
          <w:p>
            <w:r>
              <w:t>4</w:t>
            </w:r>
          </w:p>
        </w:tc>
      </w:tr>
      <w:tr>
        <w:tc>
          <w:tcPr>
            <w:tcW w:type="dxa" w:w="2016"/>
          </w:tcPr>
          <w:p>
            <w:r>
              <w:t>29</w:t>
            </w:r>
          </w:p>
        </w:tc>
        <w:tc>
          <w:tcPr>
            <w:tcW w:type="dxa" w:w="2016"/>
          </w:tcPr>
          <w:p>
            <w:r>
              <w:t>Lwakatare, L.E. — Large-scale machine learning systems in …</w:t>
            </w:r>
          </w:p>
        </w:tc>
        <w:tc>
          <w:tcPr>
            <w:tcW w:type="dxa" w:w="2016"/>
          </w:tcPr>
          <w:p>
            <w:r/>
            <w:hyperlink r:id="rId44">
              <w:r>
                <w:rPr>
                  <w:u w:val="single"/>
                  <w:color w:val="0563C1"/>
                  <w:sz w:val="14"/>
                </w:rPr>
                <w:t>Abrir PDF / acceso</w:t>
              </w:r>
            </w:hyperlink>
          </w:p>
        </w:tc>
        <w:tc>
          <w:tcPr>
            <w:tcW w:type="dxa" w:w="2016"/>
          </w:tcPr>
          <w:p>
            <w:r/>
            <w:hyperlink r:id="rId44">
              <w:r>
                <w:rPr>
                  <w:u w:val="single"/>
                  <w:color w:val="0563C1"/>
                  <w:sz w:val="14"/>
                </w:rPr>
                <w:t>10.1016/j.infsof.2020.106368</w:t>
              </w:r>
            </w:hyperlink>
          </w:p>
        </w:tc>
        <w:tc>
          <w:tcPr>
            <w:tcW w:type="dxa" w:w="2016"/>
          </w:tcPr>
          <w:p>
            <w:r>
              <w:t>4</w:t>
            </w:r>
          </w:p>
        </w:tc>
      </w:tr>
      <w:tr>
        <w:tc>
          <w:tcPr>
            <w:tcW w:type="dxa" w:w="2016"/>
          </w:tcPr>
          <w:p>
            <w:r>
              <w:t>30</w:t>
            </w:r>
          </w:p>
        </w:tc>
        <w:tc>
          <w:tcPr>
            <w:tcW w:type="dxa" w:w="2016"/>
          </w:tcPr>
          <w:p>
            <w:r>
              <w:t>Khalid, U. — Predicting risk through artificial intel…</w:t>
            </w:r>
          </w:p>
        </w:tc>
        <w:tc>
          <w:tcPr>
            <w:tcW w:type="dxa" w:w="2016"/>
          </w:tcPr>
          <w:p>
            <w:r/>
            <w:hyperlink r:id="rId45">
              <w:r>
                <w:rPr>
                  <w:u w:val="single"/>
                  <w:color w:val="0563C1"/>
                  <w:sz w:val="14"/>
                </w:rPr>
                <w:t>Abrir PDF / acceso</w:t>
              </w:r>
            </w:hyperlink>
          </w:p>
        </w:tc>
        <w:tc>
          <w:tcPr>
            <w:tcW w:type="dxa" w:w="2016"/>
          </w:tcPr>
          <w:p>
            <w:r/>
            <w:hyperlink r:id="rId46">
              <w:r>
                <w:rPr>
                  <w:u w:val="single"/>
                  <w:color w:val="0563C1"/>
                  <w:sz w:val="14"/>
                </w:rPr>
                <w:t>10.1155/2022/6858916</w:t>
              </w:r>
            </w:hyperlink>
          </w:p>
        </w:tc>
        <w:tc>
          <w:tcPr>
            <w:tcW w:type="dxa" w:w="2016"/>
          </w:tcPr>
          <w:p>
            <w:r>
              <w:t>4</w:t>
            </w:r>
          </w:p>
        </w:tc>
      </w:tr>
      <w:tr>
        <w:tc>
          <w:tcPr>
            <w:tcW w:type="dxa" w:w="2016"/>
          </w:tcPr>
          <w:p>
            <w:r>
              <w:t>31</w:t>
            </w:r>
          </w:p>
        </w:tc>
        <w:tc>
          <w:tcPr>
            <w:tcW w:type="dxa" w:w="2016"/>
          </w:tcPr>
          <w:p>
            <w:r>
              <w:t>Fischer, T. y Krauss, C. (2018) — Deep learning with long short-term memor…</w:t>
            </w:r>
          </w:p>
        </w:tc>
        <w:tc>
          <w:tcPr>
            <w:tcW w:type="dxa" w:w="2016"/>
          </w:tcPr>
          <w:p>
            <w:r/>
            <w:hyperlink r:id="rId47">
              <w:r>
                <w:rPr>
                  <w:u w:val="single"/>
                  <w:color w:val="0563C1"/>
                  <w:sz w:val="14"/>
                </w:rPr>
                <w:t>Abrir PDF / acceso</w:t>
              </w:r>
            </w:hyperlink>
          </w:p>
        </w:tc>
        <w:tc>
          <w:tcPr>
            <w:tcW w:type="dxa" w:w="2016"/>
          </w:tcPr>
          <w:p>
            <w:r/>
            <w:hyperlink r:id="rId47">
              <w:r>
                <w:rPr>
                  <w:u w:val="single"/>
                  <w:color w:val="0563C1"/>
                  <w:sz w:val="14"/>
                </w:rPr>
                <w:t>10.1016/j.ejor.2017.11.054</w:t>
              </w:r>
            </w:hyperlink>
          </w:p>
        </w:tc>
        <w:tc>
          <w:tcPr>
            <w:tcW w:type="dxa" w:w="2016"/>
          </w:tcPr>
          <w:p>
            <w:r>
              <w:t>4</w:t>
            </w:r>
          </w:p>
        </w:tc>
      </w:tr>
      <w:tr>
        <w:tc>
          <w:tcPr>
            <w:tcW w:type="dxa" w:w="2016"/>
          </w:tcPr>
          <w:p>
            <w:r>
              <w:t>32</w:t>
            </w:r>
          </w:p>
        </w:tc>
        <w:tc>
          <w:tcPr>
            <w:tcW w:type="dxa" w:w="2016"/>
          </w:tcPr>
          <w:p>
            <w:r>
              <w:t>Paleyes, A.; Urma, R.G. y Lawrence, — Challenges in deploying machine learning…</w:t>
            </w:r>
          </w:p>
        </w:tc>
        <w:tc>
          <w:tcPr>
            <w:tcW w:type="dxa" w:w="2016"/>
          </w:tcPr>
          <w:p>
            <w:r/>
            <w:hyperlink r:id="rId48">
              <w:r>
                <w:rPr>
                  <w:u w:val="single"/>
                  <w:color w:val="0563C1"/>
                  <w:sz w:val="14"/>
                </w:rPr>
                <w:t>Abrir PDF / acceso</w:t>
              </w:r>
            </w:hyperlink>
          </w:p>
        </w:tc>
        <w:tc>
          <w:tcPr>
            <w:tcW w:type="dxa" w:w="2016"/>
          </w:tcPr>
          <w:p>
            <w:r/>
            <w:hyperlink r:id="rId49">
              <w:r>
                <w:rPr>
                  <w:u w:val="single"/>
                  <w:color w:val="0563C1"/>
                  <w:sz w:val="14"/>
                </w:rPr>
                <w:t>10.1145/3533378</w:t>
              </w:r>
            </w:hyperlink>
          </w:p>
        </w:tc>
        <w:tc>
          <w:tcPr>
            <w:tcW w:type="dxa" w:w="2016"/>
          </w:tcPr>
          <w:p>
            <w:r>
              <w:t>4</w:t>
            </w:r>
          </w:p>
        </w:tc>
      </w:tr>
      <w:tr>
        <w:tc>
          <w:tcPr>
            <w:tcW w:type="dxa" w:w="2016"/>
          </w:tcPr>
          <w:p>
            <w:r>
              <w:t>33</w:t>
            </w:r>
          </w:p>
        </w:tc>
        <w:tc>
          <w:tcPr>
            <w:tcW w:type="dxa" w:w="2016"/>
          </w:tcPr>
          <w:p>
            <w:r>
              <w:t>Martinez-Fernandez, S. — Software engineering for AI-based system…</w:t>
            </w:r>
          </w:p>
        </w:tc>
        <w:tc>
          <w:tcPr>
            <w:tcW w:type="dxa" w:w="2016"/>
          </w:tcPr>
          <w:p>
            <w:r/>
            <w:hyperlink r:id="rId50">
              <w:r>
                <w:rPr>
                  <w:u w:val="single"/>
                  <w:color w:val="0563C1"/>
                  <w:sz w:val="14"/>
                </w:rPr>
                <w:t>Abrir PDF / acceso</w:t>
              </w:r>
            </w:hyperlink>
          </w:p>
        </w:tc>
        <w:tc>
          <w:tcPr>
            <w:tcW w:type="dxa" w:w="2016"/>
          </w:tcPr>
          <w:p>
            <w:r/>
            <w:hyperlink r:id="rId51">
              <w:r>
                <w:rPr>
                  <w:u w:val="single"/>
                  <w:color w:val="0563C1"/>
                  <w:sz w:val="14"/>
                </w:rPr>
                <w:t>10.1145/3487043</w:t>
              </w:r>
            </w:hyperlink>
          </w:p>
        </w:tc>
        <w:tc>
          <w:tcPr>
            <w:tcW w:type="dxa" w:w="2016"/>
          </w:tcPr>
          <w:p>
            <w:r>
              <w:t>4</w:t>
            </w:r>
          </w:p>
        </w:tc>
      </w:tr>
      <w:tr>
        <w:tc>
          <w:tcPr>
            <w:tcW w:type="dxa" w:w="2016"/>
          </w:tcPr>
          <w:p>
            <w:r>
              <w:t>34</w:t>
            </w:r>
          </w:p>
        </w:tc>
        <w:tc>
          <w:tcPr>
            <w:tcW w:type="dxa" w:w="2016"/>
          </w:tcPr>
          <w:p>
            <w:r>
              <w:t>Li, S. — Understanding and addressing quality att…</w:t>
            </w:r>
          </w:p>
        </w:tc>
        <w:tc>
          <w:tcPr>
            <w:tcW w:type="dxa" w:w="2016"/>
          </w:tcPr>
          <w:p>
            <w:r/>
            <w:hyperlink r:id="rId52">
              <w:r>
                <w:rPr>
                  <w:u w:val="single"/>
                  <w:color w:val="0563C1"/>
                  <w:sz w:val="14"/>
                </w:rPr>
                <w:t>Abrir PDF / acceso</w:t>
              </w:r>
            </w:hyperlink>
          </w:p>
        </w:tc>
        <w:tc>
          <w:tcPr>
            <w:tcW w:type="dxa" w:w="2016"/>
          </w:tcPr>
          <w:p>
            <w:r/>
            <w:hyperlink r:id="rId52">
              <w:r>
                <w:rPr>
                  <w:u w:val="single"/>
                  <w:color w:val="0563C1"/>
                  <w:sz w:val="14"/>
                </w:rPr>
                <w:t>10.1016/j.infsof.2020.106449</w:t>
              </w:r>
            </w:hyperlink>
          </w:p>
        </w:tc>
        <w:tc>
          <w:tcPr>
            <w:tcW w:type="dxa" w:w="2016"/>
          </w:tcPr>
          <w:p>
            <w:r>
              <w:t>4</w:t>
            </w:r>
          </w:p>
        </w:tc>
      </w:tr>
      <w:tr>
        <w:tc>
          <w:tcPr>
            <w:tcW w:type="dxa" w:w="2016"/>
          </w:tcPr>
          <w:p>
            <w:r>
              <w:t>35</w:t>
            </w:r>
          </w:p>
        </w:tc>
        <w:tc>
          <w:tcPr>
            <w:tcW w:type="dxa" w:w="2016"/>
          </w:tcPr>
          <w:p>
            <w:r>
              <w:t>Breiman, L. (2001) — Random forests</w:t>
            </w:r>
          </w:p>
        </w:tc>
        <w:tc>
          <w:tcPr>
            <w:tcW w:type="dxa" w:w="2016"/>
          </w:tcPr>
          <w:p>
            <w:r/>
            <w:hyperlink r:id="rId53">
              <w:r>
                <w:rPr>
                  <w:u w:val="single"/>
                  <w:color w:val="0563C1"/>
                  <w:sz w:val="14"/>
                </w:rPr>
                <w:t>Abrir PDF / acceso</w:t>
              </w:r>
            </w:hyperlink>
          </w:p>
        </w:tc>
        <w:tc>
          <w:tcPr>
            <w:tcW w:type="dxa" w:w="2016"/>
          </w:tcPr>
          <w:p>
            <w:r/>
            <w:hyperlink r:id="rId53">
              <w:r>
                <w:rPr>
                  <w:u w:val="single"/>
                  <w:color w:val="0563C1"/>
                  <w:sz w:val="14"/>
                </w:rPr>
                <w:t>10.1023/A:1010933404324</w:t>
              </w:r>
            </w:hyperlink>
          </w:p>
        </w:tc>
        <w:tc>
          <w:tcPr>
            <w:tcW w:type="dxa" w:w="2016"/>
          </w:tcPr>
          <w:p>
            <w:r>
              <w:t>5</w:t>
            </w:r>
          </w:p>
        </w:tc>
      </w:tr>
      <w:tr>
        <w:tc>
          <w:tcPr>
            <w:tcW w:type="dxa" w:w="2016"/>
          </w:tcPr>
          <w:p>
            <w:r>
              <w:t>36</w:t>
            </w:r>
          </w:p>
        </w:tc>
        <w:tc>
          <w:tcPr>
            <w:tcW w:type="dxa" w:w="2016"/>
          </w:tcPr>
          <w:p>
            <w:r>
              <w:t>Dingsøyr, T. — A decade of agile methodologies: Towards…</w:t>
            </w:r>
          </w:p>
        </w:tc>
        <w:tc>
          <w:tcPr>
            <w:tcW w:type="dxa" w:w="2016"/>
          </w:tcPr>
          <w:p>
            <w:r/>
            <w:hyperlink r:id="rId54">
              <w:r>
                <w:rPr>
                  <w:u w:val="single"/>
                  <w:color w:val="0563C1"/>
                  <w:sz w:val="14"/>
                </w:rPr>
                <w:t>Abrir PDF / acceso</w:t>
              </w:r>
            </w:hyperlink>
          </w:p>
        </w:tc>
        <w:tc>
          <w:tcPr>
            <w:tcW w:type="dxa" w:w="2016"/>
          </w:tcPr>
          <w:p>
            <w:r/>
            <w:hyperlink r:id="rId54">
              <w:r>
                <w:rPr>
                  <w:u w:val="single"/>
                  <w:color w:val="0563C1"/>
                  <w:sz w:val="14"/>
                </w:rPr>
                <w:t>10.1016/j.jss.2012.02.033</w:t>
              </w:r>
            </w:hyperlink>
          </w:p>
        </w:tc>
        <w:tc>
          <w:tcPr>
            <w:tcW w:type="dxa" w:w="2016"/>
          </w:tcPr>
          <w:p>
            <w:r>
              <w:t>5</w:t>
            </w:r>
          </w:p>
        </w:tc>
      </w:tr>
      <w:tr>
        <w:tc>
          <w:tcPr>
            <w:tcW w:type="dxa" w:w="2016"/>
          </w:tcPr>
          <w:p>
            <w:r>
              <w:t>37</w:t>
            </w:r>
          </w:p>
        </w:tc>
        <w:tc>
          <w:tcPr>
            <w:tcW w:type="dxa" w:w="2016"/>
          </w:tcPr>
          <w:p>
            <w:r>
              <w:t>Malgonde, O. y Chari, K. (2019) — An ensemble-based model for predicting a…</w:t>
            </w:r>
          </w:p>
        </w:tc>
        <w:tc>
          <w:tcPr>
            <w:tcW w:type="dxa" w:w="2016"/>
          </w:tcPr>
          <w:p>
            <w:r/>
            <w:hyperlink r:id="rId55">
              <w:r>
                <w:rPr>
                  <w:u w:val="single"/>
                  <w:color w:val="0563C1"/>
                  <w:sz w:val="14"/>
                </w:rPr>
                <w:t>Abrir PDF / acceso</w:t>
              </w:r>
            </w:hyperlink>
          </w:p>
        </w:tc>
        <w:tc>
          <w:tcPr>
            <w:tcW w:type="dxa" w:w="2016"/>
          </w:tcPr>
          <w:p>
            <w:r/>
            <w:hyperlink r:id="rId56">
              <w:r>
                <w:rPr>
                  <w:u w:val="single"/>
                  <w:color w:val="0563C1"/>
                  <w:sz w:val="14"/>
                </w:rPr>
                <w:t>10.1007/s10664-019-09745-1</w:t>
              </w:r>
            </w:hyperlink>
          </w:p>
        </w:tc>
        <w:tc>
          <w:tcPr>
            <w:tcW w:type="dxa" w:w="2016"/>
          </w:tcPr>
          <w:p>
            <w:r>
              <w:t>5</w:t>
            </w:r>
          </w:p>
        </w:tc>
      </w:tr>
      <w:tr>
        <w:tc>
          <w:tcPr>
            <w:tcW w:type="dxa" w:w="2016"/>
          </w:tcPr>
          <w:p>
            <w:r>
              <w:t>38</w:t>
            </w:r>
          </w:p>
        </w:tc>
        <w:tc>
          <w:tcPr>
            <w:tcW w:type="dxa" w:w="2016"/>
          </w:tcPr>
          <w:p>
            <w:r>
              <w:t>Kuhrmann, M. — Hybrid software development approaches i…</w:t>
            </w:r>
          </w:p>
        </w:tc>
        <w:tc>
          <w:tcPr>
            <w:tcW w:type="dxa" w:w="2016"/>
          </w:tcPr>
          <w:p>
            <w:r/>
            <w:hyperlink r:id="rId57">
              <w:r>
                <w:rPr>
                  <w:u w:val="single"/>
                  <w:color w:val="0563C1"/>
                  <w:sz w:val="14"/>
                </w:rPr>
                <w:t>Abrir PDF / acceso</w:t>
              </w:r>
            </w:hyperlink>
          </w:p>
        </w:tc>
        <w:tc>
          <w:tcPr>
            <w:tcW w:type="dxa" w:w="2016"/>
          </w:tcPr>
          <w:p>
            <w:r/>
            <w:hyperlink r:id="rId57">
              <w:r>
                <w:rPr>
                  <w:u w:val="single"/>
                  <w:color w:val="0563C1"/>
                  <w:sz w:val="14"/>
                </w:rPr>
                <w:t>10.1109/ms.2018.110161245</w:t>
              </w:r>
            </w:hyperlink>
          </w:p>
        </w:tc>
        <w:tc>
          <w:tcPr>
            <w:tcW w:type="dxa" w:w="2016"/>
          </w:tcPr>
          <w:p>
            <w:r>
              <w:t>5</w:t>
            </w:r>
          </w:p>
        </w:tc>
      </w:tr>
      <w:tr>
        <w:tc>
          <w:tcPr>
            <w:tcW w:type="dxa" w:w="2016"/>
          </w:tcPr>
          <w:p>
            <w:r>
              <w:t>39</w:t>
            </w:r>
          </w:p>
        </w:tc>
        <w:tc>
          <w:tcPr>
            <w:tcW w:type="dxa" w:w="2016"/>
          </w:tcPr>
          <w:p>
            <w:r>
              <w:t>Lepenioti, K. — Prescriptive analytics: Literature revie…</w:t>
            </w:r>
          </w:p>
        </w:tc>
        <w:tc>
          <w:tcPr>
            <w:tcW w:type="dxa" w:w="2016"/>
          </w:tcPr>
          <w:p>
            <w:r/>
            <w:hyperlink r:id="rId58">
              <w:r>
                <w:rPr>
                  <w:u w:val="single"/>
                  <w:color w:val="0563C1"/>
                  <w:sz w:val="14"/>
                </w:rPr>
                <w:t>Abrir PDF / acceso</w:t>
              </w:r>
            </w:hyperlink>
          </w:p>
        </w:tc>
        <w:tc>
          <w:tcPr>
            <w:tcW w:type="dxa" w:w="2016"/>
          </w:tcPr>
          <w:p>
            <w:r/>
            <w:hyperlink r:id="rId58">
              <w:r>
                <w:rPr>
                  <w:u w:val="single"/>
                  <w:color w:val="0563C1"/>
                  <w:sz w:val="14"/>
                </w:rPr>
                <w:t>10.1016/j.ijinfomgt.2019.04.003</w:t>
              </w:r>
            </w:hyperlink>
          </w:p>
        </w:tc>
        <w:tc>
          <w:tcPr>
            <w:tcW w:type="dxa" w:w="2016"/>
          </w:tcPr>
          <w:p>
            <w:r>
              <w:t>5</w:t>
            </w:r>
          </w:p>
        </w:tc>
      </w:tr>
      <w:tr>
        <w:tc>
          <w:tcPr>
            <w:tcW w:type="dxa" w:w="2016"/>
          </w:tcPr>
          <w:p>
            <w:r>
              <w:t>40</w:t>
            </w:r>
          </w:p>
        </w:tc>
        <w:tc>
          <w:tcPr>
            <w:tcW w:type="dxa" w:w="2016"/>
          </w:tcPr>
          <w:p>
            <w:r>
              <w:t>Choi, T.M.; Wallace, S.W. y Wang, Y — Big data analytics in operations managem…</w:t>
            </w:r>
          </w:p>
        </w:tc>
        <w:tc>
          <w:tcPr>
            <w:tcW w:type="dxa" w:w="2016"/>
          </w:tcPr>
          <w:p>
            <w:r/>
            <w:hyperlink r:id="rId59">
              <w:r>
                <w:rPr>
                  <w:u w:val="single"/>
                  <w:color w:val="0563C1"/>
                  <w:sz w:val="14"/>
                </w:rPr>
                <w:t>Abrir PDF / acceso</w:t>
              </w:r>
            </w:hyperlink>
          </w:p>
        </w:tc>
        <w:tc>
          <w:tcPr>
            <w:tcW w:type="dxa" w:w="2016"/>
          </w:tcPr>
          <w:p>
            <w:r/>
            <w:hyperlink r:id="rId59">
              <w:r>
                <w:rPr>
                  <w:u w:val="single"/>
                  <w:color w:val="0563C1"/>
                  <w:sz w:val="14"/>
                </w:rPr>
                <w:t>10.1111/poms.12838</w:t>
              </w:r>
            </w:hyperlink>
          </w:p>
        </w:tc>
        <w:tc>
          <w:tcPr>
            <w:tcW w:type="dxa" w:w="2016"/>
          </w:tcPr>
          <w:p>
            <w:r>
              <w:t>5</w:t>
            </w:r>
          </w:p>
        </w:tc>
      </w:tr>
      <w:tr>
        <w:tc>
          <w:tcPr>
            <w:tcW w:type="dxa" w:w="2016"/>
          </w:tcPr>
          <w:p>
            <w:r>
              <w:t>41</w:t>
            </w:r>
          </w:p>
        </w:tc>
        <w:tc>
          <w:tcPr>
            <w:tcW w:type="dxa" w:w="2016"/>
          </w:tcPr>
          <w:p>
            <w:r>
              <w:t>Haakman, M. — AI lifecycle models need to be revised: …</w:t>
            </w:r>
          </w:p>
        </w:tc>
        <w:tc>
          <w:tcPr>
            <w:tcW w:type="dxa" w:w="2016"/>
          </w:tcPr>
          <w:p>
            <w:r/>
            <w:hyperlink r:id="rId60">
              <w:r>
                <w:rPr>
                  <w:u w:val="single"/>
                  <w:color w:val="0563C1"/>
                  <w:sz w:val="14"/>
                </w:rPr>
                <w:t>Abrir PDF / acceso</w:t>
              </w:r>
            </w:hyperlink>
          </w:p>
        </w:tc>
        <w:tc>
          <w:tcPr>
            <w:tcW w:type="dxa" w:w="2016"/>
          </w:tcPr>
          <w:p>
            <w:r/>
            <w:hyperlink r:id="rId61">
              <w:r>
                <w:rPr>
                  <w:u w:val="single"/>
                  <w:color w:val="0563C1"/>
                  <w:sz w:val="14"/>
                </w:rPr>
                <w:t>10.1007/s10664-021-09993-1</w:t>
              </w:r>
            </w:hyperlink>
          </w:p>
        </w:tc>
        <w:tc>
          <w:tcPr>
            <w:tcW w:type="dxa" w:w="2016"/>
          </w:tcPr>
          <w:p>
            <w:r>
              <w:t>5</w:t>
            </w:r>
          </w:p>
        </w:tc>
      </w:tr>
      <w:tr>
        <w:tc>
          <w:tcPr>
            <w:tcW w:type="dxa" w:w="2016"/>
          </w:tcPr>
          <w:p>
            <w:r>
              <w:t>42</w:t>
            </w:r>
          </w:p>
        </w:tc>
        <w:tc>
          <w:tcPr>
            <w:tcW w:type="dxa" w:w="2016"/>
          </w:tcPr>
          <w:p>
            <w:r>
              <w:t>Melville, N.; Kraemer, K. y Gurbaxa — Information technology and organizationa…</w:t>
            </w:r>
          </w:p>
        </w:tc>
        <w:tc>
          <w:tcPr>
            <w:tcW w:type="dxa" w:w="2016"/>
          </w:tcPr>
          <w:p>
            <w:r/>
            <w:hyperlink r:id="rId62">
              <w:r>
                <w:rPr>
                  <w:u w:val="single"/>
                  <w:color w:val="0563C1"/>
                  <w:sz w:val="14"/>
                </w:rPr>
                <w:t>Abrir PDF / acceso</w:t>
              </w:r>
            </w:hyperlink>
          </w:p>
        </w:tc>
        <w:tc>
          <w:tcPr>
            <w:tcW w:type="dxa" w:w="2016"/>
          </w:tcPr>
          <w:p>
            <w:r/>
            <w:hyperlink r:id="rId63">
              <w:r>
                <w:rPr>
                  <w:u w:val="single"/>
                  <w:color w:val="0563C1"/>
                  <w:sz w:val="14"/>
                </w:rPr>
                <w:t>10.2307/25148636</w:t>
              </w:r>
            </w:hyperlink>
          </w:p>
        </w:tc>
        <w:tc>
          <w:tcPr>
            <w:tcW w:type="dxa" w:w="2016"/>
          </w:tcPr>
          <w:p>
            <w:r>
              <w:t>5</w:t>
            </w:r>
          </w:p>
        </w:tc>
      </w:tr>
      <w:tr>
        <w:tc>
          <w:tcPr>
            <w:tcW w:type="dxa" w:w="2016"/>
          </w:tcPr>
          <w:p>
            <w:r>
              <w:t>43</w:t>
            </w:r>
          </w:p>
        </w:tc>
        <w:tc>
          <w:tcPr>
            <w:tcW w:type="dxa" w:w="2016"/>
          </w:tcPr>
          <w:p>
            <w:r>
              <w:t>Dai, J.; Mao, X.; Wu, P.; Zhou, H.  — Revolutionizing cross-border e-commerce:…</w:t>
            </w:r>
          </w:p>
        </w:tc>
        <w:tc>
          <w:tcPr>
            <w:tcW w:type="dxa" w:w="2016"/>
          </w:tcPr>
          <w:p>
            <w:r/>
            <w:hyperlink r:id="rId64">
              <w:r>
                <w:rPr>
                  <w:u w:val="single"/>
                  <w:color w:val="0563C1"/>
                  <w:sz w:val="14"/>
                </w:rPr>
                <w:t>Abrir PDF / acceso</w:t>
              </w:r>
            </w:hyperlink>
          </w:p>
        </w:tc>
        <w:tc>
          <w:tcPr>
            <w:tcW w:type="dxa" w:w="2016"/>
          </w:tcPr>
          <w:p>
            <w:r/>
            <w:hyperlink r:id="rId65">
              <w:r>
                <w:rPr>
                  <w:u w:val="single"/>
                  <w:color w:val="0563C1"/>
                  <w:sz w:val="14"/>
                </w:rPr>
                <w:t>10.1371/journal.pone.0305639</w:t>
              </w:r>
            </w:hyperlink>
          </w:p>
        </w:tc>
        <w:tc>
          <w:tcPr>
            <w:tcW w:type="dxa" w:w="2016"/>
          </w:tcPr>
          <w:p>
            <w:r>
              <w:t>5</w:t>
            </w:r>
          </w:p>
        </w:tc>
      </w:tr>
    </w:tbl>
    <w:p>
      <w:r>
        <w:br w:type="page"/>
      </w:r>
    </w:p>
    <w:p>
      <w:pPr>
        <w:spacing w:after="120"/>
        <w:jc w:val="left"/>
      </w:pPr>
      <w:r>
        <w:rPr>
          <w:rFonts w:ascii="Arial" w:hAnsi="Arial" w:eastAsia="Arial"/>
          <w:b/>
          <w:i w:val="0"/>
          <w:sz w:val="22"/>
        </w:rPr>
        <w:t>EJE 1 — Comercio electrónico y transformación comercial</w:t>
      </w:r>
    </w:p>
    <w:p>
      <w:pPr>
        <w:spacing w:after="40"/>
        <w:jc w:val="left"/>
      </w:pPr>
      <w:r>
        <w:rPr>
          <w:rFonts w:ascii="Arial" w:hAnsi="Arial" w:eastAsia="Arial"/>
          <w:b/>
          <w:i w:val="0"/>
          <w:sz w:val="20"/>
        </w:rPr>
        <w:t>[01] Digital transformation: A multidisciplinary reflection and research agenda</w:t>
      </w:r>
    </w:p>
    <w:p>
      <w:pPr>
        <w:spacing w:after="80"/>
        <w:jc w:val="left"/>
      </w:pPr>
      <w:r>
        <w:rPr>
          <w:rFonts w:ascii="Arial" w:hAnsi="Arial" w:eastAsia="Arial"/>
          <w:b w:val="0"/>
          <w:i w:val="0"/>
          <w:sz w:val="18"/>
        </w:rPr>
        <w:t>Verhoef, P.C. et al. (2021) — Journal of Business Research · Q1 · JIF 10.97</w:t>
      </w:r>
    </w:p>
    <w:p>
      <w:pPr>
        <w:spacing w:after="40"/>
      </w:pPr>
      <w:r>
        <w:rPr>
          <w:rFonts w:ascii="Arial" w:hAnsi="Arial" w:eastAsia="Arial"/>
          <w:b/>
          <w:i w:val="0"/>
          <w:sz w:val="18"/>
        </w:rPr>
        <w:t xml:space="preserve">Enlace PDF: </w:t>
      </w:r>
      <w:hyperlink r:id="rId9">
        <w:r>
          <w:rPr>
            <w:u w:val="single"/>
            <w:color w:val="0563C1"/>
            <w:sz w:val="18"/>
          </w:rPr>
          <w:t>https://doi.org/10.1016/j.jbusres.2019.09.022</w:t>
        </w:r>
      </w:hyperlink>
    </w:p>
    <w:p>
      <w:pPr>
        <w:spacing w:after="40"/>
      </w:pPr>
      <w:r>
        <w:rPr>
          <w:rFonts w:ascii="Arial" w:hAnsi="Arial" w:eastAsia="Arial"/>
          <w:b/>
          <w:i w:val="0"/>
          <w:sz w:val="18"/>
        </w:rPr>
        <w:t xml:space="preserve">DOI verificado: </w:t>
      </w:r>
      <w:hyperlink r:id="rId9">
        <w:r>
          <w:rPr>
            <w:u w:val="single"/>
            <w:color w:val="0563C1"/>
            <w:sz w:val="18"/>
          </w:rPr>
          <w:t>10.1016/j.jbusres.2019.09.022</w:t>
        </w:r>
      </w:hyperlink>
    </w:p>
    <w:p>
      <w:pPr>
        <w:spacing w:after="80"/>
        <w:jc w:val="left"/>
      </w:pPr>
      <w:r>
        <w:rPr>
          <w:rFonts w:ascii="Arial" w:hAnsi="Arial" w:eastAsia="Arial"/>
          <w:b w:val="0"/>
          <w:i w:val="0"/>
          <w:sz w:val="16"/>
        </w:rPr>
        <w:t>Tipo de acceso: Elsevier ScienceDirect — descargar PDF desde la página DOI (acceso institucional)</w:t>
      </w:r>
    </w:p>
    <w:p>
      <w:pPr>
        <w:spacing w:before="40" w:after="120"/>
      </w:pPr>
      <w:r>
        <w:rPr>
          <w:rFonts w:ascii="Arial" w:hAnsi="Arial" w:eastAsia="Arial"/>
          <w:b/>
          <w:i w:val="0"/>
          <w:color w:val="1A5276"/>
          <w:sz w:val="18"/>
        </w:rPr>
        <w:t xml:space="preserve">Por qué se incluye en la tesis: </w:t>
      </w:r>
      <w:r>
        <w:rPr>
          <w:rFonts w:ascii="Arial" w:hAnsi="Arial" w:eastAsia="Arial"/>
          <w:b w:val="0"/>
          <w:i/>
          <w:sz w:val="18"/>
        </w:rPr>
        <w:t>Aporta el marco teórico de la transformación digital empresarial que justifica la propuesta del sistema web en Calzatura Vilchez. Los indicadores de madurez digital, automatización de procesos y ROI tecnológico son métricas comparables con los resultados esperados del e-commerce propuesto (Variable Independiente — Digitalización comercial).</w:t>
      </w:r>
    </w:p>
    <w:p>
      <w:pPr>
        <w:spacing w:after="200"/>
      </w:pPr>
      <w:r>
        <w:rPr>
          <w:rFonts w:ascii="Arial" w:hAnsi="Arial" w:eastAsia="Arial"/>
          <w:b/>
          <w:i w:val="0"/>
          <w:color w:val="117A65"/>
          <w:sz w:val="16"/>
        </w:rPr>
        <w:t xml:space="preserve">Trazabilidad al sistema implementado: </w:t>
      </w:r>
      <w:r>
        <w:rPr>
          <w:rFonts w:ascii="Arial" w:hAnsi="Arial" w:eastAsia="Arial"/>
          <w:b w:val="0"/>
          <w:i w:val="0"/>
          <w:sz w:val="16"/>
        </w:rPr>
        <w:t>Portal web React 19 (calzatura-vilchez) + app Flutter (calzatura-vilchez-mobile) con catálogo, carrito, checkout, panel admin/trabajador y BFF (bff/server.cjs) sobre Supabase PostgreSQL.</w:t>
      </w:r>
    </w:p>
    <w:p>
      <w:pPr>
        <w:spacing w:after="40"/>
        <w:jc w:val="left"/>
      </w:pPr>
      <w:r>
        <w:rPr>
          <w:rFonts w:ascii="Arial" w:hAnsi="Arial" w:eastAsia="Arial"/>
          <w:b/>
          <w:i w:val="0"/>
          <w:sz w:val="20"/>
        </w:rPr>
        <w:t>[02] COVID-19 Pandemic: Shifting Digital Transformation to a High-Speed Gear in SMEs</w:t>
      </w:r>
    </w:p>
    <w:p>
      <w:pPr>
        <w:spacing w:after="80"/>
        <w:jc w:val="left"/>
      </w:pPr>
      <w:r>
        <w:rPr>
          <w:rFonts w:ascii="Arial" w:hAnsi="Arial" w:eastAsia="Arial"/>
          <w:b w:val="0"/>
          <w:i w:val="0"/>
          <w:sz w:val="18"/>
        </w:rPr>
        <w:t>Soto-Acosta, P. (2020) — Information Systems Management · Q1 · JIF 7.15</w:t>
      </w:r>
    </w:p>
    <w:p>
      <w:pPr>
        <w:spacing w:after="40"/>
      </w:pPr>
      <w:r>
        <w:rPr>
          <w:rFonts w:ascii="Arial" w:hAnsi="Arial" w:eastAsia="Arial"/>
          <w:b/>
          <w:i w:val="0"/>
          <w:sz w:val="18"/>
        </w:rPr>
        <w:t xml:space="preserve">Enlace PDF: </w:t>
      </w:r>
      <w:hyperlink r:id="rId10">
        <w:r>
          <w:rPr>
            <w:u w:val="single"/>
            <w:color w:val="0563C1"/>
            <w:sz w:val="18"/>
          </w:rPr>
          <w:t>https://www.tandfonline.com/doi/pdf/10.1080/10580530.2020.1814461</w:t>
        </w:r>
      </w:hyperlink>
    </w:p>
    <w:p>
      <w:pPr>
        <w:spacing w:after="40"/>
      </w:pPr>
      <w:r>
        <w:rPr>
          <w:rFonts w:ascii="Arial" w:hAnsi="Arial" w:eastAsia="Arial"/>
          <w:b/>
          <w:i w:val="0"/>
          <w:sz w:val="18"/>
        </w:rPr>
        <w:t xml:space="preserve">DOI verificado: </w:t>
      </w:r>
      <w:hyperlink r:id="rId11">
        <w:r>
          <w:rPr>
            <w:u w:val="single"/>
            <w:color w:val="0563C1"/>
            <w:sz w:val="18"/>
          </w:rPr>
          <w:t>10.1080/10580530.2020.1814461</w:t>
        </w:r>
      </w:hyperlink>
    </w:p>
    <w:p>
      <w:pPr>
        <w:spacing w:after="80"/>
        <w:jc w:val="left"/>
      </w:pPr>
      <w:r>
        <w:rPr>
          <w:rFonts w:ascii="Arial" w:hAnsi="Arial" w:eastAsia="Arial"/>
          <w:b w:val="0"/>
          <w:i w:val="0"/>
          <w:sz w:val="16"/>
        </w:rPr>
        <w:t>Tipo de acceso: PDF directo verificado</w:t>
      </w:r>
    </w:p>
    <w:p>
      <w:pPr>
        <w:spacing w:before="40" w:after="120"/>
      </w:pPr>
      <w:r>
        <w:rPr>
          <w:rFonts w:ascii="Arial" w:hAnsi="Arial" w:eastAsia="Arial"/>
          <w:b/>
          <w:i w:val="0"/>
          <w:color w:val="1A5276"/>
          <w:sz w:val="18"/>
        </w:rPr>
        <w:t xml:space="preserve">Por qué se incluye en la tesis: </w:t>
      </w:r>
      <w:r>
        <w:rPr>
          <w:rFonts w:ascii="Arial" w:hAnsi="Arial" w:eastAsia="Arial"/>
          <w:b w:val="0"/>
          <w:i/>
          <w:sz w:val="18"/>
        </w:rPr>
        <w:t>Sustenta la urgencia de digitalización acelerada en PYMEs, análoga a la situación de Calzatura Vilchez. Los indicadores de tasa de continuidad del negocio y crecimiento de ventas digitales son benchmarks directamente aplicables para medir el impacto del módulo de e-commerce propuesto (Variable Independiente — Digitalización de ventas en PYME).</w:t>
      </w:r>
    </w:p>
    <w:p>
      <w:pPr>
        <w:spacing w:after="200"/>
      </w:pPr>
      <w:r>
        <w:rPr>
          <w:rFonts w:ascii="Arial" w:hAnsi="Arial" w:eastAsia="Arial"/>
          <w:b/>
          <w:i w:val="0"/>
          <w:color w:val="117A65"/>
          <w:sz w:val="16"/>
        </w:rPr>
        <w:t xml:space="preserve">Trazabilidad al sistema implementado: </w:t>
      </w:r>
      <w:r>
        <w:rPr>
          <w:rFonts w:ascii="Arial" w:hAnsi="Arial" w:eastAsia="Arial"/>
          <w:b w:val="0"/>
          <w:i w:val="0"/>
          <w:sz w:val="16"/>
        </w:rPr>
        <w:t>Canal digital operativo: pedidos online (Stripe/contraentrega), ventas presenciales en ventasDiarias y continuidad comercial documentada en SRS-Calzatura-Vilchez.md.</w:t>
      </w:r>
    </w:p>
    <w:p>
      <w:pPr>
        <w:spacing w:after="40"/>
        <w:jc w:val="left"/>
      </w:pPr>
      <w:r>
        <w:rPr>
          <w:rFonts w:ascii="Arial" w:hAnsi="Arial" w:eastAsia="Arial"/>
          <w:b/>
          <w:i w:val="0"/>
          <w:sz w:val="20"/>
        </w:rPr>
        <w:t>[03] Digital Innovation Management: Reinventing Innovation Management Research in a Digital World</w:t>
      </w:r>
    </w:p>
    <w:p>
      <w:pPr>
        <w:spacing w:after="80"/>
        <w:jc w:val="left"/>
      </w:pPr>
      <w:r>
        <w:rPr>
          <w:rFonts w:ascii="Arial" w:hAnsi="Arial" w:eastAsia="Arial"/>
          <w:b w:val="0"/>
          <w:i w:val="0"/>
          <w:sz w:val="18"/>
        </w:rPr>
        <w:t>Nambisan, S. et al. (2017) — MIS Quarterly · Q1 · JIF 12.50</w:t>
      </w:r>
    </w:p>
    <w:p>
      <w:pPr>
        <w:spacing w:after="40"/>
      </w:pPr>
      <w:r>
        <w:rPr>
          <w:rFonts w:ascii="Arial" w:hAnsi="Arial" w:eastAsia="Arial"/>
          <w:b/>
          <w:i w:val="0"/>
          <w:sz w:val="18"/>
        </w:rPr>
        <w:t xml:space="preserve">Enlace PDF: </w:t>
      </w:r>
      <w:hyperlink r:id="rId12">
        <w:r>
          <w:rPr>
            <w:u w:val="single"/>
            <w:color w:val="0563C1"/>
            <w:sz w:val="18"/>
          </w:rPr>
          <w:t>https://misq.umn.edu/misq/article-pdf/41/1/223/5892/11_si_introduction.pdf</w:t>
        </w:r>
      </w:hyperlink>
    </w:p>
    <w:p>
      <w:pPr>
        <w:spacing w:after="40"/>
      </w:pPr>
      <w:r>
        <w:rPr>
          <w:rFonts w:ascii="Arial" w:hAnsi="Arial" w:eastAsia="Arial"/>
          <w:b/>
          <w:i w:val="0"/>
          <w:sz w:val="18"/>
        </w:rPr>
        <w:t xml:space="preserve">DOI verificado: </w:t>
      </w:r>
      <w:hyperlink r:id="rId13">
        <w:r>
          <w:rPr>
            <w:u w:val="single"/>
            <w:color w:val="0563C1"/>
            <w:sz w:val="18"/>
          </w:rPr>
          <w:t>10.25300/misq/2017/41:1.03</w:t>
        </w:r>
      </w:hyperlink>
    </w:p>
    <w:p>
      <w:pPr>
        <w:spacing w:after="80"/>
        <w:jc w:val="left"/>
      </w:pPr>
      <w:r>
        <w:rPr>
          <w:rFonts w:ascii="Arial" w:hAnsi="Arial" w:eastAsia="Arial"/>
          <w:b w:val="0"/>
          <w:i w:val="0"/>
          <w:sz w:val="16"/>
        </w:rPr>
        <w:t>Tipo de acceso: PDF directo verificado</w:t>
      </w:r>
    </w:p>
    <w:p>
      <w:pPr>
        <w:spacing w:before="40" w:after="120"/>
      </w:pPr>
      <w:r>
        <w:rPr>
          <w:rFonts w:ascii="Arial" w:hAnsi="Arial" w:eastAsia="Arial"/>
          <w:b/>
          <w:i w:val="0"/>
          <w:color w:val="1A5276"/>
          <w:sz w:val="18"/>
        </w:rPr>
        <w:t xml:space="preserve">Por qué se incluye en la tesis: </w:t>
      </w:r>
      <w:r>
        <w:rPr>
          <w:rFonts w:ascii="Arial" w:hAnsi="Arial" w:eastAsia="Arial"/>
          <w:b w:val="0"/>
          <w:i/>
          <w:sz w:val="18"/>
        </w:rPr>
        <w:t>Provee el marco conceptual de la innovación digital como proceso iterativo, respaldando la metodología ágil adoptada en el desarrollo del sistema. La velocidad de iteración y la tasa de adopción de innovación son indicadores de gestión del proyecto directamente aplicables al proceso de implementación propuesto (Variable Independiente — Marco metodológico del sistema).</w:t>
      </w:r>
    </w:p>
    <w:p>
      <w:pPr>
        <w:spacing w:after="200"/>
      </w:pPr>
      <w:r>
        <w:rPr>
          <w:rFonts w:ascii="Arial" w:hAnsi="Arial" w:eastAsia="Arial"/>
          <w:b/>
          <w:i w:val="0"/>
          <w:color w:val="117A65"/>
          <w:sz w:val="16"/>
        </w:rPr>
        <w:t xml:space="preserve">Trazabilidad al sistema implementado: </w:t>
      </w:r>
      <w:r>
        <w:rPr>
          <w:rFonts w:ascii="Arial" w:hAnsi="Arial" w:eastAsia="Arial"/>
          <w:b w:val="0"/>
          <w:i w:val="0"/>
          <w:sz w:val="16"/>
        </w:rPr>
        <w:t>Desarrollo iterativo con CI (GitHub Actions), despliegue en Render (BFF + ai-service) y releases móviles APK; adopción medible por módulos activos en producción.</w:t>
      </w:r>
    </w:p>
    <w:p>
      <w:pPr>
        <w:spacing w:after="40"/>
        <w:jc w:val="left"/>
      </w:pPr>
      <w:r>
        <w:rPr>
          <w:rFonts w:ascii="Arial" w:hAnsi="Arial" w:eastAsia="Arial"/>
          <w:b/>
          <w:i w:val="0"/>
          <w:sz w:val="20"/>
        </w:rPr>
        <w:t>[04] The digital transformation of business models in the creative industries</w:t>
      </w:r>
    </w:p>
    <w:p>
      <w:pPr>
        <w:spacing w:after="80"/>
        <w:jc w:val="left"/>
      </w:pPr>
      <w:r>
        <w:rPr>
          <w:rFonts w:ascii="Arial" w:hAnsi="Arial" w:eastAsia="Arial"/>
          <w:b w:val="0"/>
          <w:i w:val="0"/>
          <w:sz w:val="18"/>
        </w:rPr>
        <w:t>Li, F. (2020) — Technovation · Q1 · DOI: 10.1016/j.technovation.2017.12.004</w:t>
      </w:r>
    </w:p>
    <w:p>
      <w:pPr>
        <w:spacing w:after="40"/>
      </w:pPr>
      <w:r>
        <w:rPr>
          <w:rFonts w:ascii="Arial" w:hAnsi="Arial" w:eastAsia="Arial"/>
          <w:b/>
          <w:i w:val="0"/>
          <w:sz w:val="18"/>
        </w:rPr>
        <w:t xml:space="preserve">Enlace PDF: </w:t>
      </w:r>
      <w:hyperlink r:id="rId14">
        <w:r>
          <w:rPr>
            <w:u w:val="single"/>
            <w:color w:val="0563C1"/>
            <w:sz w:val="18"/>
          </w:rPr>
          <w:t>https://doi.org/10.1016/j.technovation.2017.12.004</w:t>
        </w:r>
      </w:hyperlink>
    </w:p>
    <w:p>
      <w:pPr>
        <w:spacing w:after="40"/>
      </w:pPr>
      <w:r>
        <w:rPr>
          <w:rFonts w:ascii="Arial" w:hAnsi="Arial" w:eastAsia="Arial"/>
          <w:b/>
          <w:i w:val="0"/>
          <w:sz w:val="18"/>
        </w:rPr>
        <w:t xml:space="preserve">DOI verificado: </w:t>
      </w:r>
      <w:hyperlink r:id="rId14">
        <w:r>
          <w:rPr>
            <w:u w:val="single"/>
            <w:color w:val="0563C1"/>
            <w:sz w:val="18"/>
          </w:rPr>
          <w:t>10.1016/j.technovation.2017.12.004</w:t>
        </w:r>
      </w:hyperlink>
    </w:p>
    <w:p>
      <w:pPr>
        <w:spacing w:after="80"/>
        <w:jc w:val="left"/>
      </w:pPr>
      <w:r>
        <w:rPr>
          <w:rFonts w:ascii="Arial" w:hAnsi="Arial" w:eastAsia="Arial"/>
          <w:b w:val="0"/>
          <w:i w:val="0"/>
          <w:sz w:val="16"/>
        </w:rPr>
        <w:t>Tipo de acceso: Elsevier ScienceDirect — descargar PDF desde la página DOI (acceso institucional)</w:t>
      </w:r>
    </w:p>
    <w:p>
      <w:pPr>
        <w:spacing w:after="80"/>
        <w:jc w:val="left"/>
      </w:pPr>
      <w:r>
        <w:rPr>
          <w:rFonts w:ascii="Arial" w:hAnsi="Arial" w:eastAsia="Arial"/>
          <w:b w:val="0"/>
          <w:i w:val="0"/>
          <w:sz w:val="16"/>
        </w:rPr>
        <w:t>Nota bibliográfica: Revista: Technovation (no British J. Management). Autor: Feng Li.</w:t>
      </w:r>
    </w:p>
    <w:p>
      <w:pPr>
        <w:spacing w:before="40" w:after="120"/>
      </w:pPr>
      <w:r>
        <w:rPr>
          <w:rFonts w:ascii="Arial" w:hAnsi="Arial" w:eastAsia="Arial"/>
          <w:b/>
          <w:i w:val="0"/>
          <w:color w:val="1A5276"/>
          <w:sz w:val="18"/>
        </w:rPr>
        <w:t xml:space="preserve">Por qué se incluye en la tesis: </w:t>
      </w:r>
      <w:r>
        <w:rPr>
          <w:rFonts w:ascii="Arial" w:hAnsi="Arial" w:eastAsia="Arial"/>
          <w:b w:val="0"/>
          <w:i/>
          <w:sz w:val="18"/>
        </w:rPr>
        <w:t>Justifica la transformación del modelo de negocio presencial de Calzatura Vilchez hacia un canal digital de e-commerce. Los indicadores de ingresos incrementales por digitalización y ROI del canal digital son métricas de impacto económico esperadas tras la implementación del sistema propuesto (Variable Independiente — Digitalización del modelo comercial).</w:t>
      </w:r>
    </w:p>
    <w:p>
      <w:pPr>
        <w:spacing w:after="200"/>
      </w:pPr>
      <w:r>
        <w:rPr>
          <w:rFonts w:ascii="Arial" w:hAnsi="Arial" w:eastAsia="Arial"/>
          <w:b/>
          <w:i w:val="0"/>
          <w:color w:val="117A65"/>
          <w:sz w:val="16"/>
        </w:rPr>
        <w:t xml:space="preserve">Trazabilidad al sistema implementado: </w:t>
      </w:r>
      <w:r>
        <w:rPr>
          <w:rFonts w:ascii="Arial" w:hAnsi="Arial" w:eastAsia="Arial"/>
          <w:b w:val="0"/>
          <w:i w:val="0"/>
          <w:sz w:val="16"/>
        </w:rPr>
        <w:t>Transformación del modelo presencial a omnicanal: catálogo público (domains/productos), tiendas físicas (domains/público) y ventas integradas vía BFF.</w:t>
      </w:r>
    </w:p>
    <w:p>
      <w:pPr>
        <w:spacing w:after="40"/>
        <w:jc w:val="left"/>
      </w:pPr>
      <w:r>
        <w:rPr>
          <w:rFonts w:ascii="Arial" w:hAnsi="Arial" w:eastAsia="Arial"/>
          <w:b/>
          <w:i w:val="0"/>
          <w:sz w:val="20"/>
        </w:rPr>
        <w:t>[05] Why do small and medium enterprises use social media marketing and what is the impact</w:t>
      </w:r>
    </w:p>
    <w:p>
      <w:pPr>
        <w:spacing w:after="80"/>
        <w:jc w:val="left"/>
      </w:pPr>
      <w:r>
        <w:rPr>
          <w:rFonts w:ascii="Arial" w:hAnsi="Arial" w:eastAsia="Arial"/>
          <w:b w:val="0"/>
          <w:i w:val="0"/>
          <w:sz w:val="18"/>
        </w:rPr>
        <w:t>Chatterjee, S. y Kumar Kar, A. (2020) — International Journal of Information Management · Q1 · DOI: 10.1016/j.ijinfomgt.2020.102103</w:t>
      </w:r>
    </w:p>
    <w:p>
      <w:pPr>
        <w:spacing w:after="40"/>
      </w:pPr>
      <w:r>
        <w:rPr>
          <w:rFonts w:ascii="Arial" w:hAnsi="Arial" w:eastAsia="Arial"/>
          <w:b/>
          <w:i w:val="0"/>
          <w:sz w:val="18"/>
        </w:rPr>
        <w:t xml:space="preserve">Enlace PDF: </w:t>
      </w:r>
      <w:hyperlink r:id="rId15">
        <w:r>
          <w:rPr>
            <w:u w:val="single"/>
            <w:color w:val="0563C1"/>
            <w:sz w:val="18"/>
          </w:rPr>
          <w:t>https://doi.org/10.1016/j.ijinfomgt.2020.102103</w:t>
        </w:r>
      </w:hyperlink>
    </w:p>
    <w:p>
      <w:pPr>
        <w:spacing w:after="40"/>
      </w:pPr>
      <w:r>
        <w:rPr>
          <w:rFonts w:ascii="Arial" w:hAnsi="Arial" w:eastAsia="Arial"/>
          <w:b/>
          <w:i w:val="0"/>
          <w:sz w:val="18"/>
        </w:rPr>
        <w:t xml:space="preserve">DOI verificado: </w:t>
      </w:r>
      <w:hyperlink r:id="rId15">
        <w:r>
          <w:rPr>
            <w:u w:val="single"/>
            <w:color w:val="0563C1"/>
            <w:sz w:val="18"/>
          </w:rPr>
          <w:t>10.1016/j.ijinfomgt.2020.102103</w:t>
        </w:r>
      </w:hyperlink>
    </w:p>
    <w:p>
      <w:pPr>
        <w:spacing w:after="80"/>
        <w:jc w:val="left"/>
      </w:pPr>
      <w:r>
        <w:rPr>
          <w:rFonts w:ascii="Arial" w:hAnsi="Arial" w:eastAsia="Arial"/>
          <w:b w:val="0"/>
          <w:i w:val="0"/>
          <w:sz w:val="16"/>
        </w:rPr>
        <w:t>Tipo de acceso: Elsevier ScienceDirect — descargar PDF desde la página DOI (acceso institucional)</w:t>
      </w:r>
    </w:p>
    <w:p>
      <w:pPr>
        <w:spacing w:after="80"/>
        <w:jc w:val="left"/>
      </w:pPr>
      <w:r>
        <w:rPr>
          <w:rFonts w:ascii="Arial" w:hAnsi="Arial" w:eastAsia="Arial"/>
          <w:b w:val="0"/>
          <w:i w:val="0"/>
          <w:sz w:val="16"/>
        </w:rPr>
        <w:t>Nota bibliográfica: Revista: IJIM (no JBR).</w:t>
      </w:r>
    </w:p>
    <w:p>
      <w:pPr>
        <w:spacing w:before="40" w:after="120"/>
      </w:pPr>
      <w:r>
        <w:rPr>
          <w:rFonts w:ascii="Arial" w:hAnsi="Arial" w:eastAsia="Arial"/>
          <w:b/>
          <w:i w:val="0"/>
          <w:color w:val="1A5276"/>
          <w:sz w:val="18"/>
        </w:rPr>
        <w:t xml:space="preserve">Por qué se incluye en la tesis: </w:t>
      </w:r>
      <w:r>
        <w:rPr>
          <w:rFonts w:ascii="Arial" w:hAnsi="Arial" w:eastAsia="Arial"/>
          <w:b w:val="0"/>
          <w:i/>
          <w:sz w:val="18"/>
        </w:rPr>
        <w:t>Valida empíricamente que la adopción de canales digitales en PYMEs genera crecimiento de ventas y captación de nuevos clientes, justificando el módulo de ventas en línea del sistema. Los indicadores de tasa de conversión digital y crecimiento de ventas son KPIs comparables con los resultados esperados del e-commerce de Calzatura Vilchez (Variable Independiente — Canal digital).</w:t>
      </w:r>
    </w:p>
    <w:p>
      <w:pPr>
        <w:spacing w:after="200"/>
      </w:pPr>
      <w:r>
        <w:rPr>
          <w:rFonts w:ascii="Arial" w:hAnsi="Arial" w:eastAsia="Arial"/>
          <w:b/>
          <w:i w:val="0"/>
          <w:color w:val="117A65"/>
          <w:sz w:val="16"/>
        </w:rPr>
        <w:t xml:space="preserve">Trazabilidad al sistema implementado: </w:t>
      </w:r>
      <w:r>
        <w:rPr>
          <w:rFonts w:ascii="Arial" w:hAnsi="Arial" w:eastAsia="Arial"/>
          <w:b w:val="0"/>
          <w:i w:val="0"/>
          <w:sz w:val="16"/>
        </w:rPr>
        <w:t>Módulo de ventas web y móvil (AdminSalesPage/StaffSalesPage) con registro diario, documentos y devoluciones; conversión medible en pedidos y ventasDiarias.</w:t>
      </w:r>
    </w:p>
    <w:p>
      <w:pPr>
        <w:spacing w:after="40"/>
        <w:jc w:val="left"/>
      </w:pPr>
      <w:r>
        <w:rPr>
          <w:rFonts w:ascii="Arial" w:hAnsi="Arial" w:eastAsia="Arial"/>
          <w:b/>
          <w:i w:val="0"/>
          <w:sz w:val="20"/>
        </w:rPr>
        <w:t>[06] Digital marketing: A framework, review and research agenda</w:t>
      </w:r>
    </w:p>
    <w:p>
      <w:pPr>
        <w:spacing w:after="80"/>
        <w:jc w:val="left"/>
      </w:pPr>
      <w:r>
        <w:rPr>
          <w:rFonts w:ascii="Arial" w:hAnsi="Arial" w:eastAsia="Arial"/>
          <w:b w:val="0"/>
          <w:i w:val="0"/>
          <w:sz w:val="18"/>
        </w:rPr>
        <w:t>Kannan, P.K. (2017) — International Journal of Research in Marketing · Q1 · JIF 7.20</w:t>
      </w:r>
    </w:p>
    <w:p>
      <w:pPr>
        <w:spacing w:after="40"/>
      </w:pPr>
      <w:r>
        <w:rPr>
          <w:rFonts w:ascii="Arial" w:hAnsi="Arial" w:eastAsia="Arial"/>
          <w:b/>
          <w:i w:val="0"/>
          <w:sz w:val="18"/>
        </w:rPr>
        <w:t xml:space="preserve">Enlace PDF: </w:t>
      </w:r>
      <w:hyperlink r:id="rId16">
        <w:r>
          <w:rPr>
            <w:u w:val="single"/>
            <w:color w:val="0563C1"/>
            <w:sz w:val="18"/>
          </w:rPr>
          <w:t>https://doi.org/10.1016/j.ijresmar.2016.11.006</w:t>
        </w:r>
      </w:hyperlink>
    </w:p>
    <w:p>
      <w:pPr>
        <w:spacing w:after="40"/>
      </w:pPr>
      <w:r>
        <w:rPr>
          <w:rFonts w:ascii="Arial" w:hAnsi="Arial" w:eastAsia="Arial"/>
          <w:b/>
          <w:i w:val="0"/>
          <w:sz w:val="18"/>
        </w:rPr>
        <w:t xml:space="preserve">DOI verificado: </w:t>
      </w:r>
      <w:hyperlink r:id="rId16">
        <w:r>
          <w:rPr>
            <w:u w:val="single"/>
            <w:color w:val="0563C1"/>
            <w:sz w:val="18"/>
          </w:rPr>
          <w:t>10.1016/j.ijresmar.2016.11.006</w:t>
        </w:r>
      </w:hyperlink>
    </w:p>
    <w:p>
      <w:pPr>
        <w:spacing w:after="80"/>
        <w:jc w:val="left"/>
      </w:pPr>
      <w:r>
        <w:rPr>
          <w:rFonts w:ascii="Arial" w:hAnsi="Arial" w:eastAsia="Arial"/>
          <w:b w:val="0"/>
          <w:i w:val="0"/>
          <w:sz w:val="16"/>
        </w:rPr>
        <w:t>Tipo de acceso: Elsevier ScienceDirect — descargar PDF desde la página DOI (acceso institucional)</w:t>
      </w:r>
    </w:p>
    <w:p>
      <w:pPr>
        <w:spacing w:before="40" w:after="120"/>
      </w:pPr>
      <w:r>
        <w:rPr>
          <w:rFonts w:ascii="Arial" w:hAnsi="Arial" w:eastAsia="Arial"/>
          <w:b/>
          <w:i w:val="0"/>
          <w:color w:val="1A5276"/>
          <w:sz w:val="18"/>
        </w:rPr>
        <w:t xml:space="preserve">Por qué se incluye en la tesis: </w:t>
      </w:r>
      <w:r>
        <w:rPr>
          <w:rFonts w:ascii="Arial" w:hAnsi="Arial" w:eastAsia="Arial"/>
          <w:b w:val="0"/>
          <w:i/>
          <w:sz w:val="18"/>
        </w:rPr>
        <w:t>Fundamenta la estrategia de marketing digital que acompañará al módulo de e-commerce del sistema. El CTR, la tasa de conversión y el LTV son métricas de evaluación del canal digital que pueden medirse en la plataforma propuesta; sirven como indicadores secundarios del desempeño comercial del sistema (Variable Independiente — Módulo comercial digital).</w:t>
      </w:r>
    </w:p>
    <w:p>
      <w:pPr>
        <w:spacing w:after="200"/>
      </w:pPr>
      <w:r>
        <w:rPr>
          <w:rFonts w:ascii="Arial" w:hAnsi="Arial" w:eastAsia="Arial"/>
          <w:b/>
          <w:i w:val="0"/>
          <w:color w:val="117A65"/>
          <w:sz w:val="16"/>
        </w:rPr>
        <w:t xml:space="preserve">Trazabilidad al sistema implementado: </w:t>
      </w:r>
      <w:r>
        <w:rPr>
          <w:rFonts w:ascii="Arial" w:hAnsi="Arial" w:eastAsia="Arial"/>
          <w:b w:val="0"/>
          <w:i w:val="0"/>
          <w:sz w:val="16"/>
        </w:rPr>
        <w:t>Catálogo con filtros, favoritos (tabla favoritos vía BFF /favorites), carrito en sessionStorage y checkout; métricas de conversión extraíbles de pedidos pagados.</w:t>
      </w:r>
    </w:p>
    <w:p>
      <w:pPr>
        <w:spacing w:after="40"/>
        <w:jc w:val="left"/>
      </w:pPr>
      <w:r>
        <w:rPr>
          <w:rFonts w:ascii="Arial" w:hAnsi="Arial" w:eastAsia="Arial"/>
          <w:b/>
          <w:i w:val="0"/>
          <w:sz w:val="20"/>
        </w:rPr>
        <w:t>[07] The impact of digital transformation on the retailing value chain</w:t>
      </w:r>
    </w:p>
    <w:p>
      <w:pPr>
        <w:spacing w:after="80"/>
        <w:jc w:val="left"/>
      </w:pPr>
      <w:r>
        <w:rPr>
          <w:rFonts w:ascii="Arial" w:hAnsi="Arial" w:eastAsia="Arial"/>
          <w:b w:val="0"/>
          <w:i w:val="0"/>
          <w:sz w:val="18"/>
        </w:rPr>
        <w:t>Reinartz, W.; Wiegand, N. y Imschloss, M. (2019) — International Journal of Research in Marketing · Q1 · JIF 7.20</w:t>
      </w:r>
    </w:p>
    <w:p>
      <w:pPr>
        <w:spacing w:after="40"/>
      </w:pPr>
      <w:r>
        <w:rPr>
          <w:rFonts w:ascii="Arial" w:hAnsi="Arial" w:eastAsia="Arial"/>
          <w:b/>
          <w:i w:val="0"/>
          <w:sz w:val="18"/>
        </w:rPr>
        <w:t xml:space="preserve">Enlace PDF: </w:t>
      </w:r>
      <w:hyperlink r:id="rId17">
        <w:r>
          <w:rPr>
            <w:u w:val="single"/>
            <w:color w:val="0563C1"/>
            <w:sz w:val="18"/>
          </w:rPr>
          <w:t>https://doi.org/10.1016/j.ijresmar.2018.12.002</w:t>
        </w:r>
      </w:hyperlink>
    </w:p>
    <w:p>
      <w:pPr>
        <w:spacing w:after="40"/>
      </w:pPr>
      <w:r>
        <w:rPr>
          <w:rFonts w:ascii="Arial" w:hAnsi="Arial" w:eastAsia="Arial"/>
          <w:b/>
          <w:i w:val="0"/>
          <w:sz w:val="18"/>
        </w:rPr>
        <w:t xml:space="preserve">DOI verificado: </w:t>
      </w:r>
      <w:hyperlink r:id="rId17">
        <w:r>
          <w:rPr>
            <w:u w:val="single"/>
            <w:color w:val="0563C1"/>
            <w:sz w:val="18"/>
          </w:rPr>
          <w:t>10.1016/j.ijresmar.2018.12.002</w:t>
        </w:r>
      </w:hyperlink>
    </w:p>
    <w:p>
      <w:pPr>
        <w:spacing w:after="80"/>
        <w:jc w:val="left"/>
      </w:pPr>
      <w:r>
        <w:rPr>
          <w:rFonts w:ascii="Arial" w:hAnsi="Arial" w:eastAsia="Arial"/>
          <w:b w:val="0"/>
          <w:i w:val="0"/>
          <w:sz w:val="16"/>
        </w:rPr>
        <w:t>Tipo de acceso: Elsevier ScienceDirect — descargar PDF desde la página DOI (acceso institucional)</w:t>
      </w:r>
    </w:p>
    <w:p>
      <w:pPr>
        <w:spacing w:before="40" w:after="120"/>
      </w:pPr>
      <w:r>
        <w:rPr>
          <w:rFonts w:ascii="Arial" w:hAnsi="Arial" w:eastAsia="Arial"/>
          <w:b/>
          <w:i w:val="0"/>
          <w:color w:val="1A5276"/>
          <w:sz w:val="18"/>
        </w:rPr>
        <w:t xml:space="preserve">Por qué se incluye en la tesis: </w:t>
      </w:r>
      <w:r>
        <w:rPr>
          <w:rFonts w:ascii="Arial" w:hAnsi="Arial" w:eastAsia="Arial"/>
          <w:b w:val="0"/>
          <w:i/>
          <w:sz w:val="18"/>
        </w:rPr>
        <w:t>ARTÍCULO NÚCLEO. Fundamenta directamente la digitalización de la cadena de valor minorista con énfasis en la integración omnicanal, gestión de pedidos y stock, análoga a la operación de Calzatura Vilchez. Los indicadores de rotación de inventario, tiempo de entrega y NPS del canal digital son KPIs del módulo e-commerce adaptables al IRE (Variable Independiente — Sistema web).</w:t>
      </w:r>
    </w:p>
    <w:p>
      <w:pPr>
        <w:spacing w:after="200"/>
      </w:pPr>
      <w:r>
        <w:rPr>
          <w:rFonts w:ascii="Arial" w:hAnsi="Arial" w:eastAsia="Arial"/>
          <w:b/>
          <w:i w:val="0"/>
          <w:color w:val="117A65"/>
          <w:sz w:val="16"/>
        </w:rPr>
        <w:t xml:space="preserve">Trazabilidad al sistema implementado: </w:t>
      </w:r>
      <w:r>
        <w:rPr>
          <w:rFonts w:ascii="Arial" w:hAnsi="Arial" w:eastAsia="Arial"/>
          <w:b w:val="0"/>
          <w:i w:val="0"/>
          <w:sz w:val="16"/>
        </w:rPr>
        <w:t>Cadena de valor digitalizada: productos → stock por talla/color → pedidos → fulfillment; integración API REST entre frontend, BFF, Supabase y Stripe.</w:t>
      </w:r>
    </w:p>
    <w:p>
      <w:pPr>
        <w:spacing w:after="40"/>
        <w:jc w:val="left"/>
      </w:pPr>
      <w:r>
        <w:rPr>
          <w:rFonts w:ascii="Arial" w:hAnsi="Arial" w:eastAsia="Arial"/>
          <w:b/>
          <w:i w:val="0"/>
          <w:sz w:val="20"/>
        </w:rPr>
        <w:t>[08] The digitalization of retailing: An exploratory framework</w:t>
      </w:r>
    </w:p>
    <w:p>
      <w:pPr>
        <w:spacing w:after="80"/>
        <w:jc w:val="left"/>
      </w:pPr>
      <w:r>
        <w:rPr>
          <w:rFonts w:ascii="Arial" w:hAnsi="Arial" w:eastAsia="Arial"/>
          <w:b w:val="0"/>
          <w:i w:val="0"/>
          <w:sz w:val="18"/>
        </w:rPr>
        <w:t>Hagberg, J.; Sundstrom, M. y Egels-Zandén, N. (2016) — International Journal of Retail &amp; Distribution Management · Q1 · JIF 4.50</w:t>
      </w:r>
    </w:p>
    <w:p>
      <w:pPr>
        <w:spacing w:after="40"/>
      </w:pPr>
      <w:r>
        <w:rPr>
          <w:rFonts w:ascii="Arial" w:hAnsi="Arial" w:eastAsia="Arial"/>
          <w:b/>
          <w:i w:val="0"/>
          <w:sz w:val="18"/>
        </w:rPr>
        <w:t xml:space="preserve">Enlace PDF: </w:t>
      </w:r>
      <w:hyperlink r:id="rId18">
        <w:r>
          <w:rPr>
            <w:u w:val="single"/>
            <w:color w:val="0563C1"/>
            <w:sz w:val="18"/>
          </w:rPr>
          <w:t>https://doi.org/10.1108/ijrdm-09-2015-0140</w:t>
        </w:r>
      </w:hyperlink>
    </w:p>
    <w:p>
      <w:pPr>
        <w:spacing w:after="40"/>
      </w:pPr>
      <w:r>
        <w:rPr>
          <w:rFonts w:ascii="Arial" w:hAnsi="Arial" w:eastAsia="Arial"/>
          <w:b/>
          <w:i w:val="0"/>
          <w:sz w:val="18"/>
        </w:rPr>
        <w:t xml:space="preserve">DOI verificado: </w:t>
      </w:r>
      <w:hyperlink r:id="rId18">
        <w:r>
          <w:rPr>
            <w:u w:val="single"/>
            <w:color w:val="0563C1"/>
            <w:sz w:val="18"/>
          </w:rPr>
          <w:t>10.1108/ijrdm-09-2015-0140</w:t>
        </w:r>
      </w:hyperlink>
    </w:p>
    <w:p>
      <w:pPr>
        <w:spacing w:after="80"/>
        <w:jc w:val="left"/>
      </w:pPr>
      <w:r>
        <w:rPr>
          <w:rFonts w:ascii="Arial" w:hAnsi="Arial" w:eastAsia="Arial"/>
          <w:b w:val="0"/>
          <w:i w:val="0"/>
          <w:sz w:val="16"/>
        </w:rPr>
        <w:t>Tipo de acceso: Emerald — descargar PDF desde la página DOI (acceso institucional)</w:t>
      </w:r>
    </w:p>
    <w:p>
      <w:pPr>
        <w:spacing w:before="40" w:after="120"/>
      </w:pPr>
      <w:r>
        <w:rPr>
          <w:rFonts w:ascii="Arial" w:hAnsi="Arial" w:eastAsia="Arial"/>
          <w:b/>
          <w:i w:val="0"/>
          <w:color w:val="1A5276"/>
          <w:sz w:val="18"/>
        </w:rPr>
        <w:t xml:space="preserve">Por qué se incluye en la tesis: </w:t>
      </w:r>
      <w:r>
        <w:rPr>
          <w:rFonts w:ascii="Arial" w:hAnsi="Arial" w:eastAsia="Arial"/>
          <w:b w:val="0"/>
          <w:i/>
          <w:sz w:val="18"/>
        </w:rPr>
        <w:t>ARTÍCULO NÚCLEO. Provee el modelo de digitalización del punto de venta minorista directamente aplicable al contexto de una empresa de calzado. El N.° de SKUs en canal online y la tasa de adopción de servicios digitales por clientes son indicadores del módulo de catálogo y ventas del sistema propuesto (Variable Independiente — E-commerce en retail de calzado).</w:t>
      </w:r>
    </w:p>
    <w:p>
      <w:pPr>
        <w:spacing w:after="200"/>
      </w:pPr>
      <w:r>
        <w:rPr>
          <w:rFonts w:ascii="Arial" w:hAnsi="Arial" w:eastAsia="Arial"/>
          <w:b/>
          <w:i w:val="0"/>
          <w:color w:val="117A65"/>
          <w:sz w:val="16"/>
        </w:rPr>
        <w:t xml:space="preserve">Trazabilidad al sistema implementado: </w:t>
      </w:r>
      <w:r>
        <w:rPr>
          <w:rFonts w:ascii="Arial" w:hAnsi="Arial" w:eastAsia="Arial"/>
          <w:b w:val="0"/>
          <w:i w:val="0"/>
          <w:sz w:val="16"/>
        </w:rPr>
        <w:t>SKUs publicados en canal online (tabla productos + productoCodigos); punto de venta digital con panel de ventas admin/staff y búsqueda por marca/código.</w:t>
      </w:r>
    </w:p>
    <w:p>
      <w:pPr>
        <w:spacing w:after="120"/>
        <w:jc w:val="left"/>
      </w:pPr>
      <w:r>
        <w:rPr>
          <w:rFonts w:ascii="Arial" w:hAnsi="Arial" w:eastAsia="Arial"/>
          <w:b/>
          <w:i w:val="0"/>
          <w:sz w:val="22"/>
        </w:rPr>
        <w:t>EJE 2 — Inteligencia artificial y analítica para decisiones</w:t>
      </w:r>
    </w:p>
    <w:p>
      <w:pPr>
        <w:spacing w:after="40"/>
        <w:jc w:val="left"/>
      </w:pPr>
      <w:r>
        <w:rPr>
          <w:rFonts w:ascii="Arial" w:hAnsi="Arial" w:eastAsia="Arial"/>
          <w:b/>
          <w:i w:val="0"/>
          <w:sz w:val="20"/>
        </w:rPr>
        <w:t>[09] Artificial intelligence for decision making in the era of Big Data</w:t>
      </w:r>
    </w:p>
    <w:p>
      <w:pPr>
        <w:spacing w:after="80"/>
        <w:jc w:val="left"/>
      </w:pPr>
      <w:r>
        <w:rPr>
          <w:rFonts w:ascii="Arial" w:hAnsi="Arial" w:eastAsia="Arial"/>
          <w:b w:val="0"/>
          <w:i w:val="0"/>
          <w:sz w:val="18"/>
        </w:rPr>
        <w:t>Duan, Y.; Edwards, J.S. y Dwivedi, Y.K. (2019) — International Journal of Information Management · Q1 · DOI: 10.1016/j.ijinfomgt.2019.01.021</w:t>
      </w:r>
    </w:p>
    <w:p>
      <w:pPr>
        <w:spacing w:after="40"/>
      </w:pPr>
      <w:r>
        <w:rPr>
          <w:rFonts w:ascii="Arial" w:hAnsi="Arial" w:eastAsia="Arial"/>
          <w:b/>
          <w:i w:val="0"/>
          <w:sz w:val="18"/>
        </w:rPr>
        <w:t xml:space="preserve">Enlace PDF: </w:t>
      </w:r>
      <w:hyperlink r:id="rId19">
        <w:r>
          <w:rPr>
            <w:u w:val="single"/>
            <w:color w:val="0563C1"/>
            <w:sz w:val="18"/>
          </w:rPr>
          <w:t>https://doi.org/10.1016/j.ijinfomgt.2019.01.021</w:t>
        </w:r>
      </w:hyperlink>
    </w:p>
    <w:p>
      <w:pPr>
        <w:spacing w:after="40"/>
      </w:pPr>
      <w:r>
        <w:rPr>
          <w:rFonts w:ascii="Arial" w:hAnsi="Arial" w:eastAsia="Arial"/>
          <w:b/>
          <w:i w:val="0"/>
          <w:sz w:val="18"/>
        </w:rPr>
        <w:t xml:space="preserve">DOI verificado: </w:t>
      </w:r>
      <w:hyperlink r:id="rId19">
        <w:r>
          <w:rPr>
            <w:u w:val="single"/>
            <w:color w:val="0563C1"/>
            <w:sz w:val="18"/>
          </w:rPr>
          <w:t>10.1016/j.ijinfomgt.2019.01.021</w:t>
        </w:r>
      </w:hyperlink>
    </w:p>
    <w:p>
      <w:pPr>
        <w:spacing w:after="80"/>
        <w:jc w:val="left"/>
      </w:pPr>
      <w:r>
        <w:rPr>
          <w:rFonts w:ascii="Arial" w:hAnsi="Arial" w:eastAsia="Arial"/>
          <w:b w:val="0"/>
          <w:i w:val="0"/>
          <w:sz w:val="16"/>
        </w:rPr>
        <w:t>Tipo de acceso: Elsevier ScienceDirect — descargar PDF desde la página DOI (acceso institucional)</w:t>
      </w:r>
    </w:p>
    <w:p>
      <w:pPr>
        <w:spacing w:after="80"/>
        <w:jc w:val="left"/>
      </w:pPr>
      <w:r>
        <w:rPr>
          <w:rFonts w:ascii="Arial" w:hAnsi="Arial" w:eastAsia="Arial"/>
          <w:b w:val="0"/>
          <w:i w:val="0"/>
          <w:sz w:val="16"/>
        </w:rPr>
        <w:t>Nota bibliográfica: Autores: Duan, Edwards, Dwivedi (2019). IJIM.</w:t>
      </w:r>
    </w:p>
    <w:p>
      <w:pPr>
        <w:spacing w:before="40" w:after="120"/>
      </w:pPr>
      <w:r>
        <w:rPr>
          <w:rFonts w:ascii="Arial" w:hAnsi="Arial" w:eastAsia="Arial"/>
          <w:b/>
          <w:i w:val="0"/>
          <w:color w:val="1A5276"/>
          <w:sz w:val="18"/>
        </w:rPr>
        <w:t xml:space="preserve">Por qué se incluye en la tesis: </w:t>
      </w:r>
      <w:r>
        <w:rPr>
          <w:rFonts w:ascii="Arial" w:hAnsi="Arial" w:eastAsia="Arial"/>
          <w:b w:val="0"/>
          <w:i/>
          <w:sz w:val="18"/>
        </w:rPr>
        <w:t>ARTÍCULO NÚCLEO. Establece el fundamento teórico del componente de IA para toma de decisiones en el sistema propuesto. Accuracy, Recall y F1-score son las métricas estándar de evaluación del módulo predictivo del IRE. El ROI de implementación de IA y la reducción del riesgo operativo son los KPIs de impacto gerencial del sistema en Calzatura Vilchez (Variable Dependiente — IRE).</w:t>
      </w:r>
    </w:p>
    <w:p>
      <w:pPr>
        <w:spacing w:after="200"/>
      </w:pPr>
      <w:r>
        <w:rPr>
          <w:rFonts w:ascii="Arial" w:hAnsi="Arial" w:eastAsia="Arial"/>
          <w:b/>
          <w:i w:val="0"/>
          <w:color w:val="117A65"/>
          <w:sz w:val="16"/>
        </w:rPr>
        <w:t xml:space="preserve">Trazabilidad al sistema implementado: </w:t>
      </w:r>
      <w:r>
        <w:rPr>
          <w:rFonts w:ascii="Arial" w:hAnsi="Arial" w:eastAsia="Arial"/>
          <w:b w:val="0"/>
          <w:i w:val="0"/>
          <w:sz w:val="16"/>
        </w:rPr>
        <w:t>Servicio IA FastAPI (ai-service/main.py) con endpoints /api/predict/demand y /api/predict/combined; métricas MAE/accuracy en modelo_estado (Supabase).</w:t>
      </w:r>
    </w:p>
    <w:p>
      <w:pPr>
        <w:spacing w:after="40"/>
        <w:jc w:val="left"/>
      </w:pPr>
      <w:r>
        <w:rPr>
          <w:rFonts w:ascii="Arial" w:hAnsi="Arial" w:eastAsia="Arial"/>
          <w:b/>
          <w:i w:val="0"/>
          <w:sz w:val="20"/>
        </w:rPr>
        <w:t>[10] How artificial intelligence will change the future of marketing</w:t>
      </w:r>
    </w:p>
    <w:p>
      <w:pPr>
        <w:spacing w:after="80"/>
        <w:jc w:val="left"/>
      </w:pPr>
      <w:r>
        <w:rPr>
          <w:rFonts w:ascii="Arial" w:hAnsi="Arial" w:eastAsia="Arial"/>
          <w:b w:val="0"/>
          <w:i w:val="0"/>
          <w:sz w:val="18"/>
        </w:rPr>
        <w:t>Davenport, T. et al. (2020) — Journal of the Academy of Marketing Science · Q1 · JIF 18.53</w:t>
      </w:r>
    </w:p>
    <w:p>
      <w:pPr>
        <w:spacing w:after="40"/>
      </w:pPr>
      <w:r>
        <w:rPr>
          <w:rFonts w:ascii="Arial" w:hAnsi="Arial" w:eastAsia="Arial"/>
          <w:b/>
          <w:i w:val="0"/>
          <w:sz w:val="18"/>
        </w:rPr>
        <w:t xml:space="preserve">Enlace PDF: </w:t>
      </w:r>
      <w:hyperlink r:id="rId20">
        <w:r>
          <w:rPr>
            <w:u w:val="single"/>
            <w:color w:val="0563C1"/>
            <w:sz w:val="18"/>
          </w:rPr>
          <w:t>https://link.springer.com/content/pdf/10.1007/s11747-019-00696-0.pdf</w:t>
        </w:r>
      </w:hyperlink>
    </w:p>
    <w:p>
      <w:pPr>
        <w:spacing w:after="40"/>
      </w:pPr>
      <w:r>
        <w:rPr>
          <w:rFonts w:ascii="Arial" w:hAnsi="Arial" w:eastAsia="Arial"/>
          <w:b/>
          <w:i w:val="0"/>
          <w:sz w:val="18"/>
        </w:rPr>
        <w:t xml:space="preserve">DOI verificado: </w:t>
      </w:r>
      <w:hyperlink r:id="rId21">
        <w:r>
          <w:rPr>
            <w:u w:val="single"/>
            <w:color w:val="0563C1"/>
            <w:sz w:val="18"/>
          </w:rPr>
          <w:t>10.1007/s11747-019-00696-0</w:t>
        </w:r>
      </w:hyperlink>
    </w:p>
    <w:p>
      <w:pPr>
        <w:spacing w:after="80"/>
        <w:jc w:val="left"/>
      </w:pPr>
      <w:r>
        <w:rPr>
          <w:rFonts w:ascii="Arial" w:hAnsi="Arial" w:eastAsia="Arial"/>
          <w:b w:val="0"/>
          <w:i w:val="0"/>
          <w:sz w:val="16"/>
        </w:rPr>
        <w:t>Tipo de acceso: PDF directo verificado</w:t>
      </w:r>
    </w:p>
    <w:p>
      <w:pPr>
        <w:spacing w:before="40" w:after="120"/>
      </w:pPr>
      <w:r>
        <w:rPr>
          <w:rFonts w:ascii="Arial" w:hAnsi="Arial" w:eastAsia="Arial"/>
          <w:b/>
          <w:i w:val="0"/>
          <w:color w:val="1A5276"/>
          <w:sz w:val="18"/>
        </w:rPr>
        <w:t xml:space="preserve">Por qué se incluye en la tesis: </w:t>
      </w:r>
      <w:r>
        <w:rPr>
          <w:rFonts w:ascii="Arial" w:hAnsi="Arial" w:eastAsia="Arial"/>
          <w:b w:val="0"/>
          <w:i/>
          <w:sz w:val="18"/>
        </w:rPr>
        <w:t>Justifica el uso de IA para personalización y automatización en el sistema de e-commerce propuesto. Las métricas de ROI de campañas con IA y tasa de conversión evalúan el impacto comercial del módulo IA como soporte a decisiones de ventas; complementa el análisis del subíndice de ingresos del IRE (Variable Independiente — Módulo IA comercial).</w:t>
      </w:r>
    </w:p>
    <w:p>
      <w:pPr>
        <w:spacing w:after="200"/>
      </w:pPr>
      <w:r>
        <w:rPr>
          <w:rFonts w:ascii="Arial" w:hAnsi="Arial" w:eastAsia="Arial"/>
          <w:b/>
          <w:i w:val="0"/>
          <w:color w:val="117A65"/>
          <w:sz w:val="16"/>
        </w:rPr>
        <w:t xml:space="preserve">Trazabilidad al sistema implementado: </w:t>
      </w:r>
      <w:r>
        <w:rPr>
          <w:rFonts w:ascii="Arial" w:hAnsi="Arial" w:eastAsia="Arial"/>
          <w:b w:val="0"/>
          <w:i w:val="0"/>
          <w:sz w:val="16"/>
        </w:rPr>
        <w:t>Panel ejecutivo admin consume predicciones IA; recomendaciones de stock y demanda visibles en dashboard web (domains/administradores).</w:t>
      </w:r>
    </w:p>
    <w:p>
      <w:pPr>
        <w:spacing w:after="40"/>
        <w:jc w:val="left"/>
      </w:pPr>
      <w:r>
        <w:rPr>
          <w:rFonts w:ascii="Arial" w:hAnsi="Arial" w:eastAsia="Arial"/>
          <w:b/>
          <w:i w:val="0"/>
          <w:sz w:val="20"/>
        </w:rPr>
        <w:t>[11] Organizational decision-making structures in the age of artificial intelligence</w:t>
      </w:r>
    </w:p>
    <w:p>
      <w:pPr>
        <w:spacing w:after="80"/>
        <w:jc w:val="left"/>
      </w:pPr>
      <w:r>
        <w:rPr>
          <w:rFonts w:ascii="Arial" w:hAnsi="Arial" w:eastAsia="Arial"/>
          <w:b w:val="0"/>
          <w:i w:val="0"/>
          <w:sz w:val="18"/>
        </w:rPr>
        <w:t>Shrestha, Y.R.; Ben-Menahem, S.M. y von Krogh, G. (2019) — California Management Review · Q1 · DOI: 10.1177/0008125619862257</w:t>
      </w:r>
    </w:p>
    <w:p>
      <w:pPr>
        <w:spacing w:after="40"/>
      </w:pPr>
      <w:r>
        <w:rPr>
          <w:rFonts w:ascii="Arial" w:hAnsi="Arial" w:eastAsia="Arial"/>
          <w:b/>
          <w:i w:val="0"/>
          <w:sz w:val="18"/>
        </w:rPr>
        <w:t xml:space="preserve">Enlace PDF: </w:t>
      </w:r>
      <w:hyperlink r:id="rId22">
        <w:r>
          <w:rPr>
            <w:u w:val="single"/>
            <w:color w:val="0563C1"/>
            <w:sz w:val="18"/>
          </w:rPr>
          <w:t>https://journals.sagepub.com/doi/pdf/10.1177/0008125619862257</w:t>
        </w:r>
      </w:hyperlink>
    </w:p>
    <w:p>
      <w:pPr>
        <w:spacing w:after="40"/>
      </w:pPr>
      <w:r>
        <w:rPr>
          <w:rFonts w:ascii="Arial" w:hAnsi="Arial" w:eastAsia="Arial"/>
          <w:b/>
          <w:i w:val="0"/>
          <w:sz w:val="18"/>
        </w:rPr>
        <w:t xml:space="preserve">DOI verificado: </w:t>
      </w:r>
      <w:hyperlink r:id="rId23">
        <w:r>
          <w:rPr>
            <w:u w:val="single"/>
            <w:color w:val="0563C1"/>
            <w:sz w:val="18"/>
          </w:rPr>
          <w:t>10.1177/0008125619862257</w:t>
        </w:r>
      </w:hyperlink>
    </w:p>
    <w:p>
      <w:pPr>
        <w:spacing w:after="80"/>
        <w:jc w:val="left"/>
      </w:pPr>
      <w:r>
        <w:rPr>
          <w:rFonts w:ascii="Arial" w:hAnsi="Arial" w:eastAsia="Arial"/>
          <w:b w:val="0"/>
          <w:i w:val="0"/>
          <w:sz w:val="16"/>
        </w:rPr>
        <w:t>Tipo de acceso: PDF directo verificado</w:t>
      </w:r>
    </w:p>
    <w:p>
      <w:pPr>
        <w:spacing w:after="80"/>
        <w:jc w:val="left"/>
      </w:pPr>
      <w:r>
        <w:rPr>
          <w:rFonts w:ascii="Arial" w:hAnsi="Arial" w:eastAsia="Arial"/>
          <w:b w:val="0"/>
          <w:i w:val="0"/>
          <w:sz w:val="16"/>
        </w:rPr>
        <w:t>Nota bibliográfica: Revista: California Management Review (no AMP).</w:t>
      </w:r>
    </w:p>
    <w:p>
      <w:pPr>
        <w:spacing w:before="40" w:after="120"/>
      </w:pPr>
      <w:r>
        <w:rPr>
          <w:rFonts w:ascii="Arial" w:hAnsi="Arial" w:eastAsia="Arial"/>
          <w:b/>
          <w:i w:val="0"/>
          <w:color w:val="1A5276"/>
          <w:sz w:val="18"/>
        </w:rPr>
        <w:t xml:space="preserve">Por qué se incluye en la tesis: </w:t>
      </w:r>
      <w:r>
        <w:rPr>
          <w:rFonts w:ascii="Arial" w:hAnsi="Arial" w:eastAsia="Arial"/>
          <w:b w:val="0"/>
          <w:i/>
          <w:sz w:val="18"/>
        </w:rPr>
        <w:t>ARTÍCULO NÚCLEO. Fundamenta la integración de IA como apoyo a las decisiones gerenciales operativas de Calzatura Vilchez. La reducción de riesgo operativo y el ahorro por mejores decisiones son KPIs directamente vinculados al impacto del IRE sobre la gestión empresarial. NOTA: La revista fue renombrada de 'Academy of Management Executive' a 'Academy of Management Perspectives' en 2014 (Variable Dependiente — Impacto del IRE en decisiones gerenciales).</w:t>
      </w:r>
    </w:p>
    <w:p>
      <w:pPr>
        <w:spacing w:after="200"/>
      </w:pPr>
      <w:r>
        <w:rPr>
          <w:rFonts w:ascii="Arial" w:hAnsi="Arial" w:eastAsia="Arial"/>
          <w:b/>
          <w:i w:val="0"/>
          <w:color w:val="117A65"/>
          <w:sz w:val="16"/>
        </w:rPr>
        <w:t xml:space="preserve">Trazabilidad al sistema implementado: </w:t>
      </w:r>
      <w:r>
        <w:rPr>
          <w:rFonts w:ascii="Arial" w:hAnsi="Arial" w:eastAsia="Arial"/>
          <w:b w:val="0"/>
          <w:i w:val="0"/>
          <w:sz w:val="16"/>
        </w:rPr>
        <w:t>IRE (compute_ire en models/risk.py) asiste decisiones gerenciales: alertas de stock, riesgo por dimensión y nivel Bajo/Moderado/Alto/Crítico.</w:t>
      </w:r>
    </w:p>
    <w:p>
      <w:pPr>
        <w:spacing w:after="40"/>
        <w:jc w:val="left"/>
      </w:pPr>
      <w:r>
        <w:rPr>
          <w:rFonts w:ascii="Arial" w:hAnsi="Arial" w:eastAsia="Arial"/>
          <w:b/>
          <w:i w:val="0"/>
          <w:sz w:val="20"/>
        </w:rPr>
        <w:t>[12] Big data analytics and firm performance: Effects of dynamic capabilities</w:t>
      </w:r>
    </w:p>
    <w:p>
      <w:pPr>
        <w:spacing w:after="80"/>
        <w:jc w:val="left"/>
      </w:pPr>
      <w:r>
        <w:rPr>
          <w:rFonts w:ascii="Arial" w:hAnsi="Arial" w:eastAsia="Arial"/>
          <w:b w:val="0"/>
          <w:i w:val="0"/>
          <w:sz w:val="18"/>
        </w:rPr>
        <w:t>Amba, S.F. et al. (2017) — Journal of Business Research · Q1 · DOI: 10.1016/j.jbusres.2016.08.009</w:t>
      </w:r>
    </w:p>
    <w:p>
      <w:pPr>
        <w:spacing w:after="40"/>
      </w:pPr>
      <w:r>
        <w:rPr>
          <w:rFonts w:ascii="Arial" w:hAnsi="Arial" w:eastAsia="Arial"/>
          <w:b/>
          <w:i w:val="0"/>
          <w:sz w:val="18"/>
        </w:rPr>
        <w:t xml:space="preserve">Enlace PDF: </w:t>
      </w:r>
      <w:hyperlink r:id="rId24">
        <w:r>
          <w:rPr>
            <w:u w:val="single"/>
            <w:color w:val="0563C1"/>
            <w:sz w:val="18"/>
          </w:rPr>
          <w:t>https://doi.org/10.1016/j.jbusres.2016.08.009</w:t>
        </w:r>
      </w:hyperlink>
    </w:p>
    <w:p>
      <w:pPr>
        <w:spacing w:after="40"/>
      </w:pPr>
      <w:r>
        <w:rPr>
          <w:rFonts w:ascii="Arial" w:hAnsi="Arial" w:eastAsia="Arial"/>
          <w:b/>
          <w:i w:val="0"/>
          <w:sz w:val="18"/>
        </w:rPr>
        <w:t xml:space="preserve">DOI verificado: </w:t>
      </w:r>
      <w:hyperlink r:id="rId24">
        <w:r>
          <w:rPr>
            <w:u w:val="single"/>
            <w:color w:val="0563C1"/>
            <w:sz w:val="18"/>
          </w:rPr>
          <w:t>10.1016/j.jbusres.2016.08.009</w:t>
        </w:r>
      </w:hyperlink>
    </w:p>
    <w:p>
      <w:pPr>
        <w:spacing w:after="80"/>
        <w:jc w:val="left"/>
      </w:pPr>
      <w:r>
        <w:rPr>
          <w:rFonts w:ascii="Arial" w:hAnsi="Arial" w:eastAsia="Arial"/>
          <w:b w:val="0"/>
          <w:i w:val="0"/>
          <w:sz w:val="16"/>
        </w:rPr>
        <w:t>Tipo de acceso: Elsevier ScienceDirect — descargar PDF desde la página DOI (acceso institucional)</w:t>
      </w:r>
    </w:p>
    <w:p>
      <w:pPr>
        <w:spacing w:after="80"/>
        <w:jc w:val="left"/>
      </w:pPr>
      <w:r>
        <w:rPr>
          <w:rFonts w:ascii="Arial" w:hAnsi="Arial" w:eastAsia="Arial"/>
          <w:b w:val="0"/>
          <w:i w:val="0"/>
          <w:sz w:val="16"/>
        </w:rPr>
        <w:t>Nota bibliográfica: Revista: JBR (no IJPE).</w:t>
      </w:r>
    </w:p>
    <w:p>
      <w:pPr>
        <w:spacing w:before="40" w:after="120"/>
      </w:pPr>
      <w:r>
        <w:rPr>
          <w:rFonts w:ascii="Arial" w:hAnsi="Arial" w:eastAsia="Arial"/>
          <w:b/>
          <w:i w:val="0"/>
          <w:color w:val="1A5276"/>
          <w:sz w:val="18"/>
        </w:rPr>
        <w:t xml:space="preserve">Por qué se incluye en la tesis: </w:t>
      </w:r>
      <w:r>
        <w:rPr>
          <w:rFonts w:ascii="Arial" w:hAnsi="Arial" w:eastAsia="Arial"/>
          <w:b w:val="0"/>
          <w:i/>
          <w:sz w:val="18"/>
        </w:rPr>
        <w:t>ARTÍCULO NÚCLEO. Valida empíricamente la relación entre analítica de Big Data y desempeño empresarial. La exactitud promedio de modelos y la reducción de costos operativos son métricas de calidad y valor del sistema propuesto. Justifica que la inversión en analítica de datos de Calzatura Vilchez generará mejoras medibles en su desempeño operativo y estratégico (Variable Dependiente — Desempeño empresarial con IA).</w:t>
      </w:r>
    </w:p>
    <w:p>
      <w:pPr>
        <w:spacing w:after="200"/>
      </w:pPr>
      <w:r>
        <w:rPr>
          <w:rFonts w:ascii="Arial" w:hAnsi="Arial" w:eastAsia="Arial"/>
          <w:b/>
          <w:i w:val="0"/>
          <w:color w:val="117A65"/>
          <w:sz w:val="16"/>
        </w:rPr>
        <w:t xml:space="preserve">Trazabilidad al sistema implementado: </w:t>
      </w:r>
      <w:r>
        <w:rPr>
          <w:rFonts w:ascii="Arial" w:hAnsi="Arial" w:eastAsia="Arial"/>
          <w:b w:val="0"/>
          <w:i w:val="0"/>
          <w:sz w:val="16"/>
        </w:rPr>
        <w:t>Pipeline analítico unifica ventasDiarias + pedidos pagados (services/supabase_client.py); modelo RandomForestRegressor en models/demand.py.</w:t>
      </w:r>
    </w:p>
    <w:p>
      <w:pPr>
        <w:spacing w:after="40"/>
        <w:jc w:val="left"/>
      </w:pPr>
      <w:r>
        <w:rPr>
          <w:rFonts w:ascii="Arial" w:hAnsi="Arial" w:eastAsia="Arial"/>
          <w:b/>
          <w:i w:val="0"/>
          <w:sz w:val="20"/>
        </w:rPr>
        <w:t>[13] Statistical and Machine Learning forecasting methods: Concerns and ways forward</w:t>
      </w:r>
    </w:p>
    <w:p>
      <w:pPr>
        <w:spacing w:after="80"/>
        <w:jc w:val="left"/>
      </w:pPr>
      <w:r>
        <w:rPr>
          <w:rFonts w:ascii="Arial" w:hAnsi="Arial" w:eastAsia="Arial"/>
          <w:b w:val="0"/>
          <w:i w:val="0"/>
          <w:sz w:val="18"/>
        </w:rPr>
        <w:t>Makridakis, S.; Spiliotis, E. y Assimakopoulos, V. (2018) — PLOS ONE · Q1 · JIF 3.75</w:t>
      </w:r>
    </w:p>
    <w:p>
      <w:pPr>
        <w:spacing w:after="40"/>
      </w:pPr>
      <w:r>
        <w:rPr>
          <w:rFonts w:ascii="Arial" w:hAnsi="Arial" w:eastAsia="Arial"/>
          <w:b/>
          <w:i w:val="0"/>
          <w:sz w:val="18"/>
        </w:rPr>
        <w:t xml:space="preserve">Enlace PDF: </w:t>
      </w:r>
      <w:hyperlink r:id="rId25">
        <w:r>
          <w:rPr>
            <w:u w:val="single"/>
            <w:color w:val="0563C1"/>
            <w:sz w:val="18"/>
          </w:rPr>
          <w:t>Abrir enlace PDF</w:t>
        </w:r>
      </w:hyperlink>
    </w:p>
    <w:p>
      <w:pPr>
        <w:spacing w:after="40"/>
      </w:pPr>
      <w:r>
        <w:rPr>
          <w:rFonts w:ascii="Arial" w:hAnsi="Arial" w:eastAsia="Arial"/>
          <w:b/>
          <w:i w:val="0"/>
          <w:sz w:val="18"/>
        </w:rPr>
        <w:t xml:space="preserve">DOI verificado: </w:t>
      </w:r>
      <w:hyperlink r:id="rId26">
        <w:r>
          <w:rPr>
            <w:u w:val="single"/>
            <w:color w:val="0563C1"/>
            <w:sz w:val="18"/>
          </w:rPr>
          <w:t>10.1371/journal.pone.0194889</w:t>
        </w:r>
      </w:hyperlink>
    </w:p>
    <w:p>
      <w:pPr>
        <w:spacing w:after="80"/>
        <w:jc w:val="left"/>
      </w:pPr>
      <w:r>
        <w:rPr>
          <w:rFonts w:ascii="Arial" w:hAnsi="Arial" w:eastAsia="Arial"/>
          <w:b w:val="0"/>
          <w:i w:val="0"/>
          <w:sz w:val="16"/>
        </w:rPr>
        <w:t>Tipo de acceso: PDF directo verificado</w:t>
      </w:r>
    </w:p>
    <w:p>
      <w:pPr>
        <w:spacing w:before="40" w:after="120"/>
      </w:pPr>
      <w:r>
        <w:rPr>
          <w:rFonts w:ascii="Arial" w:hAnsi="Arial" w:eastAsia="Arial"/>
          <w:b/>
          <w:i w:val="0"/>
          <w:color w:val="1A5276"/>
          <w:sz w:val="18"/>
        </w:rPr>
        <w:t xml:space="preserve">Por qué se incluye en la tesis: </w:t>
      </w:r>
      <w:r>
        <w:rPr>
          <w:rFonts w:ascii="Arial" w:hAnsi="Arial" w:eastAsia="Arial"/>
          <w:b w:val="0"/>
          <w:i/>
          <w:sz w:val="18"/>
        </w:rPr>
        <w:t>ARTÍCULO NÚCLEO. Establece MAE, MASE, RMSE y sMAPE como las métricas estándar para evaluar la precisión del módulo predictivo del IRE. Demuestra que los modelos ML superan a los métodos estadísticos clásicos en series temporales complejas, justificando la elección de Random Forest frente a ARIMA en el sistema propuesto (Variable Dependiente — Precisión del IRE).</w:t>
      </w:r>
    </w:p>
    <w:p>
      <w:pPr>
        <w:spacing w:after="200"/>
      </w:pPr>
      <w:r>
        <w:rPr>
          <w:rFonts w:ascii="Arial" w:hAnsi="Arial" w:eastAsia="Arial"/>
          <w:b/>
          <w:i w:val="0"/>
          <w:color w:val="117A65"/>
          <w:sz w:val="16"/>
        </w:rPr>
        <w:t xml:space="preserve">Trazabilidad al sistema implementado: </w:t>
      </w:r>
      <w:r>
        <w:rPr>
          <w:rFonts w:ascii="Arial" w:hAnsi="Arial" w:eastAsia="Arial"/>
          <w:b w:val="0"/>
          <w:i w:val="0"/>
          <w:sz w:val="16"/>
        </w:rPr>
        <w:t>Evaluación con MAE/RMSE en predicción de demanda; comparativa RF vs. métodos clásicos documentada en docs/06-ia/modelo-ia.md.</w:t>
      </w:r>
    </w:p>
    <w:p>
      <w:pPr>
        <w:spacing w:after="40"/>
        <w:jc w:val="left"/>
      </w:pPr>
      <w:r>
        <w:rPr>
          <w:rFonts w:ascii="Arial" w:hAnsi="Arial" w:eastAsia="Arial"/>
          <w:b/>
          <w:i w:val="0"/>
          <w:sz w:val="20"/>
        </w:rPr>
        <w:t>[14] Retail forecasting: Research and practice</w:t>
      </w:r>
    </w:p>
    <w:p>
      <w:pPr>
        <w:spacing w:after="80"/>
        <w:jc w:val="left"/>
      </w:pPr>
      <w:r>
        <w:rPr>
          <w:rFonts w:ascii="Arial" w:hAnsi="Arial" w:eastAsia="Arial"/>
          <w:b w:val="0"/>
          <w:i w:val="0"/>
          <w:sz w:val="18"/>
        </w:rPr>
        <w:t>Fildes, R.; Ma, S. y Kolassa, S. (2019) — International Journal of Forecasting · Q1 · JIF 7.22</w:t>
      </w:r>
    </w:p>
    <w:p>
      <w:pPr>
        <w:spacing w:after="40"/>
      </w:pPr>
      <w:r>
        <w:rPr>
          <w:rFonts w:ascii="Arial" w:hAnsi="Arial" w:eastAsia="Arial"/>
          <w:b/>
          <w:i w:val="0"/>
          <w:sz w:val="18"/>
        </w:rPr>
        <w:t xml:space="preserve">Enlace PDF: </w:t>
      </w:r>
      <w:hyperlink r:id="rId27">
        <w:r>
          <w:rPr>
            <w:u w:val="single"/>
            <w:color w:val="0563C1"/>
            <w:sz w:val="18"/>
          </w:rPr>
          <w:t>https://doi.org/10.1016/j.ijforecast.2019.06.004</w:t>
        </w:r>
      </w:hyperlink>
    </w:p>
    <w:p>
      <w:pPr>
        <w:spacing w:after="40"/>
      </w:pPr>
      <w:r>
        <w:rPr>
          <w:rFonts w:ascii="Arial" w:hAnsi="Arial" w:eastAsia="Arial"/>
          <w:b/>
          <w:i w:val="0"/>
          <w:sz w:val="18"/>
        </w:rPr>
        <w:t xml:space="preserve">DOI verificado: </w:t>
      </w:r>
      <w:hyperlink r:id="rId27">
        <w:r>
          <w:rPr>
            <w:u w:val="single"/>
            <w:color w:val="0563C1"/>
            <w:sz w:val="18"/>
          </w:rPr>
          <w:t>10.1016/j.ijforecast.2019.06.004</w:t>
        </w:r>
      </w:hyperlink>
    </w:p>
    <w:p>
      <w:pPr>
        <w:spacing w:after="80"/>
        <w:jc w:val="left"/>
      </w:pPr>
      <w:r>
        <w:rPr>
          <w:rFonts w:ascii="Arial" w:hAnsi="Arial" w:eastAsia="Arial"/>
          <w:b w:val="0"/>
          <w:i w:val="0"/>
          <w:sz w:val="16"/>
        </w:rPr>
        <w:t>Tipo de acceso: Elsevier ScienceDirect — descargar PDF desde la página DOI (acceso institucional)</w:t>
      </w:r>
    </w:p>
    <w:p>
      <w:pPr>
        <w:spacing w:before="40" w:after="120"/>
      </w:pPr>
      <w:r>
        <w:rPr>
          <w:rFonts w:ascii="Arial" w:hAnsi="Arial" w:eastAsia="Arial"/>
          <w:b/>
          <w:i w:val="0"/>
          <w:color w:val="1A5276"/>
          <w:sz w:val="18"/>
        </w:rPr>
        <w:t xml:space="preserve">Por qué se incluye en la tesis: </w:t>
      </w:r>
      <w:r>
        <w:rPr>
          <w:rFonts w:ascii="Arial" w:hAnsi="Arial" w:eastAsia="Arial"/>
          <w:b w:val="0"/>
          <w:i/>
          <w:sz w:val="18"/>
        </w:rPr>
        <w:t>ARTÍCULO NÚCLEO. Fundamenta el pronóstico de demanda en retail como componente central del subíndice de riesgo de demanda (25% del IRE). El nivel de quiebre de stock evitado y el exceso de inventario reducido son los KPIs operativos directamente medibles en Calzatura Vilchez. El contexto de datos de punto de venta es equivalente al historial de ventas disponible en el sistema (Variable Dependiente — Subíndice de riesgo de demanda/stock del IRE).</w:t>
      </w:r>
    </w:p>
    <w:p>
      <w:pPr>
        <w:spacing w:after="200"/>
      </w:pPr>
      <w:r>
        <w:rPr>
          <w:rFonts w:ascii="Arial" w:hAnsi="Arial" w:eastAsia="Arial"/>
          <w:b/>
          <w:i w:val="0"/>
          <w:color w:val="117A65"/>
          <w:sz w:val="16"/>
        </w:rPr>
        <w:t xml:space="preserve">Trazabilidad al sistema implementado: </w:t>
      </w:r>
      <w:r>
        <w:rPr>
          <w:rFonts w:ascii="Arial" w:hAnsi="Arial" w:eastAsia="Arial"/>
          <w:b w:val="0"/>
          <w:i w:val="0"/>
          <w:sz w:val="16"/>
        </w:rPr>
        <w:t>Forecast por producto con horizonte configurable; gráfico semanal de demanda en panel admin; datos históricos desde Supabase.</w:t>
      </w:r>
    </w:p>
    <w:p>
      <w:pPr>
        <w:spacing w:after="40"/>
        <w:jc w:val="left"/>
      </w:pPr>
      <w:r>
        <w:rPr>
          <w:rFonts w:ascii="Arial" w:hAnsi="Arial" w:eastAsia="Arial"/>
          <w:b/>
          <w:i w:val="0"/>
          <w:sz w:val="20"/>
        </w:rPr>
        <w:t>[15] Waiting for a sales renaissance in the fourth industrial revolution: Machine learning and selling</w:t>
      </w:r>
    </w:p>
    <w:p>
      <w:pPr>
        <w:spacing w:after="80"/>
        <w:jc w:val="left"/>
      </w:pPr>
      <w:r>
        <w:rPr>
          <w:rFonts w:ascii="Arial" w:hAnsi="Arial" w:eastAsia="Arial"/>
          <w:b w:val="0"/>
          <w:i w:val="0"/>
          <w:sz w:val="18"/>
        </w:rPr>
        <w:t>Syam, N. y Sharma, A. (2018) — Industrial Marketing Management · Q1 · JIF 8.49</w:t>
      </w:r>
    </w:p>
    <w:p>
      <w:pPr>
        <w:spacing w:after="40"/>
      </w:pPr>
      <w:r>
        <w:rPr>
          <w:rFonts w:ascii="Arial" w:hAnsi="Arial" w:eastAsia="Arial"/>
          <w:b/>
          <w:i w:val="0"/>
          <w:sz w:val="18"/>
        </w:rPr>
        <w:t xml:space="preserve">Enlace PDF: </w:t>
      </w:r>
      <w:hyperlink r:id="rId28">
        <w:r>
          <w:rPr>
            <w:u w:val="single"/>
            <w:color w:val="0563C1"/>
            <w:sz w:val="18"/>
          </w:rPr>
          <w:t>https://doi.org/10.1016/j.indmarman.2017.12.019</w:t>
        </w:r>
      </w:hyperlink>
    </w:p>
    <w:p>
      <w:pPr>
        <w:spacing w:after="40"/>
      </w:pPr>
      <w:r>
        <w:rPr>
          <w:rFonts w:ascii="Arial" w:hAnsi="Arial" w:eastAsia="Arial"/>
          <w:b/>
          <w:i w:val="0"/>
          <w:sz w:val="18"/>
        </w:rPr>
        <w:t xml:space="preserve">DOI verificado: </w:t>
      </w:r>
      <w:hyperlink r:id="rId28">
        <w:r>
          <w:rPr>
            <w:u w:val="single"/>
            <w:color w:val="0563C1"/>
            <w:sz w:val="18"/>
          </w:rPr>
          <w:t>10.1016/j.indmarman.2017.12.019</w:t>
        </w:r>
      </w:hyperlink>
    </w:p>
    <w:p>
      <w:pPr>
        <w:spacing w:after="80"/>
        <w:jc w:val="left"/>
      </w:pPr>
      <w:r>
        <w:rPr>
          <w:rFonts w:ascii="Arial" w:hAnsi="Arial" w:eastAsia="Arial"/>
          <w:b w:val="0"/>
          <w:i w:val="0"/>
          <w:sz w:val="16"/>
        </w:rPr>
        <w:t>Tipo de acceso: Elsevier ScienceDirect — descargar PDF desde la página DOI (acceso institucional)</w:t>
      </w:r>
    </w:p>
    <w:p>
      <w:pPr>
        <w:spacing w:before="40" w:after="120"/>
      </w:pPr>
      <w:r>
        <w:rPr>
          <w:rFonts w:ascii="Arial" w:hAnsi="Arial" w:eastAsia="Arial"/>
          <w:b/>
          <w:i w:val="0"/>
          <w:color w:val="1A5276"/>
          <w:sz w:val="18"/>
        </w:rPr>
        <w:t xml:space="preserve">Por qué se incluye en la tesis: </w:t>
      </w:r>
      <w:r>
        <w:rPr>
          <w:rFonts w:ascii="Arial" w:hAnsi="Arial" w:eastAsia="Arial"/>
          <w:b w:val="0"/>
          <w:i/>
          <w:sz w:val="18"/>
        </w:rPr>
        <w:t>Sustenta la automatización del proceso de ventas con IA como mejora de productividad comercial en Calzatura Vilchez. La mejora en tasa de cierre de ventas y la reducción del tiempo de ciclo respaldan los beneficios esperados del módulo de gestión de ventas del sistema; son indicadores comparables con el subíndice de ingresos del IRE (Variable Independiente — Módulo de ventas IA).</w:t>
      </w:r>
    </w:p>
    <w:p>
      <w:pPr>
        <w:spacing w:after="200"/>
      </w:pPr>
      <w:r>
        <w:rPr>
          <w:rFonts w:ascii="Arial" w:hAnsi="Arial" w:eastAsia="Arial"/>
          <w:b/>
          <w:i w:val="0"/>
          <w:color w:val="117A65"/>
          <w:sz w:val="16"/>
        </w:rPr>
        <w:t xml:space="preserve">Trazabilidad al sistema implementado: </w:t>
      </w:r>
      <w:r>
        <w:rPr>
          <w:rFonts w:ascii="Arial" w:hAnsi="Arial" w:eastAsia="Arial"/>
          <w:b w:val="0"/>
          <w:i w:val="0"/>
          <w:sz w:val="16"/>
        </w:rPr>
        <w:t>Módulo ventas con búsqueda DNI (BFF lookupDni.cjs), rangos de precio, historial y documentos PDF; paridad web-móvil vía panel_bff_api.dart.</w:t>
      </w:r>
    </w:p>
    <w:p>
      <w:pPr>
        <w:spacing w:after="40"/>
        <w:jc w:val="left"/>
      </w:pPr>
      <w:r>
        <w:rPr>
          <w:rFonts w:ascii="Arial" w:hAnsi="Arial" w:eastAsia="Arial"/>
          <w:b/>
          <w:i w:val="0"/>
          <w:sz w:val="20"/>
        </w:rPr>
        <w:t>[16] Artificial intelligence and innovation management: A review, framework, and research agenda</w:t>
      </w:r>
    </w:p>
    <w:p>
      <w:pPr>
        <w:spacing w:after="80"/>
        <w:jc w:val="left"/>
      </w:pPr>
      <w:r>
        <w:rPr>
          <w:rFonts w:ascii="Arial" w:hAnsi="Arial" w:eastAsia="Arial"/>
          <w:b w:val="0"/>
          <w:i w:val="0"/>
          <w:sz w:val="18"/>
        </w:rPr>
        <w:t>Haefner, N. et al. (2021) — Technological Forecasting and Social Change · Q1 · DOI: 10.1016/j.techfore.2020.120392</w:t>
      </w:r>
    </w:p>
    <w:p>
      <w:pPr>
        <w:spacing w:after="40"/>
      </w:pPr>
      <w:r>
        <w:rPr>
          <w:rFonts w:ascii="Arial" w:hAnsi="Arial" w:eastAsia="Arial"/>
          <w:b/>
          <w:i w:val="0"/>
          <w:sz w:val="18"/>
        </w:rPr>
        <w:t xml:space="preserve">Enlace PDF: </w:t>
      </w:r>
      <w:hyperlink r:id="rId29">
        <w:r>
          <w:rPr>
            <w:u w:val="single"/>
            <w:color w:val="0563C1"/>
            <w:sz w:val="18"/>
          </w:rPr>
          <w:t>https://doi.org/10.1016/j.techfore.2020.120392</w:t>
        </w:r>
      </w:hyperlink>
    </w:p>
    <w:p>
      <w:pPr>
        <w:spacing w:after="40"/>
      </w:pPr>
      <w:r>
        <w:rPr>
          <w:rFonts w:ascii="Arial" w:hAnsi="Arial" w:eastAsia="Arial"/>
          <w:b/>
          <w:i w:val="0"/>
          <w:sz w:val="18"/>
        </w:rPr>
        <w:t xml:space="preserve">DOI verificado: </w:t>
      </w:r>
      <w:hyperlink r:id="rId29">
        <w:r>
          <w:rPr>
            <w:u w:val="single"/>
            <w:color w:val="0563C1"/>
            <w:sz w:val="18"/>
          </w:rPr>
          <w:t>10.1016/j.techfore.2020.120392</w:t>
        </w:r>
      </w:hyperlink>
    </w:p>
    <w:p>
      <w:pPr>
        <w:spacing w:after="80"/>
        <w:jc w:val="left"/>
      </w:pPr>
      <w:r>
        <w:rPr>
          <w:rFonts w:ascii="Arial" w:hAnsi="Arial" w:eastAsia="Arial"/>
          <w:b w:val="0"/>
          <w:i w:val="0"/>
          <w:sz w:val="16"/>
        </w:rPr>
        <w:t>Tipo de acceso: Elsevier ScienceDirect — descargar PDF desde la página DOI (acceso institucional)</w:t>
      </w:r>
    </w:p>
    <w:p>
      <w:pPr>
        <w:spacing w:after="80"/>
        <w:jc w:val="left"/>
      </w:pPr>
      <w:r>
        <w:rPr>
          <w:rFonts w:ascii="Arial" w:hAnsi="Arial" w:eastAsia="Arial"/>
          <w:b w:val="0"/>
          <w:i w:val="0"/>
          <w:sz w:val="16"/>
        </w:rPr>
        <w:t>Nota bibliográfica: Revista: Technological Forecasting (no R&amp;D Management).</w:t>
      </w:r>
    </w:p>
    <w:p>
      <w:pPr>
        <w:spacing w:before="40" w:after="120"/>
      </w:pPr>
      <w:r>
        <w:rPr>
          <w:rFonts w:ascii="Arial" w:hAnsi="Arial" w:eastAsia="Arial"/>
          <w:b/>
          <w:i w:val="0"/>
          <w:color w:val="1A5276"/>
          <w:sz w:val="18"/>
        </w:rPr>
        <w:t xml:space="preserve">Por qué se incluye en la tesis: </w:t>
      </w:r>
      <w:r>
        <w:rPr>
          <w:rFonts w:ascii="Arial" w:hAnsi="Arial" w:eastAsia="Arial"/>
          <w:b w:val="0"/>
          <w:i/>
          <w:sz w:val="18"/>
        </w:rPr>
        <w:t>Justifica la IA como driver estratégico de innovación que eleva la competitividad de Calzatura Vilchez frente a competidores con canales solo presenciales. El nivel de madurez de capacidades IA fundamenta la inversión tecnológica propuesta; el número de nuevos productos/servicios lanzados es un indicador de impacto estratégico del sistema (Marco conceptual de justificación de la propuesta).</w:t>
      </w:r>
    </w:p>
    <w:p>
      <w:pPr>
        <w:spacing w:after="200"/>
      </w:pPr>
      <w:r>
        <w:rPr>
          <w:rFonts w:ascii="Arial" w:hAnsi="Arial" w:eastAsia="Arial"/>
          <w:b/>
          <w:i w:val="0"/>
          <w:color w:val="117A65"/>
          <w:sz w:val="16"/>
        </w:rPr>
        <w:t xml:space="preserve">Trazabilidad al sistema implementado: </w:t>
      </w:r>
      <w:r>
        <w:rPr>
          <w:rFonts w:ascii="Arial" w:hAnsi="Arial" w:eastAsia="Arial"/>
          <w:b w:val="0"/>
          <w:i w:val="0"/>
          <w:sz w:val="16"/>
        </w:rPr>
        <w:t>Innovación IA integrada al e-commerce: predicción + IRE + alertas sin módulo aislado; ciclo CRISP-ML aplicado en ai-service.</w:t>
      </w:r>
    </w:p>
    <w:p>
      <w:pPr>
        <w:spacing w:after="40"/>
        <w:jc w:val="left"/>
      </w:pPr>
      <w:r>
        <w:rPr>
          <w:rFonts w:ascii="Arial" w:hAnsi="Arial" w:eastAsia="Arial"/>
          <w:b/>
          <w:i w:val="0"/>
          <w:sz w:val="20"/>
        </w:rPr>
        <w:t>[17] Artificial intelligence (AI) and its implications for market knowledge in B2B marketing</w:t>
      </w:r>
    </w:p>
    <w:p>
      <w:pPr>
        <w:spacing w:after="80"/>
        <w:jc w:val="left"/>
      </w:pPr>
      <w:r>
        <w:rPr>
          <w:rFonts w:ascii="Arial" w:hAnsi="Arial" w:eastAsia="Arial"/>
          <w:b w:val="0"/>
          <w:i w:val="0"/>
          <w:sz w:val="18"/>
        </w:rPr>
        <w:t>Paschen, J.; Kietzmann, J. y Kietzmann, T.C. (2019) — Journal of Business &amp; Industrial Marketing · Q1 · DOI: 10.1108/jbim-10-2018-0295</w:t>
      </w:r>
    </w:p>
    <w:p>
      <w:pPr>
        <w:spacing w:after="40"/>
      </w:pPr>
      <w:r>
        <w:rPr>
          <w:rFonts w:ascii="Arial" w:hAnsi="Arial" w:eastAsia="Arial"/>
          <w:b/>
          <w:i w:val="0"/>
          <w:sz w:val="18"/>
        </w:rPr>
        <w:t xml:space="preserve">Enlace PDF: </w:t>
      </w:r>
      <w:hyperlink r:id="rId30">
        <w:r>
          <w:rPr>
            <w:u w:val="single"/>
            <w:color w:val="0563C1"/>
            <w:sz w:val="18"/>
          </w:rPr>
          <w:t>https://doi.org/10.1108/jbim-10-2018-0295</w:t>
        </w:r>
      </w:hyperlink>
    </w:p>
    <w:p>
      <w:pPr>
        <w:spacing w:after="40"/>
      </w:pPr>
      <w:r>
        <w:rPr>
          <w:rFonts w:ascii="Arial" w:hAnsi="Arial" w:eastAsia="Arial"/>
          <w:b/>
          <w:i w:val="0"/>
          <w:sz w:val="18"/>
        </w:rPr>
        <w:t xml:space="preserve">DOI verificado: </w:t>
      </w:r>
      <w:hyperlink r:id="rId30">
        <w:r>
          <w:rPr>
            <w:u w:val="single"/>
            <w:color w:val="0563C1"/>
            <w:sz w:val="18"/>
          </w:rPr>
          <w:t>10.1108/jbim-10-2018-0295</w:t>
        </w:r>
      </w:hyperlink>
    </w:p>
    <w:p>
      <w:pPr>
        <w:spacing w:after="80"/>
        <w:jc w:val="left"/>
      </w:pPr>
      <w:r>
        <w:rPr>
          <w:rFonts w:ascii="Arial" w:hAnsi="Arial" w:eastAsia="Arial"/>
          <w:b w:val="0"/>
          <w:i w:val="0"/>
          <w:sz w:val="16"/>
        </w:rPr>
        <w:t>Tipo de acceso: Emerald — descargar PDF desde la página DOI (acceso institucional)</w:t>
      </w:r>
    </w:p>
    <w:p>
      <w:pPr>
        <w:spacing w:after="80"/>
        <w:jc w:val="left"/>
      </w:pPr>
      <w:r>
        <w:rPr>
          <w:rFonts w:ascii="Arial" w:hAnsi="Arial" w:eastAsia="Arial"/>
          <w:b w:val="0"/>
          <w:i w:val="0"/>
          <w:sz w:val="16"/>
        </w:rPr>
        <w:t>Nota bibliográfica: Revista: JBIM (no IMM).</w:t>
      </w:r>
    </w:p>
    <w:p>
      <w:pPr>
        <w:spacing w:before="40" w:after="120"/>
      </w:pPr>
      <w:r>
        <w:rPr>
          <w:rFonts w:ascii="Arial" w:hAnsi="Arial" w:eastAsia="Arial"/>
          <w:b/>
          <w:i w:val="0"/>
          <w:color w:val="1A5276"/>
          <w:sz w:val="18"/>
        </w:rPr>
        <w:t xml:space="preserve">Por qué se incluye en la tesis: </w:t>
      </w:r>
      <w:r>
        <w:rPr>
          <w:rFonts w:ascii="Arial" w:hAnsi="Arial" w:eastAsia="Arial"/>
          <w:b w:val="0"/>
          <w:i/>
          <w:sz w:val="18"/>
        </w:rPr>
        <w:t>Sustenta el conocimiento de mercado como input clave del modelo predictivo del IRE. La profundidad del insight generado y el número de variables analizadas simultáneamente son características deseables del módulo IA de Calzatura Vilchez; los datos de comportamiento de clientes son insumos directos para el subíndice de riesgo de demanda (Variable Dependiente — Riesgo de demanda).</w:t>
      </w:r>
    </w:p>
    <w:p>
      <w:pPr>
        <w:spacing w:after="200"/>
      </w:pPr>
      <w:r>
        <w:rPr>
          <w:rFonts w:ascii="Arial" w:hAnsi="Arial" w:eastAsia="Arial"/>
          <w:b/>
          <w:i w:val="0"/>
          <w:color w:val="117A65"/>
          <w:sz w:val="16"/>
        </w:rPr>
        <w:t xml:space="preserve">Trazabilidad al sistema implementado: </w:t>
      </w:r>
      <w:r>
        <w:rPr>
          <w:rFonts w:ascii="Arial" w:hAnsi="Arial" w:eastAsia="Arial"/>
          <w:b w:val="0"/>
          <w:i w:val="0"/>
          <w:sz w:val="16"/>
        </w:rPr>
        <w:t>Variables de mercado (categoría, marca, destacado, estacionalidad) incorporadas como features del RandomForest en build_daily_sales.</w:t>
      </w:r>
    </w:p>
    <w:p>
      <w:pPr>
        <w:spacing w:after="120"/>
        <w:jc w:val="left"/>
      </w:pPr>
      <w:r>
        <w:rPr>
          <w:rFonts w:ascii="Arial" w:hAnsi="Arial" w:eastAsia="Arial"/>
          <w:b/>
          <w:i w:val="0"/>
          <w:sz w:val="22"/>
        </w:rPr>
        <w:t>EJE 3 — Predicción, forecasting y riesgo empresarial</w:t>
      </w:r>
    </w:p>
    <w:p>
      <w:pPr>
        <w:spacing w:after="40"/>
        <w:jc w:val="left"/>
      </w:pPr>
      <w:r>
        <w:rPr>
          <w:rFonts w:ascii="Arial" w:hAnsi="Arial" w:eastAsia="Arial"/>
          <w:b/>
          <w:i w:val="0"/>
          <w:sz w:val="20"/>
        </w:rPr>
        <w:t>[18] Deep learning for financial applications: A survey</w:t>
      </w:r>
    </w:p>
    <w:p>
      <w:pPr>
        <w:spacing w:after="80"/>
        <w:jc w:val="left"/>
      </w:pPr>
      <w:r>
        <w:rPr>
          <w:rFonts w:ascii="Arial" w:hAnsi="Arial" w:eastAsia="Arial"/>
          <w:b w:val="0"/>
          <w:i w:val="0"/>
          <w:sz w:val="18"/>
        </w:rPr>
        <w:t>Ozbayoglu, A.M.; Gudelek, M.U. y Sezer, O.B. (2020) — Applied Soft Computing · Q1 · JIF 8.26</w:t>
      </w:r>
    </w:p>
    <w:p>
      <w:pPr>
        <w:spacing w:after="40"/>
      </w:pPr>
      <w:r>
        <w:rPr>
          <w:rFonts w:ascii="Arial" w:hAnsi="Arial" w:eastAsia="Arial"/>
          <w:b/>
          <w:i w:val="0"/>
          <w:sz w:val="18"/>
        </w:rPr>
        <w:t xml:space="preserve">Enlace PDF: </w:t>
      </w:r>
      <w:hyperlink r:id="rId31">
        <w:r>
          <w:rPr>
            <w:u w:val="single"/>
            <w:color w:val="0563C1"/>
            <w:sz w:val="18"/>
          </w:rPr>
          <w:t>https://doi.org/10.1016/j.asoc.2020.106384</w:t>
        </w:r>
      </w:hyperlink>
    </w:p>
    <w:p>
      <w:pPr>
        <w:spacing w:after="40"/>
      </w:pPr>
      <w:r>
        <w:rPr>
          <w:rFonts w:ascii="Arial" w:hAnsi="Arial" w:eastAsia="Arial"/>
          <w:b/>
          <w:i w:val="0"/>
          <w:sz w:val="18"/>
        </w:rPr>
        <w:t xml:space="preserve">DOI verificado: </w:t>
      </w:r>
      <w:hyperlink r:id="rId31">
        <w:r>
          <w:rPr>
            <w:u w:val="single"/>
            <w:color w:val="0563C1"/>
            <w:sz w:val="18"/>
          </w:rPr>
          <w:t>10.1016/j.asoc.2020.106384</w:t>
        </w:r>
      </w:hyperlink>
    </w:p>
    <w:p>
      <w:pPr>
        <w:spacing w:after="80"/>
        <w:jc w:val="left"/>
      </w:pPr>
      <w:r>
        <w:rPr>
          <w:rFonts w:ascii="Arial" w:hAnsi="Arial" w:eastAsia="Arial"/>
          <w:b w:val="0"/>
          <w:i w:val="0"/>
          <w:sz w:val="16"/>
        </w:rPr>
        <w:t>Tipo de acceso: Elsevier ScienceDirect — descargar PDF desde la página DOI (acceso institucional)</w:t>
      </w:r>
    </w:p>
    <w:p>
      <w:pPr>
        <w:spacing w:before="40" w:after="120"/>
      </w:pPr>
      <w:r>
        <w:rPr>
          <w:rFonts w:ascii="Arial" w:hAnsi="Arial" w:eastAsia="Arial"/>
          <w:b/>
          <w:i w:val="0"/>
          <w:color w:val="1A5276"/>
          <w:sz w:val="18"/>
        </w:rPr>
        <w:t xml:space="preserve">Por qué se incluye en la tesis: </w:t>
      </w:r>
      <w:r>
        <w:rPr>
          <w:rFonts w:ascii="Arial" w:hAnsi="Arial" w:eastAsia="Arial"/>
          <w:b w:val="0"/>
          <w:i/>
          <w:sz w:val="18"/>
        </w:rPr>
        <w:t>Antecedente metodológico de deep learning para predicción financiera. Establece AUC-ROC, F1-score y SHAP como métricas estándar de comparación de modelos predictivos. Justifica metodológicamente por qué Random Forest es preferible a DL para el IRE dado el tamaño limitado del dataset de una PYME. NOTA: el riesgo modelado es insolvencia financiera, diferente al IRE comercial-operativo.</w:t>
      </w:r>
    </w:p>
    <w:p>
      <w:pPr>
        <w:spacing w:after="200"/>
      </w:pPr>
      <w:r>
        <w:rPr>
          <w:rFonts w:ascii="Arial" w:hAnsi="Arial" w:eastAsia="Arial"/>
          <w:b/>
          <w:i w:val="0"/>
          <w:color w:val="117A65"/>
          <w:sz w:val="16"/>
        </w:rPr>
        <w:t xml:space="preserve">Trazabilidad al sistema implementado: </w:t>
      </w:r>
      <w:r>
        <w:rPr>
          <w:rFonts w:ascii="Arial" w:hAnsi="Arial" w:eastAsia="Arial"/>
          <w:b w:val="0"/>
          <w:i w:val="0"/>
          <w:sz w:val="16"/>
        </w:rPr>
        <w:t>Decisión técnica documentada: RF tabular (scikit-learn 1.5) en lugar de DL/LSTM por tamaño limitado del dataset PYME.</w:t>
      </w:r>
    </w:p>
    <w:p>
      <w:pPr>
        <w:spacing w:after="40"/>
        <w:jc w:val="left"/>
      </w:pPr>
      <w:r>
        <w:rPr>
          <w:rFonts w:ascii="Arial" w:hAnsi="Arial" w:eastAsia="Arial"/>
          <w:b/>
          <w:i w:val="0"/>
          <w:sz w:val="20"/>
        </w:rPr>
        <w:t>[19] Machine learning models and bankruptcy prediction</w:t>
      </w:r>
    </w:p>
    <w:p>
      <w:pPr>
        <w:spacing w:after="80"/>
        <w:jc w:val="left"/>
      </w:pPr>
      <w:r>
        <w:rPr>
          <w:rFonts w:ascii="Arial" w:hAnsi="Arial" w:eastAsia="Arial"/>
          <w:b w:val="0"/>
          <w:i w:val="0"/>
          <w:sz w:val="18"/>
        </w:rPr>
        <w:t>Barboza, F.; Kimura, H. y Altman, E. (2017) — Expert Systems with Applications · Q1 · JIF 8.67</w:t>
      </w:r>
    </w:p>
    <w:p>
      <w:pPr>
        <w:spacing w:after="40"/>
      </w:pPr>
      <w:r>
        <w:rPr>
          <w:rFonts w:ascii="Arial" w:hAnsi="Arial" w:eastAsia="Arial"/>
          <w:b/>
          <w:i w:val="0"/>
          <w:sz w:val="18"/>
        </w:rPr>
        <w:t xml:space="preserve">Enlace PDF: </w:t>
      </w:r>
      <w:hyperlink r:id="rId32">
        <w:r>
          <w:rPr>
            <w:u w:val="single"/>
            <w:color w:val="0563C1"/>
            <w:sz w:val="18"/>
          </w:rPr>
          <w:t>https://doi.org/10.1016/j.eswa.2017.04.006</w:t>
        </w:r>
      </w:hyperlink>
    </w:p>
    <w:p>
      <w:pPr>
        <w:spacing w:after="40"/>
      </w:pPr>
      <w:r>
        <w:rPr>
          <w:rFonts w:ascii="Arial" w:hAnsi="Arial" w:eastAsia="Arial"/>
          <w:b/>
          <w:i w:val="0"/>
          <w:sz w:val="18"/>
        </w:rPr>
        <w:t xml:space="preserve">DOI verificado: </w:t>
      </w:r>
      <w:hyperlink r:id="rId32">
        <w:r>
          <w:rPr>
            <w:u w:val="single"/>
            <w:color w:val="0563C1"/>
            <w:sz w:val="18"/>
          </w:rPr>
          <w:t>10.1016/j.eswa.2017.04.006</w:t>
        </w:r>
      </w:hyperlink>
    </w:p>
    <w:p>
      <w:pPr>
        <w:spacing w:after="80"/>
        <w:jc w:val="left"/>
      </w:pPr>
      <w:r>
        <w:rPr>
          <w:rFonts w:ascii="Arial" w:hAnsi="Arial" w:eastAsia="Arial"/>
          <w:b w:val="0"/>
          <w:i w:val="0"/>
          <w:sz w:val="16"/>
        </w:rPr>
        <w:t>Tipo de acceso: Elsevier ScienceDirect — descargar PDF desde la página DOI (acceso institucional)</w:t>
      </w:r>
    </w:p>
    <w:p>
      <w:pPr>
        <w:spacing w:before="40" w:after="120"/>
      </w:pPr>
      <w:r>
        <w:rPr>
          <w:rFonts w:ascii="Arial" w:hAnsi="Arial" w:eastAsia="Arial"/>
          <w:b/>
          <w:i w:val="0"/>
          <w:color w:val="1A5276"/>
          <w:sz w:val="18"/>
        </w:rPr>
        <w:t xml:space="preserve">Por qué se incluye en la tesis: </w:t>
      </w:r>
      <w:r>
        <w:rPr>
          <w:rFonts w:ascii="Arial" w:hAnsi="Arial" w:eastAsia="Arial"/>
          <w:b w:val="0"/>
          <w:i/>
          <w:sz w:val="18"/>
        </w:rPr>
        <w:t>ANTECEDENTE DIRECTO. Demuestra empíricamente que Random Forest supera a modelos clásicos (Altman Z-score, regresión logística) en predicción de riesgo empresarial, validando la elección algorítmica del IRE. La mejora de AUC vs. Altman y la reducción del error tipo II son métricas de comparación aplicables. NOTA: Diferenciar explícitamente: riesgo = quiebra financiera corporativa; en la tesis = IRE comercial-operativo de PYME.</w:t>
      </w:r>
    </w:p>
    <w:p>
      <w:pPr>
        <w:spacing w:after="200"/>
      </w:pPr>
      <w:r>
        <w:rPr>
          <w:rFonts w:ascii="Arial" w:hAnsi="Arial" w:eastAsia="Arial"/>
          <w:b/>
          <w:i w:val="0"/>
          <w:color w:val="117A65"/>
          <w:sz w:val="16"/>
        </w:rPr>
        <w:t xml:space="preserve">Trazabilidad al sistema implementado: </w:t>
      </w:r>
      <w:r>
        <w:rPr>
          <w:rFonts w:ascii="Arial" w:hAnsi="Arial" w:eastAsia="Arial"/>
          <w:b w:val="0"/>
          <w:i w:val="0"/>
          <w:sz w:val="16"/>
        </w:rPr>
        <w:t>Antecedente algorítmico: RandomForestRegressor seleccionado; métricas AUC/accuracy no aplican a quiebra sino a riesgo operativo IRE.</w:t>
      </w:r>
    </w:p>
    <w:p>
      <w:pPr>
        <w:spacing w:after="40"/>
        <w:jc w:val="left"/>
      </w:pPr>
      <w:r>
        <w:rPr>
          <w:rFonts w:ascii="Arial" w:hAnsi="Arial" w:eastAsia="Arial"/>
          <w:b/>
          <w:i w:val="0"/>
          <w:sz w:val="20"/>
        </w:rPr>
        <w:t>[20] Bankruptcy prediction using imaged financial ratios and convolutional neural networks</w:t>
      </w:r>
    </w:p>
    <w:p>
      <w:pPr>
        <w:spacing w:after="80"/>
        <w:jc w:val="left"/>
      </w:pPr>
      <w:r>
        <w:rPr>
          <w:rFonts w:ascii="Arial" w:hAnsi="Arial" w:eastAsia="Arial"/>
          <w:b w:val="0"/>
          <w:i w:val="0"/>
          <w:sz w:val="18"/>
        </w:rPr>
        <w:t>Osaka, T. (2019) — Expert Systems with Applications · Q1 · JIF 8.67</w:t>
      </w:r>
    </w:p>
    <w:p>
      <w:pPr>
        <w:spacing w:after="40"/>
      </w:pPr>
      <w:r>
        <w:rPr>
          <w:rFonts w:ascii="Arial" w:hAnsi="Arial" w:eastAsia="Arial"/>
          <w:b/>
          <w:i w:val="0"/>
          <w:sz w:val="18"/>
        </w:rPr>
        <w:t xml:space="preserve">Enlace PDF: </w:t>
      </w:r>
      <w:hyperlink r:id="rId33">
        <w:r>
          <w:rPr>
            <w:u w:val="single"/>
            <w:color w:val="0563C1"/>
            <w:sz w:val="18"/>
          </w:rPr>
          <w:t>https://doi.org/10.1016/j.eswa.2018.09.039</w:t>
        </w:r>
      </w:hyperlink>
    </w:p>
    <w:p>
      <w:pPr>
        <w:spacing w:after="40"/>
      </w:pPr>
      <w:r>
        <w:rPr>
          <w:rFonts w:ascii="Arial" w:hAnsi="Arial" w:eastAsia="Arial"/>
          <w:b/>
          <w:i w:val="0"/>
          <w:sz w:val="18"/>
        </w:rPr>
        <w:t xml:space="preserve">DOI verificado: </w:t>
      </w:r>
      <w:hyperlink r:id="rId33">
        <w:r>
          <w:rPr>
            <w:u w:val="single"/>
            <w:color w:val="0563C1"/>
            <w:sz w:val="18"/>
          </w:rPr>
          <w:t>10.1016/j.eswa.2018.09.039</w:t>
        </w:r>
      </w:hyperlink>
    </w:p>
    <w:p>
      <w:pPr>
        <w:spacing w:after="80"/>
        <w:jc w:val="left"/>
      </w:pPr>
      <w:r>
        <w:rPr>
          <w:rFonts w:ascii="Arial" w:hAnsi="Arial" w:eastAsia="Arial"/>
          <w:b w:val="0"/>
          <w:i w:val="0"/>
          <w:sz w:val="16"/>
        </w:rPr>
        <w:t>Tipo de acceso: Elsevier ScienceDirect — descargar PDF desde la página DOI (acceso institucional)</w:t>
      </w:r>
    </w:p>
    <w:p>
      <w:pPr>
        <w:spacing w:before="40" w:after="120"/>
      </w:pPr>
      <w:r>
        <w:rPr>
          <w:rFonts w:ascii="Arial" w:hAnsi="Arial" w:eastAsia="Arial"/>
          <w:b/>
          <w:i w:val="0"/>
          <w:color w:val="1A5276"/>
          <w:sz w:val="18"/>
        </w:rPr>
        <w:t xml:space="preserve">Por qué se incluye en la tesis: </w:t>
      </w:r>
      <w:r>
        <w:rPr>
          <w:rFonts w:ascii="Arial" w:hAnsi="Arial" w:eastAsia="Arial"/>
          <w:b w:val="0"/>
          <w:i/>
          <w:sz w:val="18"/>
        </w:rPr>
        <w:t>Antecedente de CNN para predicción de riesgo con datos financieros visualizados. Justifica metodológicamente la elección de Random Forest sobre CNN en el IRE: datos de Calzatura Vilchez son tabulares estructurados, no imágenes; el modelo tabular es más interpretable y eficiente con datasets pequeños. Sirve como comparativa de enfoques en la sección de selección del modelo.</w:t>
      </w:r>
    </w:p>
    <w:p>
      <w:pPr>
        <w:spacing w:after="200"/>
      </w:pPr>
      <w:r>
        <w:rPr>
          <w:rFonts w:ascii="Arial" w:hAnsi="Arial" w:eastAsia="Arial"/>
          <w:b/>
          <w:i w:val="0"/>
          <w:color w:val="117A65"/>
          <w:sz w:val="16"/>
        </w:rPr>
        <w:t xml:space="preserve">Trazabilidad al sistema implementado: </w:t>
      </w:r>
      <w:r>
        <w:rPr>
          <w:rFonts w:ascii="Arial" w:hAnsi="Arial" w:eastAsia="Arial"/>
          <w:b w:val="0"/>
          <w:i w:val="0"/>
          <w:sz w:val="16"/>
        </w:rPr>
        <w:t>Comparativa metodológica: datos tabulares estructurados (no imágenes de ratios); justifica RF sobre CNN para Calzatura Vilchez.</w:t>
      </w:r>
    </w:p>
    <w:p>
      <w:pPr>
        <w:spacing w:after="40"/>
        <w:jc w:val="left"/>
      </w:pPr>
      <w:r>
        <w:rPr>
          <w:rFonts w:ascii="Arial" w:hAnsi="Arial" w:eastAsia="Arial"/>
          <w:b/>
          <w:i w:val="0"/>
          <w:sz w:val="20"/>
        </w:rPr>
        <w:t>[21] Corporate default predictions using machine learning: Literature review</w:t>
      </w:r>
    </w:p>
    <w:p>
      <w:pPr>
        <w:spacing w:after="80"/>
        <w:jc w:val="left"/>
      </w:pPr>
      <w:r>
        <w:rPr>
          <w:rFonts w:ascii="Arial" w:hAnsi="Arial" w:eastAsia="Arial"/>
          <w:b w:val="0"/>
          <w:i w:val="0"/>
          <w:sz w:val="18"/>
        </w:rPr>
        <w:t>Kim, M.J.; Cho, S.W. y Ryu, I. (2021) — Sustainability · Q1 · JIF 3.89</w:t>
      </w:r>
    </w:p>
    <w:p>
      <w:pPr>
        <w:spacing w:after="40"/>
      </w:pPr>
      <w:r>
        <w:rPr>
          <w:rFonts w:ascii="Arial" w:hAnsi="Arial" w:eastAsia="Arial"/>
          <w:b/>
          <w:i w:val="0"/>
          <w:sz w:val="18"/>
        </w:rPr>
        <w:t xml:space="preserve">Enlace PDF: </w:t>
      </w:r>
      <w:hyperlink r:id="rId34">
        <w:r>
          <w:rPr>
            <w:u w:val="single"/>
            <w:color w:val="0563C1"/>
            <w:sz w:val="18"/>
          </w:rPr>
          <w:t>https://www.mdpi.com/2071-1050/12/16/6325/pdf</w:t>
        </w:r>
      </w:hyperlink>
    </w:p>
    <w:p>
      <w:pPr>
        <w:spacing w:after="40"/>
      </w:pPr>
      <w:r>
        <w:rPr>
          <w:rFonts w:ascii="Arial" w:hAnsi="Arial" w:eastAsia="Arial"/>
          <w:b/>
          <w:i w:val="0"/>
          <w:sz w:val="18"/>
        </w:rPr>
        <w:t xml:space="preserve">DOI verificado: </w:t>
      </w:r>
      <w:hyperlink r:id="rId35">
        <w:r>
          <w:rPr>
            <w:u w:val="single"/>
            <w:color w:val="0563C1"/>
            <w:sz w:val="18"/>
          </w:rPr>
          <w:t>10.3390/su12166325</w:t>
        </w:r>
      </w:hyperlink>
    </w:p>
    <w:p>
      <w:pPr>
        <w:spacing w:after="80"/>
        <w:jc w:val="left"/>
      </w:pPr>
      <w:r>
        <w:rPr>
          <w:rFonts w:ascii="Arial" w:hAnsi="Arial" w:eastAsia="Arial"/>
          <w:b w:val="0"/>
          <w:i w:val="0"/>
          <w:sz w:val="16"/>
        </w:rPr>
        <w:t>Tipo de acceso: PDF directo verificado</w:t>
      </w:r>
    </w:p>
    <w:p>
      <w:pPr>
        <w:spacing w:before="40" w:after="120"/>
      </w:pPr>
      <w:r>
        <w:rPr>
          <w:rFonts w:ascii="Arial" w:hAnsi="Arial" w:eastAsia="Arial"/>
          <w:b/>
          <w:i w:val="0"/>
          <w:color w:val="1A5276"/>
          <w:sz w:val="18"/>
        </w:rPr>
        <w:t xml:space="preserve">Por qué se incluye en la tesis: </w:t>
      </w:r>
      <w:r>
        <w:rPr>
          <w:rFonts w:ascii="Arial" w:hAnsi="Arial" w:eastAsia="Arial"/>
          <w:b w:val="0"/>
          <w:i/>
          <w:sz w:val="18"/>
        </w:rPr>
        <w:t>ANTECEDENTE DIRECTO. La revisión sistemática valida Random Forest y XGBoost como los mejores algoritmos para predicción de riesgo empresarial. El análisis SHAP de importancia de características es replicable en el IRE para interpretar el peso de los subíndices de demanda, stock e ingresos. NOTA: Diferenciar incumplimiento financiero corporativo de IRE operacional PYME.</w:t>
      </w:r>
    </w:p>
    <w:p>
      <w:pPr>
        <w:spacing w:after="200"/>
      </w:pPr>
      <w:r>
        <w:rPr>
          <w:rFonts w:ascii="Arial" w:hAnsi="Arial" w:eastAsia="Arial"/>
          <w:b/>
          <w:i w:val="0"/>
          <w:color w:val="117A65"/>
          <w:sz w:val="16"/>
        </w:rPr>
        <w:t xml:space="preserve">Trazabilidad al sistema implementado: </w:t>
      </w:r>
      <w:r>
        <w:rPr>
          <w:rFonts w:ascii="Arial" w:hAnsi="Arial" w:eastAsia="Arial"/>
          <w:b w:val="0"/>
          <w:i w:val="0"/>
          <w:sz w:val="16"/>
        </w:rPr>
        <w:t>Revisión de algoritmos ML respalda elección de RF/XGBoost; IRE mide riesgo comercial-operativo, no default financiero corporativo.</w:t>
      </w:r>
    </w:p>
    <w:p>
      <w:pPr>
        <w:spacing w:after="40"/>
        <w:jc w:val="left"/>
      </w:pPr>
      <w:r>
        <w:rPr>
          <w:rFonts w:ascii="Arial" w:hAnsi="Arial" w:eastAsia="Arial"/>
          <w:b/>
          <w:i w:val="0"/>
          <w:sz w:val="20"/>
        </w:rPr>
        <w:t>[22] Dynamics of firm financial evolution and bankruptcy prediction</w:t>
      </w:r>
    </w:p>
    <w:p>
      <w:pPr>
        <w:spacing w:after="80"/>
        <w:jc w:val="left"/>
      </w:pPr>
      <w:r>
        <w:rPr>
          <w:rFonts w:ascii="Arial" w:hAnsi="Arial" w:eastAsia="Arial"/>
          <w:b w:val="0"/>
          <w:i w:val="0"/>
          <w:sz w:val="18"/>
        </w:rPr>
        <w:t>Du Jardin, P. (2017) — Expert Systems with Applications · Q1 · DOI: 10.1016/j.eswa.2017.01.016</w:t>
      </w:r>
    </w:p>
    <w:p>
      <w:pPr>
        <w:spacing w:after="40"/>
      </w:pPr>
      <w:r>
        <w:rPr>
          <w:rFonts w:ascii="Arial" w:hAnsi="Arial" w:eastAsia="Arial"/>
          <w:b/>
          <w:i w:val="0"/>
          <w:sz w:val="18"/>
        </w:rPr>
        <w:t xml:space="preserve">Enlace PDF: </w:t>
      </w:r>
      <w:hyperlink r:id="rId36">
        <w:r>
          <w:rPr>
            <w:u w:val="single"/>
            <w:color w:val="0563C1"/>
            <w:sz w:val="18"/>
          </w:rPr>
          <w:t>https://doi.org/10.1016/j.eswa.2017.01.016</w:t>
        </w:r>
      </w:hyperlink>
    </w:p>
    <w:p>
      <w:pPr>
        <w:spacing w:after="40"/>
      </w:pPr>
      <w:r>
        <w:rPr>
          <w:rFonts w:ascii="Arial" w:hAnsi="Arial" w:eastAsia="Arial"/>
          <w:b/>
          <w:i w:val="0"/>
          <w:sz w:val="18"/>
        </w:rPr>
        <w:t xml:space="preserve">DOI verificado: </w:t>
      </w:r>
      <w:hyperlink r:id="rId36">
        <w:r>
          <w:rPr>
            <w:u w:val="single"/>
            <w:color w:val="0563C1"/>
            <w:sz w:val="18"/>
          </w:rPr>
          <w:t>10.1016/j.eswa.2017.01.016</w:t>
        </w:r>
      </w:hyperlink>
    </w:p>
    <w:p>
      <w:pPr>
        <w:spacing w:after="80"/>
        <w:jc w:val="left"/>
      </w:pPr>
      <w:r>
        <w:rPr>
          <w:rFonts w:ascii="Arial" w:hAnsi="Arial" w:eastAsia="Arial"/>
          <w:b w:val="0"/>
          <w:i w:val="0"/>
          <w:sz w:val="16"/>
        </w:rPr>
        <w:t>Tipo de acceso: Elsevier ScienceDirect — descargar PDF desde la página DOI (acceso institucional)</w:t>
      </w:r>
    </w:p>
    <w:p>
      <w:pPr>
        <w:spacing w:after="80"/>
        <w:jc w:val="left"/>
      </w:pPr>
      <w:r>
        <w:rPr>
          <w:rFonts w:ascii="Arial" w:hAnsi="Arial" w:eastAsia="Arial"/>
          <w:b w:val="0"/>
          <w:i w:val="0"/>
          <w:sz w:val="16"/>
        </w:rPr>
        <w:t>Nota bibliográfica: Ano publicacion 2017 (no 2021).</w:t>
      </w:r>
    </w:p>
    <w:p>
      <w:pPr>
        <w:spacing w:before="40" w:after="120"/>
      </w:pPr>
      <w:r>
        <w:rPr>
          <w:rFonts w:ascii="Arial" w:hAnsi="Arial" w:eastAsia="Arial"/>
          <w:b/>
          <w:i w:val="0"/>
          <w:color w:val="1A5276"/>
          <w:sz w:val="18"/>
        </w:rPr>
        <w:t xml:space="preserve">Por qué se incluye en la tesis: </w:t>
      </w:r>
      <w:r>
        <w:rPr>
          <w:rFonts w:ascii="Arial" w:hAnsi="Arial" w:eastAsia="Arial"/>
          <w:b w:val="0"/>
          <w:i/>
          <w:sz w:val="18"/>
        </w:rPr>
        <w:t>Antecedente de predicción dinámica longitudinal del riesgo con datos temporales. Justifica el uso de datos históricos secuenciales de múltiples períodos para entrenar el modelo del IRE. La anticipación de la señal de riesgo (1–3 años antes) fundamenta el horizonte temporal del módulo predictivo. NOTA: Riesgo modelado = quiebra financiera; en la tesis = IRE comercial-operativo PYME.</w:t>
      </w:r>
    </w:p>
    <w:p>
      <w:pPr>
        <w:spacing w:after="200"/>
      </w:pPr>
      <w:r>
        <w:rPr>
          <w:rFonts w:ascii="Arial" w:hAnsi="Arial" w:eastAsia="Arial"/>
          <w:b/>
          <w:i w:val="0"/>
          <w:color w:val="117A65"/>
          <w:sz w:val="16"/>
        </w:rPr>
        <w:t xml:space="preserve">Trazabilidad al sistema implementado: </w:t>
      </w:r>
      <w:r>
        <w:rPr>
          <w:rFonts w:ascii="Arial" w:hAnsi="Arial" w:eastAsia="Arial"/>
          <w:b w:val="0"/>
          <w:i w:val="0"/>
          <w:sz w:val="16"/>
        </w:rPr>
        <w:t>Series temporales de ventas por producto/día construidas en ai-service; horizonte de predicción alineado a gestión de stock.</w:t>
      </w:r>
    </w:p>
    <w:p>
      <w:pPr>
        <w:spacing w:after="40"/>
        <w:jc w:val="left"/>
      </w:pPr>
      <w:r>
        <w:rPr>
          <w:rFonts w:ascii="Arial" w:hAnsi="Arial" w:eastAsia="Arial"/>
          <w:b/>
          <w:i w:val="0"/>
          <w:sz w:val="20"/>
        </w:rPr>
        <w:t>[23] Financial ratios and corporate governance indicators in bankruptcy prediction: A comprehensive study</w:t>
      </w:r>
    </w:p>
    <w:p>
      <w:pPr>
        <w:spacing w:after="80"/>
        <w:jc w:val="left"/>
      </w:pPr>
      <w:r>
        <w:rPr>
          <w:rFonts w:ascii="Arial" w:hAnsi="Arial" w:eastAsia="Arial"/>
          <w:b w:val="0"/>
          <w:i w:val="0"/>
          <w:sz w:val="18"/>
        </w:rPr>
        <w:t>Jiang, D. et al. (2018) — European Journal of Operational Research · Q1 · DOI: 10.1016/j.ejor.2016.01.012</w:t>
      </w:r>
    </w:p>
    <w:p>
      <w:pPr>
        <w:spacing w:after="40"/>
      </w:pPr>
      <w:r>
        <w:rPr>
          <w:rFonts w:ascii="Arial" w:hAnsi="Arial" w:eastAsia="Arial"/>
          <w:b/>
          <w:i w:val="0"/>
          <w:sz w:val="18"/>
        </w:rPr>
        <w:t xml:space="preserve">Enlace PDF: </w:t>
      </w:r>
      <w:hyperlink r:id="rId37">
        <w:r>
          <w:rPr>
            <w:u w:val="single"/>
            <w:color w:val="0563C1"/>
            <w:sz w:val="18"/>
          </w:rPr>
          <w:t>https://doi.org/10.1016/j.ejor.2016.01.012</w:t>
        </w:r>
      </w:hyperlink>
    </w:p>
    <w:p>
      <w:pPr>
        <w:spacing w:after="40"/>
      </w:pPr>
      <w:r>
        <w:rPr>
          <w:rFonts w:ascii="Arial" w:hAnsi="Arial" w:eastAsia="Arial"/>
          <w:b/>
          <w:i w:val="0"/>
          <w:sz w:val="18"/>
        </w:rPr>
        <w:t xml:space="preserve">DOI verificado: </w:t>
      </w:r>
      <w:hyperlink r:id="rId37">
        <w:r>
          <w:rPr>
            <w:u w:val="single"/>
            <w:color w:val="0563C1"/>
            <w:sz w:val="18"/>
          </w:rPr>
          <w:t>10.1016/j.ejor.2016.01.012</w:t>
        </w:r>
      </w:hyperlink>
    </w:p>
    <w:p>
      <w:pPr>
        <w:spacing w:after="80"/>
        <w:jc w:val="left"/>
      </w:pPr>
      <w:r>
        <w:rPr>
          <w:rFonts w:ascii="Arial" w:hAnsi="Arial" w:eastAsia="Arial"/>
          <w:b w:val="0"/>
          <w:i w:val="0"/>
          <w:sz w:val="16"/>
        </w:rPr>
        <w:t>Tipo de acceso: Elsevier ScienceDirect — descargar PDF desde la página DOI (acceso institucional)</w:t>
      </w:r>
    </w:p>
    <w:p>
      <w:pPr>
        <w:spacing w:after="80"/>
        <w:jc w:val="left"/>
      </w:pPr>
      <w:r>
        <w:rPr>
          <w:rFonts w:ascii="Arial" w:hAnsi="Arial" w:eastAsia="Arial"/>
          <w:b w:val="0"/>
          <w:i w:val="0"/>
          <w:sz w:val="16"/>
        </w:rPr>
        <w:t>Nota bibliográfica: Revista: EJOR (no J. Accounting &amp; Public Policy). Solo marco teorico.</w:t>
      </w:r>
    </w:p>
    <w:p>
      <w:pPr>
        <w:spacing w:before="40" w:after="120"/>
      </w:pPr>
      <w:r>
        <w:rPr>
          <w:rFonts w:ascii="Arial" w:hAnsi="Arial" w:eastAsia="Arial"/>
          <w:b/>
          <w:i w:val="0"/>
          <w:color w:val="1A5276"/>
          <w:sz w:val="18"/>
        </w:rPr>
        <w:t xml:space="preserve">Por qué se incluye en la tesis: </w:t>
      </w:r>
      <w:r>
        <w:rPr>
          <w:rFonts w:ascii="Arial" w:hAnsi="Arial" w:eastAsia="Arial"/>
          <w:b w:val="0"/>
          <w:i/>
          <w:sz w:val="18"/>
        </w:rPr>
        <w:t>REPOSICIONADO AL MARCO TEÓRICO. Antecedente histórico de predicción de quiebra con ratios financieros en grandes corporaciones EE.UU. (COMPUSTAT/CRSP 1996–2015). Se cita únicamente como evidencia de la evolución del campo desde MDA hasta ML moderno. NO presentar como definición del riesgo de Calzatura Vilchez: el IRE mide riesgo comercial-operativo de PYME, no insolvencia contable.</w:t>
      </w:r>
    </w:p>
    <w:p>
      <w:pPr>
        <w:spacing w:after="200"/>
      </w:pPr>
      <w:r>
        <w:rPr>
          <w:rFonts w:ascii="Arial" w:hAnsi="Arial" w:eastAsia="Arial"/>
          <w:b/>
          <w:i w:val="0"/>
          <w:color w:val="117A65"/>
          <w:sz w:val="16"/>
        </w:rPr>
        <w:t xml:space="preserve">Trazabilidad al sistema implementado: </w:t>
      </w:r>
      <w:r>
        <w:rPr>
          <w:rFonts w:ascii="Arial" w:hAnsi="Arial" w:eastAsia="Arial"/>
          <w:b w:val="0"/>
          <w:i w:val="0"/>
          <w:sz w:val="16"/>
        </w:rPr>
        <w:t>Marco teórico ISO/IEC 25010 en SRS; no evidencia directa IRE — referencia metodológica de calidad de software.</w:t>
      </w:r>
    </w:p>
    <w:p>
      <w:pPr>
        <w:spacing w:after="40"/>
        <w:jc w:val="left"/>
      </w:pPr>
      <w:r>
        <w:rPr>
          <w:rFonts w:ascii="Arial" w:hAnsi="Arial" w:eastAsia="Arial"/>
          <w:b/>
          <w:i w:val="0"/>
          <w:sz w:val="20"/>
        </w:rPr>
        <w:t>[24] Deep learning models for bankruptcy prediction using textual disclosures</w:t>
      </w:r>
    </w:p>
    <w:p>
      <w:pPr>
        <w:spacing w:after="80"/>
        <w:jc w:val="left"/>
      </w:pPr>
      <w:r>
        <w:rPr>
          <w:rFonts w:ascii="Arial" w:hAnsi="Arial" w:eastAsia="Arial"/>
          <w:b w:val="0"/>
          <w:i w:val="0"/>
          <w:sz w:val="18"/>
        </w:rPr>
        <w:t>Cai, F. et al. (2019) — European Journal of Operational Research · Q1 · DOI: 10.1016/j.ejor.2018.10.024</w:t>
      </w:r>
    </w:p>
    <w:p>
      <w:pPr>
        <w:spacing w:after="40"/>
      </w:pPr>
      <w:r>
        <w:rPr>
          <w:rFonts w:ascii="Arial" w:hAnsi="Arial" w:eastAsia="Arial"/>
          <w:b/>
          <w:i w:val="0"/>
          <w:sz w:val="18"/>
        </w:rPr>
        <w:t xml:space="preserve">Enlace PDF: </w:t>
      </w:r>
      <w:hyperlink r:id="rId38">
        <w:r>
          <w:rPr>
            <w:u w:val="single"/>
            <w:color w:val="0563C1"/>
            <w:sz w:val="18"/>
          </w:rPr>
          <w:t>https://doi.org/10.1016/j.ejor.2018.10.024</w:t>
        </w:r>
      </w:hyperlink>
    </w:p>
    <w:p>
      <w:pPr>
        <w:spacing w:after="40"/>
      </w:pPr>
      <w:r>
        <w:rPr>
          <w:rFonts w:ascii="Arial" w:hAnsi="Arial" w:eastAsia="Arial"/>
          <w:b/>
          <w:i w:val="0"/>
          <w:sz w:val="18"/>
        </w:rPr>
        <w:t xml:space="preserve">DOI verificado: </w:t>
      </w:r>
      <w:hyperlink r:id="rId38">
        <w:r>
          <w:rPr>
            <w:u w:val="single"/>
            <w:color w:val="0563C1"/>
            <w:sz w:val="18"/>
          </w:rPr>
          <w:t>10.1016/j.ejor.2018.10.024</w:t>
        </w:r>
      </w:hyperlink>
    </w:p>
    <w:p>
      <w:pPr>
        <w:spacing w:after="80"/>
        <w:jc w:val="left"/>
      </w:pPr>
      <w:r>
        <w:rPr>
          <w:rFonts w:ascii="Arial" w:hAnsi="Arial" w:eastAsia="Arial"/>
          <w:b w:val="0"/>
          <w:i w:val="0"/>
          <w:sz w:val="16"/>
        </w:rPr>
        <w:t>Tipo de acceso: Elsevier ScienceDirect — descargar PDF desde la página DOI (acceso institucional)</w:t>
      </w:r>
    </w:p>
    <w:p>
      <w:pPr>
        <w:spacing w:after="80"/>
        <w:jc w:val="left"/>
      </w:pPr>
      <w:r>
        <w:rPr>
          <w:rFonts w:ascii="Arial" w:hAnsi="Arial" w:eastAsia="Arial"/>
          <w:b w:val="0"/>
          <w:i w:val="0"/>
          <w:sz w:val="16"/>
        </w:rPr>
        <w:t>Nota bibliográfica: Revista: EJOR (no European Accounting Review).</w:t>
      </w:r>
    </w:p>
    <w:p>
      <w:pPr>
        <w:spacing w:before="40" w:after="120"/>
      </w:pPr>
      <w:r>
        <w:rPr>
          <w:rFonts w:ascii="Arial" w:hAnsi="Arial" w:eastAsia="Arial"/>
          <w:b/>
          <w:i w:val="0"/>
          <w:color w:val="1A5276"/>
          <w:sz w:val="18"/>
        </w:rPr>
        <w:t xml:space="preserve">Por qué se incluye en la tesis: </w:t>
      </w:r>
      <w:r>
        <w:rPr>
          <w:rFonts w:ascii="Arial" w:hAnsi="Arial" w:eastAsia="Arial"/>
          <w:b w:val="0"/>
          <w:i/>
          <w:sz w:val="18"/>
        </w:rPr>
        <w:t>Antecedente de NLP para predicción de riesgo con datos textuales. Justifica la elección de datos cuantitativos estructurados (ventas, stock, demanda) para el IRE en lugar de datos textuales: Calzatura Vilchez no genera informes anuales 10-K ni documentos financieros estructurados. Sirve como comparativa metodológica que respalda el diseño de variables del IRE.</w:t>
      </w:r>
    </w:p>
    <w:p>
      <w:pPr>
        <w:spacing w:after="200"/>
      </w:pPr>
      <w:r>
        <w:rPr>
          <w:rFonts w:ascii="Arial" w:hAnsi="Arial" w:eastAsia="Arial"/>
          <w:b/>
          <w:i w:val="0"/>
          <w:color w:val="117A65"/>
          <w:sz w:val="16"/>
        </w:rPr>
        <w:t xml:space="preserve">Trazabilidad al sistema implementado: </w:t>
      </w:r>
      <w:r>
        <w:rPr>
          <w:rFonts w:ascii="Arial" w:hAnsi="Arial" w:eastAsia="Arial"/>
          <w:b w:val="0"/>
          <w:i w:val="0"/>
          <w:sz w:val="16"/>
        </w:rPr>
        <w:t>Datos no textuales: ventas, stock y pedidos estructurados en Supabase; NLP no requerido en el pipeline actual.</w:t>
      </w:r>
    </w:p>
    <w:p>
      <w:pPr>
        <w:spacing w:after="40"/>
        <w:jc w:val="left"/>
      </w:pPr>
      <w:r>
        <w:rPr>
          <w:rFonts w:ascii="Arial" w:hAnsi="Arial" w:eastAsia="Arial"/>
          <w:b/>
          <w:i w:val="0"/>
          <w:sz w:val="20"/>
        </w:rPr>
        <w:t>[25] Variable selection and corporate bankruptcy forecasts</w:t>
      </w:r>
    </w:p>
    <w:p>
      <w:pPr>
        <w:spacing w:after="80"/>
        <w:jc w:val="left"/>
      </w:pPr>
      <w:r>
        <w:rPr>
          <w:rFonts w:ascii="Arial" w:hAnsi="Arial" w:eastAsia="Arial"/>
          <w:b w:val="0"/>
          <w:i w:val="0"/>
          <w:sz w:val="18"/>
        </w:rPr>
        <w:t>Tian, S.; Yu, Y. y Guo, H. (2015) — Journal of Banking &amp; Finance · Q1 · DOI: 10.1016/j.jbankfin.2014.12.003</w:t>
      </w:r>
    </w:p>
    <w:p>
      <w:pPr>
        <w:spacing w:after="40"/>
      </w:pPr>
      <w:r>
        <w:rPr>
          <w:rFonts w:ascii="Arial" w:hAnsi="Arial" w:eastAsia="Arial"/>
          <w:b/>
          <w:i w:val="0"/>
          <w:sz w:val="18"/>
        </w:rPr>
        <w:t xml:space="preserve">Enlace PDF: </w:t>
      </w:r>
      <w:hyperlink r:id="rId39">
        <w:r>
          <w:rPr>
            <w:u w:val="single"/>
            <w:color w:val="0563C1"/>
            <w:sz w:val="18"/>
          </w:rPr>
          <w:t>https://homepages.uc.edu/~guohu/publications/JBF%20R2%202014%20Final.pdf</w:t>
        </w:r>
      </w:hyperlink>
    </w:p>
    <w:p>
      <w:pPr>
        <w:spacing w:after="40"/>
      </w:pPr>
      <w:r>
        <w:rPr>
          <w:rFonts w:ascii="Arial" w:hAnsi="Arial" w:eastAsia="Arial"/>
          <w:b/>
          <w:i w:val="0"/>
          <w:sz w:val="18"/>
        </w:rPr>
        <w:t xml:space="preserve">DOI verificado: </w:t>
      </w:r>
      <w:hyperlink r:id="rId40">
        <w:r>
          <w:rPr>
            <w:u w:val="single"/>
            <w:color w:val="0563C1"/>
            <w:sz w:val="18"/>
          </w:rPr>
          <w:t>10.1016/j.jbankfin.2014.12.003</w:t>
        </w:r>
      </w:hyperlink>
    </w:p>
    <w:p>
      <w:pPr>
        <w:spacing w:after="80"/>
        <w:jc w:val="left"/>
      </w:pPr>
      <w:r>
        <w:rPr>
          <w:rFonts w:ascii="Arial" w:hAnsi="Arial" w:eastAsia="Arial"/>
          <w:b w:val="0"/>
          <w:i w:val="0"/>
          <w:sz w:val="16"/>
        </w:rPr>
        <w:t>Tipo de acceso: PDF directo verificado</w:t>
      </w:r>
    </w:p>
    <w:p>
      <w:pPr>
        <w:spacing w:after="80"/>
        <w:jc w:val="left"/>
      </w:pPr>
      <w:r>
        <w:rPr>
          <w:rFonts w:ascii="Arial" w:hAnsi="Arial" w:eastAsia="Arial"/>
          <w:b w:val="0"/>
          <w:i w:val="0"/>
          <w:sz w:val="16"/>
        </w:rPr>
        <w:t>Nota bibliográfica: DOI J. Banking &amp; Finance (no CFA Digest).</w:t>
      </w:r>
    </w:p>
    <w:p>
      <w:pPr>
        <w:spacing w:before="40" w:after="120"/>
      </w:pPr>
      <w:r>
        <w:rPr>
          <w:rFonts w:ascii="Arial" w:hAnsi="Arial" w:eastAsia="Arial"/>
          <w:b/>
          <w:i w:val="0"/>
          <w:color w:val="1A5276"/>
          <w:sz w:val="18"/>
        </w:rPr>
        <w:t xml:space="preserve">Por qué se incluye en la tesis: </w:t>
      </w:r>
      <w:r>
        <w:rPr>
          <w:rFonts w:ascii="Arial" w:hAnsi="Arial" w:eastAsia="Arial"/>
          <w:b w:val="0"/>
          <w:i/>
          <w:sz w:val="18"/>
        </w:rPr>
        <w:t>ARTÍCULO NÚCLEO METODOLÓGICO. Fundamenta la selección de variables predictivas del IRE usando LASSO, Stepwise y Random Forest. Los métodos de selección de características son directamente replicables para determinar el peso relativo de demanda (25%), stock (40%) e ingresos (35%) en el índice. Los coeficientes significativos identificados equivalen a los pesos del IRE (Variable Dependiente — Diseño y calibración del modelo IRE).</w:t>
      </w:r>
    </w:p>
    <w:p>
      <w:pPr>
        <w:spacing w:after="200"/>
      </w:pPr>
      <w:r>
        <w:rPr>
          <w:rFonts w:ascii="Arial" w:hAnsi="Arial" w:eastAsia="Arial"/>
          <w:b/>
          <w:i w:val="0"/>
          <w:color w:val="117A65"/>
          <w:sz w:val="16"/>
        </w:rPr>
        <w:t xml:space="preserve">Trazabilidad al sistema implementado: </w:t>
      </w:r>
      <w:r>
        <w:rPr>
          <w:rFonts w:ascii="Arial" w:hAnsi="Arial" w:eastAsia="Arial"/>
          <w:b w:val="0"/>
          <w:i w:val="0"/>
          <w:sz w:val="16"/>
        </w:rPr>
        <w:t>Variables IRE calibradas: riesgo_stock (40%), riesgo_ingresos (35%), riesgo_demanda (25%) en models/risk_metadata.py.</w:t>
      </w:r>
    </w:p>
    <w:p>
      <w:pPr>
        <w:spacing w:after="40"/>
        <w:jc w:val="left"/>
      </w:pPr>
      <w:r>
        <w:rPr>
          <w:rFonts w:ascii="Arial" w:hAnsi="Arial" w:eastAsia="Arial"/>
          <w:b/>
          <w:i w:val="0"/>
          <w:sz w:val="20"/>
        </w:rPr>
        <w:t>[26] Financial ratios, discriminant analysis and the prediction of corporate bankruptcy</w:t>
      </w:r>
    </w:p>
    <w:p>
      <w:pPr>
        <w:spacing w:after="80"/>
        <w:jc w:val="left"/>
      </w:pPr>
      <w:r>
        <w:rPr>
          <w:rFonts w:ascii="Arial" w:hAnsi="Arial" w:eastAsia="Arial"/>
          <w:b w:val="0"/>
          <w:i w:val="0"/>
          <w:sz w:val="18"/>
        </w:rPr>
        <w:t>Altman, E.I. (1968) — The Journal of Finance · Q1 · JIF 7.75</w:t>
      </w:r>
    </w:p>
    <w:p>
      <w:pPr>
        <w:spacing w:after="40"/>
      </w:pPr>
      <w:r>
        <w:rPr>
          <w:rFonts w:ascii="Arial" w:hAnsi="Arial" w:eastAsia="Arial"/>
          <w:b/>
          <w:i w:val="0"/>
          <w:sz w:val="18"/>
        </w:rPr>
        <w:t xml:space="preserve">Enlace PDF: </w:t>
      </w:r>
      <w:hyperlink r:id="rId41">
        <w:r>
          <w:rPr>
            <w:u w:val="single"/>
            <w:color w:val="0563C1"/>
            <w:sz w:val="18"/>
          </w:rPr>
          <w:t>https://doi.org/10.1111/j.1540-6261.1968.tb00843.x</w:t>
        </w:r>
      </w:hyperlink>
    </w:p>
    <w:p>
      <w:pPr>
        <w:spacing w:after="40"/>
      </w:pPr>
      <w:r>
        <w:rPr>
          <w:rFonts w:ascii="Arial" w:hAnsi="Arial" w:eastAsia="Arial"/>
          <w:b/>
          <w:i w:val="0"/>
          <w:sz w:val="18"/>
        </w:rPr>
        <w:t xml:space="preserve">DOI verificado: </w:t>
      </w:r>
      <w:hyperlink r:id="rId41">
        <w:r>
          <w:rPr>
            <w:u w:val="single"/>
            <w:color w:val="0563C1"/>
            <w:sz w:val="18"/>
          </w:rPr>
          <w:t>10.1111/j.1540-6261.1968.tb00843.x</w:t>
        </w:r>
      </w:hyperlink>
    </w:p>
    <w:p>
      <w:pPr>
        <w:spacing w:after="80"/>
        <w:jc w:val="left"/>
      </w:pPr>
      <w:r>
        <w:rPr>
          <w:rFonts w:ascii="Arial" w:hAnsi="Arial" w:eastAsia="Arial"/>
          <w:b w:val="0"/>
          <w:i w:val="0"/>
          <w:sz w:val="16"/>
        </w:rPr>
        <w:t>Tipo de acceso: Artículo clásico — acceso vía JSTOR/Wiley desde DOI</w:t>
      </w:r>
    </w:p>
    <w:p>
      <w:pPr>
        <w:spacing w:before="40" w:after="120"/>
      </w:pPr>
      <w:r>
        <w:rPr>
          <w:rFonts w:ascii="Arial" w:hAnsi="Arial" w:eastAsia="Arial"/>
          <w:b/>
          <w:i w:val="0"/>
          <w:color w:val="1A5276"/>
          <w:sz w:val="18"/>
        </w:rPr>
        <w:t xml:space="preserve">Por qué se incluye en la tesis: </w:t>
      </w:r>
      <w:r>
        <w:rPr>
          <w:rFonts w:ascii="Arial" w:hAnsi="Arial" w:eastAsia="Arial"/>
          <w:b w:val="0"/>
          <w:i/>
          <w:sz w:val="18"/>
        </w:rPr>
        <w:t>REFERENCIA FUNDACIONAL. El modelo Z-score de Altman (1968) establece el concepto de índice compuesto de riesgo como antecedente histórico directo del IRE. El punto de corte Z = 2.675 es el análogo conceptual del umbral del IRE. Se cita en el marco teórico como la primera propuesta cuantitativa de predicción del riesgo empresarial; la tesis evoluciona este concepto hacia datos operacionales de PYME.</w:t>
      </w:r>
    </w:p>
    <w:p>
      <w:pPr>
        <w:spacing w:after="200"/>
      </w:pPr>
      <w:r>
        <w:rPr>
          <w:rFonts w:ascii="Arial" w:hAnsi="Arial" w:eastAsia="Arial"/>
          <w:b/>
          <w:i w:val="0"/>
          <w:color w:val="117A65"/>
          <w:sz w:val="16"/>
        </w:rPr>
        <w:t xml:space="preserve">Trazabilidad al sistema implementado: </w:t>
      </w:r>
      <w:r>
        <w:rPr>
          <w:rFonts w:ascii="Arial" w:hAnsi="Arial" w:eastAsia="Arial"/>
          <w:b w:val="0"/>
          <w:i w:val="0"/>
          <w:sz w:val="16"/>
        </w:rPr>
        <w:t>Altman Z-Score como antecedente histórico; umbral conceptual análogo al nivel Crítico del IRE (score ≥ 75).</w:t>
      </w:r>
    </w:p>
    <w:p>
      <w:pPr>
        <w:spacing w:after="40"/>
        <w:jc w:val="left"/>
      </w:pPr>
      <w:r>
        <w:rPr>
          <w:rFonts w:ascii="Arial" w:hAnsi="Arial" w:eastAsia="Arial"/>
          <w:b/>
          <w:i w:val="0"/>
          <w:sz w:val="20"/>
        </w:rPr>
        <w:t>[27] Financial ratios as predictors of failure</w:t>
      </w:r>
    </w:p>
    <w:p>
      <w:pPr>
        <w:spacing w:after="80"/>
        <w:jc w:val="left"/>
      </w:pPr>
      <w:r>
        <w:rPr>
          <w:rFonts w:ascii="Arial" w:hAnsi="Arial" w:eastAsia="Arial"/>
          <w:b w:val="0"/>
          <w:i w:val="0"/>
          <w:sz w:val="18"/>
        </w:rPr>
        <w:t>Beaver, W.H. (1966) — Journal of Accounting Research · Q1 · JIF 4.87</w:t>
      </w:r>
    </w:p>
    <w:p>
      <w:pPr>
        <w:spacing w:after="40"/>
      </w:pPr>
      <w:r>
        <w:rPr>
          <w:rFonts w:ascii="Arial" w:hAnsi="Arial" w:eastAsia="Arial"/>
          <w:b/>
          <w:i w:val="0"/>
          <w:sz w:val="18"/>
        </w:rPr>
        <w:t xml:space="preserve">Enlace PDF: </w:t>
      </w:r>
      <w:hyperlink r:id="rId42">
        <w:r>
          <w:rPr>
            <w:u w:val="single"/>
            <w:color w:val="0563C1"/>
            <w:sz w:val="18"/>
          </w:rPr>
          <w:t>https://doi.org/10.2307/2490171</w:t>
        </w:r>
      </w:hyperlink>
    </w:p>
    <w:p>
      <w:pPr>
        <w:spacing w:after="40"/>
      </w:pPr>
      <w:r>
        <w:rPr>
          <w:rFonts w:ascii="Arial" w:hAnsi="Arial" w:eastAsia="Arial"/>
          <w:b/>
          <w:i w:val="0"/>
          <w:sz w:val="18"/>
        </w:rPr>
        <w:t xml:space="preserve">DOI verificado: </w:t>
      </w:r>
      <w:hyperlink r:id="rId42">
        <w:r>
          <w:rPr>
            <w:u w:val="single"/>
            <w:color w:val="0563C1"/>
            <w:sz w:val="18"/>
          </w:rPr>
          <w:t>10.2307/2490171</w:t>
        </w:r>
      </w:hyperlink>
    </w:p>
    <w:p>
      <w:pPr>
        <w:spacing w:after="80"/>
        <w:jc w:val="left"/>
      </w:pPr>
      <w:r>
        <w:rPr>
          <w:rFonts w:ascii="Arial" w:hAnsi="Arial" w:eastAsia="Arial"/>
          <w:b w:val="0"/>
          <w:i w:val="0"/>
          <w:sz w:val="16"/>
        </w:rPr>
        <w:t>Tipo de acceso: Artículo clásico — acceso vía JSTOR/Wiley desde DOI</w:t>
      </w:r>
    </w:p>
    <w:p>
      <w:pPr>
        <w:spacing w:before="40" w:after="120"/>
      </w:pPr>
      <w:r>
        <w:rPr>
          <w:rFonts w:ascii="Arial" w:hAnsi="Arial" w:eastAsia="Arial"/>
          <w:b/>
          <w:i w:val="0"/>
          <w:color w:val="1A5276"/>
          <w:sz w:val="18"/>
        </w:rPr>
        <w:t xml:space="preserve">Por qué se incluye en la tesis: </w:t>
      </w:r>
      <w:r>
        <w:rPr>
          <w:rFonts w:ascii="Arial" w:hAnsi="Arial" w:eastAsia="Arial"/>
          <w:b w:val="0"/>
          <w:i/>
          <w:sz w:val="18"/>
        </w:rPr>
        <w:t>REFERENCIA FUNDACIONAL HISTÓRICA. El análisis univariado de ratios (Beaver, 1966) establece el origen del campo de predicción cuantitativa del riesgo empresarial. Junto con Altman (1968), traza la línea histórica desde análisis univariado hasta ML moderno que justifica el módulo IA del IRE. Se cita en el marco teórico como evidencia de la evolución metodológica, no como antecedente empírico directo.</w:t>
      </w:r>
    </w:p>
    <w:p>
      <w:pPr>
        <w:spacing w:after="200"/>
      </w:pPr>
      <w:r>
        <w:rPr>
          <w:rFonts w:ascii="Arial" w:hAnsi="Arial" w:eastAsia="Arial"/>
          <w:b/>
          <w:i w:val="0"/>
          <w:color w:val="117A65"/>
          <w:sz w:val="16"/>
        </w:rPr>
        <w:t xml:space="preserve">Trazabilidad al sistema implementado: </w:t>
      </w:r>
      <w:r>
        <w:rPr>
          <w:rFonts w:ascii="Arial" w:hAnsi="Arial" w:eastAsia="Arial"/>
          <w:b w:val="0"/>
          <w:i w:val="0"/>
          <w:sz w:val="16"/>
        </w:rPr>
        <w:t>Evolución metodológica univariado → compuesto → ML; IRE es índice compuesto ponderado implementado en producción.</w:t>
      </w:r>
    </w:p>
    <w:p>
      <w:pPr>
        <w:spacing w:after="120"/>
        <w:jc w:val="left"/>
      </w:pPr>
      <w:r>
        <w:rPr>
          <w:rFonts w:ascii="Arial" w:hAnsi="Arial" w:eastAsia="Arial"/>
          <w:b/>
          <w:i w:val="0"/>
          <w:sz w:val="22"/>
        </w:rPr>
        <w:t>EJE 4 — Ingeniería, arquitectura y calidad del sistema con IA</w:t>
      </w:r>
    </w:p>
    <w:p>
      <w:pPr>
        <w:spacing w:after="40"/>
        <w:jc w:val="left"/>
      </w:pPr>
      <w:r>
        <w:rPr>
          <w:rFonts w:ascii="Arial" w:hAnsi="Arial" w:eastAsia="Arial"/>
          <w:b/>
          <w:i w:val="0"/>
          <w:sz w:val="20"/>
        </w:rPr>
        <w:t>[28] Microservices: The journey so far and challenges ahead</w:t>
      </w:r>
    </w:p>
    <w:p>
      <w:pPr>
        <w:spacing w:after="80"/>
        <w:jc w:val="left"/>
      </w:pPr>
      <w:r>
        <w:rPr>
          <w:rFonts w:ascii="Arial" w:hAnsi="Arial" w:eastAsia="Arial"/>
          <w:b w:val="0"/>
          <w:i w:val="0"/>
          <w:sz w:val="18"/>
        </w:rPr>
        <w:t>Jamshidi, P. et al. (2018) — IEEE Software · Q1 · JIF 4.40</w:t>
      </w:r>
    </w:p>
    <w:p>
      <w:pPr>
        <w:spacing w:after="40"/>
      </w:pPr>
      <w:r>
        <w:rPr>
          <w:rFonts w:ascii="Arial" w:hAnsi="Arial" w:eastAsia="Arial"/>
          <w:b/>
          <w:i w:val="0"/>
          <w:sz w:val="18"/>
        </w:rPr>
        <w:t xml:space="preserve">Enlace PDF: </w:t>
      </w:r>
      <w:hyperlink r:id="rId43">
        <w:r>
          <w:rPr>
            <w:u w:val="single"/>
            <w:color w:val="0563C1"/>
            <w:sz w:val="18"/>
          </w:rPr>
          <w:t>https://doi.org/10.1109/ms.2018.2141039</w:t>
        </w:r>
      </w:hyperlink>
    </w:p>
    <w:p>
      <w:pPr>
        <w:spacing w:after="40"/>
      </w:pPr>
      <w:r>
        <w:rPr>
          <w:rFonts w:ascii="Arial" w:hAnsi="Arial" w:eastAsia="Arial"/>
          <w:b/>
          <w:i w:val="0"/>
          <w:sz w:val="18"/>
        </w:rPr>
        <w:t xml:space="preserve">DOI verificado: </w:t>
      </w:r>
      <w:hyperlink r:id="rId43">
        <w:r>
          <w:rPr>
            <w:u w:val="single"/>
            <w:color w:val="0563C1"/>
            <w:sz w:val="18"/>
          </w:rPr>
          <w:t>10.1109/ms.2018.2141039</w:t>
        </w:r>
      </w:hyperlink>
    </w:p>
    <w:p>
      <w:pPr>
        <w:spacing w:after="80"/>
        <w:jc w:val="left"/>
      </w:pPr>
      <w:r>
        <w:rPr>
          <w:rFonts w:ascii="Arial" w:hAnsi="Arial" w:eastAsia="Arial"/>
          <w:b w:val="0"/>
          <w:i w:val="0"/>
          <w:sz w:val="16"/>
        </w:rPr>
        <w:t>Tipo de acceso: IEEE Xplore — descargar PDF desde la página DOI (acceso institucional)</w:t>
      </w:r>
    </w:p>
    <w:p>
      <w:pPr>
        <w:spacing w:before="40" w:after="120"/>
      </w:pPr>
      <w:r>
        <w:rPr>
          <w:rFonts w:ascii="Arial" w:hAnsi="Arial" w:eastAsia="Arial"/>
          <w:b/>
          <w:i w:val="0"/>
          <w:color w:val="1A5276"/>
          <w:sz w:val="18"/>
        </w:rPr>
        <w:t xml:space="preserve">Por qué se incluye en la tesis: </w:t>
      </w:r>
      <w:r>
        <w:rPr>
          <w:rFonts w:ascii="Arial" w:hAnsi="Arial" w:eastAsia="Arial"/>
          <w:b w:val="0"/>
          <w:i/>
          <w:sz w:val="18"/>
        </w:rPr>
        <w:t>ARTÍCULO NÚCLEO TÉCNICO. Fundamenta la arquitectura de microservicios del sistema propuesto: cada módulo (e-commerce, IA-IRE, pagos Stripe, pedidos) opera como servicio independiente comunicado vía REST API, exactamente como en la arquitectura React + BFF Node + Supabase PostgreSQL + ai-service FastAPI del sistema. Latencia, escalabilidad y tasa de fallos en CI/CD corresponden a indicadores de la dimensión Interoperabilidad de ISO/IEC 25000 (Variable Independiente — Arquitectura del sistema).</w:t>
      </w:r>
    </w:p>
    <w:p>
      <w:pPr>
        <w:spacing w:after="200"/>
      </w:pPr>
      <w:r>
        <w:rPr>
          <w:rFonts w:ascii="Arial" w:hAnsi="Arial" w:eastAsia="Arial"/>
          <w:b/>
          <w:i w:val="0"/>
          <w:color w:val="117A65"/>
          <w:sz w:val="16"/>
        </w:rPr>
        <w:t xml:space="preserve">Trazabilidad al sistema implementado: </w:t>
      </w:r>
      <w:r>
        <w:rPr>
          <w:rFonts w:ascii="Arial" w:hAnsi="Arial" w:eastAsia="Arial"/>
          <w:b w:val="0"/>
          <w:i w:val="0"/>
          <w:sz w:val="16"/>
        </w:rPr>
        <w:t>Arquitectura microservicios: frontend React, BFF Node (Render), ai-service FastAPI (Render), Supabase, Firebase Auth, Stripe Functions.</w:t>
      </w:r>
    </w:p>
    <w:p>
      <w:pPr>
        <w:spacing w:after="40"/>
        <w:jc w:val="left"/>
      </w:pPr>
      <w:r>
        <w:rPr>
          <w:rFonts w:ascii="Arial" w:hAnsi="Arial" w:eastAsia="Arial"/>
          <w:b/>
          <w:i w:val="0"/>
          <w:sz w:val="20"/>
        </w:rPr>
        <w:t>[29] Large-scale machine learning systems in real-world industrial settings</w:t>
      </w:r>
    </w:p>
    <w:p>
      <w:pPr>
        <w:spacing w:after="80"/>
        <w:jc w:val="left"/>
      </w:pPr>
      <w:r>
        <w:rPr>
          <w:rFonts w:ascii="Arial" w:hAnsi="Arial" w:eastAsia="Arial"/>
          <w:b w:val="0"/>
          <w:i w:val="0"/>
          <w:sz w:val="18"/>
        </w:rPr>
        <w:t>Lwakatare, L.E. et al. (2020) — Information and Software Technology · Q1 · DOI: 10.1016/j.infsof.2020.106368</w:t>
      </w:r>
    </w:p>
    <w:p>
      <w:pPr>
        <w:spacing w:after="40"/>
      </w:pPr>
      <w:r>
        <w:rPr>
          <w:rFonts w:ascii="Arial" w:hAnsi="Arial" w:eastAsia="Arial"/>
          <w:b/>
          <w:i w:val="0"/>
          <w:sz w:val="18"/>
        </w:rPr>
        <w:t xml:space="preserve">Enlace PDF: </w:t>
      </w:r>
      <w:hyperlink r:id="rId44">
        <w:r>
          <w:rPr>
            <w:u w:val="single"/>
            <w:color w:val="0563C1"/>
            <w:sz w:val="18"/>
          </w:rPr>
          <w:t>https://doi.org/10.1016/j.infsof.2020.106368</w:t>
        </w:r>
      </w:hyperlink>
    </w:p>
    <w:p>
      <w:pPr>
        <w:spacing w:after="40"/>
      </w:pPr>
      <w:r>
        <w:rPr>
          <w:rFonts w:ascii="Arial" w:hAnsi="Arial" w:eastAsia="Arial"/>
          <w:b/>
          <w:i w:val="0"/>
          <w:sz w:val="18"/>
        </w:rPr>
        <w:t xml:space="preserve">DOI verificado: </w:t>
      </w:r>
      <w:hyperlink r:id="rId44">
        <w:r>
          <w:rPr>
            <w:u w:val="single"/>
            <w:color w:val="0563C1"/>
            <w:sz w:val="18"/>
          </w:rPr>
          <w:t>10.1016/j.infsof.2020.106368</w:t>
        </w:r>
      </w:hyperlink>
    </w:p>
    <w:p>
      <w:pPr>
        <w:spacing w:after="80"/>
        <w:jc w:val="left"/>
      </w:pPr>
      <w:r>
        <w:rPr>
          <w:rFonts w:ascii="Arial" w:hAnsi="Arial" w:eastAsia="Arial"/>
          <w:b w:val="0"/>
          <w:i w:val="0"/>
          <w:sz w:val="16"/>
        </w:rPr>
        <w:t>Tipo de acceso: Elsevier ScienceDirect — descargar PDF desde la página DOI (acceso institucional)</w:t>
      </w:r>
    </w:p>
    <w:p>
      <w:pPr>
        <w:spacing w:after="80"/>
        <w:jc w:val="left"/>
      </w:pPr>
      <w:r>
        <w:rPr>
          <w:rFonts w:ascii="Arial" w:hAnsi="Arial" w:eastAsia="Arial"/>
          <w:b w:val="0"/>
          <w:i w:val="0"/>
          <w:sz w:val="16"/>
        </w:rPr>
        <w:t>Nota bibliográfica: Autor: Lwakatare (no Swakatare). Revista IST Q1 2020 (no ICSE Workshop).</w:t>
      </w:r>
    </w:p>
    <w:p>
      <w:pPr>
        <w:spacing w:before="40" w:after="120"/>
      </w:pPr>
      <w:r>
        <w:rPr>
          <w:rFonts w:ascii="Arial" w:hAnsi="Arial" w:eastAsia="Arial"/>
          <w:b/>
          <w:i w:val="0"/>
          <w:color w:val="1A5276"/>
          <w:sz w:val="18"/>
        </w:rPr>
        <w:t xml:space="preserve">Por qué se incluye en la tesis: </w:t>
      </w:r>
      <w:r>
        <w:rPr>
          <w:rFonts w:ascii="Arial" w:hAnsi="Arial" w:eastAsia="Arial"/>
          <w:b w:val="0"/>
          <w:i/>
          <w:sz w:val="18"/>
        </w:rPr>
        <w:t>CORREGIDO: No es Q1. Literatura técnica de referencia sobre MLOps en producción industrial. Los indicadores de data drift, uptime y MTTR son conceptos aplicables al despliegue del servicio de predicción del IRE en ai-service FastAPI desplegado en Render (Docker). Se cita como referencia técnica de respaldo sobre los desafíos de ML en producción, sin declarar cuartil. NO presentar como fuente Q1 al jurado.</w:t>
      </w:r>
    </w:p>
    <w:p>
      <w:pPr>
        <w:spacing w:after="200"/>
      </w:pPr>
      <w:r>
        <w:rPr>
          <w:rFonts w:ascii="Arial" w:hAnsi="Arial" w:eastAsia="Arial"/>
          <w:b/>
          <w:i w:val="0"/>
          <w:color w:val="117A65"/>
          <w:sz w:val="16"/>
        </w:rPr>
        <w:t xml:space="preserve">Trazabilidad al sistema implementado: </w:t>
      </w:r>
      <w:r>
        <w:rPr>
          <w:rFonts w:ascii="Arial" w:hAnsi="Arial" w:eastAsia="Arial"/>
          <w:b w:val="0"/>
          <w:i w:val="0"/>
          <w:sz w:val="16"/>
        </w:rPr>
        <w:t>ai-service desplegado en Docker/Render con caché TTL, persistencia modelo_estado y reentrenamiento bajo demanda; referencia técnica MLOps.</w:t>
      </w:r>
    </w:p>
    <w:p>
      <w:pPr>
        <w:spacing w:after="40"/>
        <w:jc w:val="left"/>
      </w:pPr>
      <w:r>
        <w:rPr>
          <w:rFonts w:ascii="Arial" w:hAnsi="Arial" w:eastAsia="Arial"/>
          <w:b/>
          <w:i w:val="0"/>
          <w:sz w:val="20"/>
        </w:rPr>
        <w:t>[30] Predicting risk through artificial intelligence based on machine learning algorithms</w:t>
      </w:r>
    </w:p>
    <w:p>
      <w:pPr>
        <w:spacing w:after="80"/>
        <w:jc w:val="left"/>
      </w:pPr>
      <w:r>
        <w:rPr>
          <w:rFonts w:ascii="Arial" w:hAnsi="Arial" w:eastAsia="Arial"/>
          <w:b w:val="0"/>
          <w:i w:val="0"/>
          <w:sz w:val="18"/>
        </w:rPr>
        <w:t>Khalid, U. et al. (2022) — Complexity (Wiley/Hindawi) · verificar cuartil · DOI: 10.1155/2022/6858916</w:t>
      </w:r>
    </w:p>
    <w:p>
      <w:pPr>
        <w:spacing w:after="40"/>
      </w:pPr>
      <w:r>
        <w:rPr>
          <w:rFonts w:ascii="Arial" w:hAnsi="Arial" w:eastAsia="Arial"/>
          <w:b/>
          <w:i w:val="0"/>
          <w:sz w:val="18"/>
        </w:rPr>
        <w:t xml:space="preserve">Enlace PDF: </w:t>
      </w:r>
      <w:hyperlink r:id="rId45">
        <w:r>
          <w:rPr>
            <w:u w:val="single"/>
            <w:color w:val="0563C1"/>
            <w:sz w:val="18"/>
          </w:rPr>
          <w:t>https://onlinelibrary.wiley.com/doi/pdf/10.1155/2022/6858916</w:t>
        </w:r>
      </w:hyperlink>
    </w:p>
    <w:p>
      <w:pPr>
        <w:spacing w:after="40"/>
      </w:pPr>
      <w:r>
        <w:rPr>
          <w:rFonts w:ascii="Arial" w:hAnsi="Arial" w:eastAsia="Arial"/>
          <w:b/>
          <w:i w:val="0"/>
          <w:sz w:val="18"/>
        </w:rPr>
        <w:t xml:space="preserve">DOI verificado: </w:t>
      </w:r>
      <w:hyperlink r:id="rId46">
        <w:r>
          <w:rPr>
            <w:u w:val="single"/>
            <w:color w:val="0563C1"/>
            <w:sz w:val="18"/>
          </w:rPr>
          <w:t>10.1155/2022/6858916</w:t>
        </w:r>
      </w:hyperlink>
    </w:p>
    <w:p>
      <w:pPr>
        <w:spacing w:after="80"/>
        <w:jc w:val="left"/>
      </w:pPr>
      <w:r>
        <w:rPr>
          <w:rFonts w:ascii="Arial" w:hAnsi="Arial" w:eastAsia="Arial"/>
          <w:b w:val="0"/>
          <w:i w:val="0"/>
          <w:sz w:val="16"/>
        </w:rPr>
        <w:t>Tipo de acceso: PDF directo verificado</w:t>
      </w:r>
    </w:p>
    <w:p>
      <w:pPr>
        <w:spacing w:after="80"/>
        <w:jc w:val="left"/>
      </w:pPr>
      <w:r>
        <w:rPr>
          <w:rFonts w:ascii="Arial" w:hAnsi="Arial" w:eastAsia="Arial"/>
          <w:b w:val="0"/>
          <w:i w:val="0"/>
          <w:sz w:val="16"/>
        </w:rPr>
        <w:t>Nota bibliográfica: Revista: Complexity/Wiley (no Scientific Programming). Verificar cuartil Q2.</w:t>
      </w:r>
    </w:p>
    <w:p>
      <w:pPr>
        <w:spacing w:before="40" w:after="120"/>
      </w:pPr>
      <w:r>
        <w:rPr>
          <w:rFonts w:ascii="Arial" w:hAnsi="Arial" w:eastAsia="Arial"/>
          <w:b/>
          <w:i w:val="0"/>
          <w:color w:val="1A5276"/>
          <w:sz w:val="18"/>
        </w:rPr>
        <w:t xml:space="preserve">Por qué se incluye en la tesis: </w:t>
      </w:r>
      <w:r>
        <w:rPr>
          <w:rFonts w:ascii="Arial" w:hAnsi="Arial" w:eastAsia="Arial"/>
          <w:b w:val="0"/>
          <w:i/>
          <w:sz w:val="18"/>
        </w:rPr>
        <w:t>ARTÍCULO DE MAYOR RELEVANCIA TEMÁTICA DIRECTA. Es el antecedente más próximo al IRE: usa ML para predicción de riesgo empresarial (no quiebra) en PYMEs con datos de Latinoamérica. Random Forest y XGBoost evaluados son los mismos algoritmos candidatos del sistema propuesto. VERIFICAR cuartil en scimago.org antes de defender como Q1; si es Q2, citar sin declarar cuartil (Variable Dependiente — Predicción del IRE en PYME latinoamericana).</w:t>
      </w:r>
    </w:p>
    <w:p>
      <w:pPr>
        <w:spacing w:after="200"/>
      </w:pPr>
      <w:r>
        <w:rPr>
          <w:rFonts w:ascii="Arial" w:hAnsi="Arial" w:eastAsia="Arial"/>
          <w:b/>
          <w:i w:val="0"/>
          <w:color w:val="117A65"/>
          <w:sz w:val="16"/>
        </w:rPr>
        <w:t xml:space="preserve">Trazabilidad al sistema implementado: </w:t>
      </w:r>
      <w:r>
        <w:rPr>
          <w:rFonts w:ascii="Arial" w:hAnsi="Arial" w:eastAsia="Arial"/>
          <w:b w:val="0"/>
          <w:i w:val="0"/>
          <w:sz w:val="16"/>
        </w:rPr>
        <w:t>IRE implementado con Random Forest y validación sobre datos reales de PYME peruana (Huancayo); tabla ire_historial persiste series.</w:t>
      </w:r>
    </w:p>
    <w:p>
      <w:pPr>
        <w:spacing w:after="40"/>
        <w:jc w:val="left"/>
      </w:pPr>
      <w:r>
        <w:rPr>
          <w:rFonts w:ascii="Arial" w:hAnsi="Arial" w:eastAsia="Arial"/>
          <w:b/>
          <w:i w:val="0"/>
          <w:sz w:val="20"/>
        </w:rPr>
        <w:t>[31] Deep learning with long short-term memory networks for financial market predictions</w:t>
      </w:r>
    </w:p>
    <w:p>
      <w:pPr>
        <w:spacing w:after="80"/>
        <w:jc w:val="left"/>
      </w:pPr>
      <w:r>
        <w:rPr>
          <w:rFonts w:ascii="Arial" w:hAnsi="Arial" w:eastAsia="Arial"/>
          <w:b w:val="0"/>
          <w:i w:val="0"/>
          <w:sz w:val="18"/>
        </w:rPr>
        <w:t>Fischer, T. y Krauss, C. (2018) — European Journal of Operational Research · Q1 · JIF 6.37</w:t>
      </w:r>
    </w:p>
    <w:p>
      <w:pPr>
        <w:spacing w:after="40"/>
      </w:pPr>
      <w:r>
        <w:rPr>
          <w:rFonts w:ascii="Arial" w:hAnsi="Arial" w:eastAsia="Arial"/>
          <w:b/>
          <w:i w:val="0"/>
          <w:sz w:val="18"/>
        </w:rPr>
        <w:t xml:space="preserve">Enlace PDF: </w:t>
      </w:r>
      <w:hyperlink r:id="rId47">
        <w:r>
          <w:rPr>
            <w:u w:val="single"/>
            <w:color w:val="0563C1"/>
            <w:sz w:val="18"/>
          </w:rPr>
          <w:t>https://doi.org/10.1016/j.ejor.2017.11.054</w:t>
        </w:r>
      </w:hyperlink>
    </w:p>
    <w:p>
      <w:pPr>
        <w:spacing w:after="40"/>
      </w:pPr>
      <w:r>
        <w:rPr>
          <w:rFonts w:ascii="Arial" w:hAnsi="Arial" w:eastAsia="Arial"/>
          <w:b/>
          <w:i w:val="0"/>
          <w:sz w:val="18"/>
        </w:rPr>
        <w:t xml:space="preserve">DOI verificado: </w:t>
      </w:r>
      <w:hyperlink r:id="rId47">
        <w:r>
          <w:rPr>
            <w:u w:val="single"/>
            <w:color w:val="0563C1"/>
            <w:sz w:val="18"/>
          </w:rPr>
          <w:t>10.1016/j.ejor.2017.11.054</w:t>
        </w:r>
      </w:hyperlink>
    </w:p>
    <w:p>
      <w:pPr>
        <w:spacing w:after="80"/>
        <w:jc w:val="left"/>
      </w:pPr>
      <w:r>
        <w:rPr>
          <w:rFonts w:ascii="Arial" w:hAnsi="Arial" w:eastAsia="Arial"/>
          <w:b w:val="0"/>
          <w:i w:val="0"/>
          <w:sz w:val="16"/>
        </w:rPr>
        <w:t>Tipo de acceso: Elsevier ScienceDirect — descargar PDF desde la página DOI (acceso institucional)</w:t>
      </w:r>
    </w:p>
    <w:p>
      <w:pPr>
        <w:spacing w:before="40" w:after="120"/>
      </w:pPr>
      <w:r>
        <w:rPr>
          <w:rFonts w:ascii="Arial" w:hAnsi="Arial" w:eastAsia="Arial"/>
          <w:b/>
          <w:i w:val="0"/>
          <w:color w:val="1A5276"/>
          <w:sz w:val="18"/>
        </w:rPr>
        <w:t xml:space="preserve">Por qué se incluye en la tesis: </w:t>
      </w:r>
      <w:r>
        <w:rPr>
          <w:rFonts w:ascii="Arial" w:hAnsi="Arial" w:eastAsia="Arial"/>
          <w:b w:val="0"/>
          <w:i/>
          <w:sz w:val="18"/>
        </w:rPr>
        <w:t>Antecedente de LSTM para series temporales financieras con JIF 6.37 Q1 sólido. Justifica por qué Random Forest fue seleccionado sobre LSTM para el IRE: el dataset de Calzatura Vilchez es pequeño y los datos son tabulares estructurados (no secuencias largas), haciendo RF más interpretable y menos propenso a sobreajuste. La validación walk-forward es replicable para evaluar el modelo del IRE con datos históricos de ventas.</w:t>
      </w:r>
    </w:p>
    <w:p>
      <w:pPr>
        <w:spacing w:after="200"/>
      </w:pPr>
      <w:r>
        <w:rPr>
          <w:rFonts w:ascii="Arial" w:hAnsi="Arial" w:eastAsia="Arial"/>
          <w:b/>
          <w:i w:val="0"/>
          <w:color w:val="117A65"/>
          <w:sz w:val="16"/>
        </w:rPr>
        <w:t xml:space="preserve">Trazabilidad al sistema implementado: </w:t>
      </w:r>
      <w:r>
        <w:rPr>
          <w:rFonts w:ascii="Arial" w:hAnsi="Arial" w:eastAsia="Arial"/>
          <w:b w:val="0"/>
          <w:i w:val="0"/>
          <w:sz w:val="16"/>
        </w:rPr>
        <w:t>LSTM descartado por dataset pequeño; validación walk-forward replicable con ventas históricas de ventasDiarias y pedidos.</w:t>
      </w:r>
    </w:p>
    <w:p>
      <w:pPr>
        <w:spacing w:after="40"/>
        <w:jc w:val="left"/>
      </w:pPr>
      <w:r>
        <w:rPr>
          <w:rFonts w:ascii="Arial" w:hAnsi="Arial" w:eastAsia="Arial"/>
          <w:b/>
          <w:i w:val="0"/>
          <w:sz w:val="20"/>
        </w:rPr>
        <w:t>[32] Challenges in deploying machine learning: A survey of case studies</w:t>
      </w:r>
    </w:p>
    <w:p>
      <w:pPr>
        <w:spacing w:after="80"/>
        <w:jc w:val="left"/>
      </w:pPr>
      <w:r>
        <w:rPr>
          <w:rFonts w:ascii="Arial" w:hAnsi="Arial" w:eastAsia="Arial"/>
          <w:b w:val="0"/>
          <w:i w:val="0"/>
          <w:sz w:val="18"/>
        </w:rPr>
        <w:t>Paleyes, A.; Urma, R.G. y Lawrence, N.D. (2022) — ACM Computing Surveys · Q1 · JIF 16.60</w:t>
      </w:r>
    </w:p>
    <w:p>
      <w:pPr>
        <w:spacing w:after="40"/>
      </w:pPr>
      <w:r>
        <w:rPr>
          <w:rFonts w:ascii="Arial" w:hAnsi="Arial" w:eastAsia="Arial"/>
          <w:b/>
          <w:i w:val="0"/>
          <w:sz w:val="18"/>
        </w:rPr>
        <w:t xml:space="preserve">Enlace PDF: </w:t>
      </w:r>
      <w:hyperlink r:id="rId48">
        <w:r>
          <w:rPr>
            <w:u w:val="single"/>
            <w:color w:val="0563C1"/>
            <w:sz w:val="18"/>
          </w:rPr>
          <w:t>https://dl.acm.org/doi/pdf/10.1145/3533378</w:t>
        </w:r>
      </w:hyperlink>
    </w:p>
    <w:p>
      <w:pPr>
        <w:spacing w:after="40"/>
      </w:pPr>
      <w:r>
        <w:rPr>
          <w:rFonts w:ascii="Arial" w:hAnsi="Arial" w:eastAsia="Arial"/>
          <w:b/>
          <w:i w:val="0"/>
          <w:sz w:val="18"/>
        </w:rPr>
        <w:t xml:space="preserve">DOI verificado: </w:t>
      </w:r>
      <w:hyperlink r:id="rId49">
        <w:r>
          <w:rPr>
            <w:u w:val="single"/>
            <w:color w:val="0563C1"/>
            <w:sz w:val="18"/>
          </w:rPr>
          <w:t>10.1145/3533378</w:t>
        </w:r>
      </w:hyperlink>
    </w:p>
    <w:p>
      <w:pPr>
        <w:spacing w:after="80"/>
        <w:jc w:val="left"/>
      </w:pPr>
      <w:r>
        <w:rPr>
          <w:rFonts w:ascii="Arial" w:hAnsi="Arial" w:eastAsia="Arial"/>
          <w:b w:val="0"/>
          <w:i w:val="0"/>
          <w:sz w:val="16"/>
        </w:rPr>
        <w:t>Tipo de acceso: PDF directo verificado</w:t>
      </w:r>
    </w:p>
    <w:p>
      <w:pPr>
        <w:spacing w:before="40" w:after="120"/>
      </w:pPr>
      <w:r>
        <w:rPr>
          <w:rFonts w:ascii="Arial" w:hAnsi="Arial" w:eastAsia="Arial"/>
          <w:b/>
          <w:i w:val="0"/>
          <w:color w:val="1A5276"/>
          <w:sz w:val="18"/>
        </w:rPr>
        <w:t xml:space="preserve">Por qué se incluye en la tesis: </w:t>
      </w:r>
      <w:r>
        <w:rPr>
          <w:rFonts w:ascii="Arial" w:hAnsi="Arial" w:eastAsia="Arial"/>
          <w:b w:val="0"/>
          <w:i/>
          <w:sz w:val="18"/>
        </w:rPr>
        <w:t>ARTÍCULO NÚCLEO. Identifica los 6 desafíos reales del despliegue ML en producción (datos, modelo, código, sistema, integración, monitoreo), todos presentes en el servicio de predicción del IRE vía ai-service FastAPI desplegado en Render (Docker). Los indicadores de data drift, MTTR y uptime son KPIs de calidad del módulo IA del sistema. JIF 16.60 Q1 lo convierte en la fuente técnica más sólida del Eje 4 (Variable Independiente — Calidad del sistema web con IA).</w:t>
      </w:r>
    </w:p>
    <w:p>
      <w:pPr>
        <w:spacing w:after="200"/>
      </w:pPr>
      <w:r>
        <w:rPr>
          <w:rFonts w:ascii="Arial" w:hAnsi="Arial" w:eastAsia="Arial"/>
          <w:b/>
          <w:i w:val="0"/>
          <w:color w:val="117A65"/>
          <w:sz w:val="16"/>
        </w:rPr>
        <w:t xml:space="preserve">Trazabilidad al sistema implementado: </w:t>
      </w:r>
      <w:r>
        <w:rPr>
          <w:rFonts w:ascii="Arial" w:hAnsi="Arial" w:eastAsia="Arial"/>
          <w:b w:val="0"/>
          <w:i w:val="0"/>
          <w:sz w:val="16"/>
        </w:rPr>
        <w:t>Despliegue ML en ai-service Render: auth Bearer/Firebase admin, caché, rate limiting, persistencia post-reinicio en Supabase.</w:t>
      </w:r>
    </w:p>
    <w:p>
      <w:pPr>
        <w:spacing w:after="40"/>
        <w:jc w:val="left"/>
      </w:pPr>
      <w:r>
        <w:rPr>
          <w:rFonts w:ascii="Arial" w:hAnsi="Arial" w:eastAsia="Arial"/>
          <w:b/>
          <w:i w:val="0"/>
          <w:sz w:val="20"/>
        </w:rPr>
        <w:t>[33] Software engineering for AI-based systems: A survey</w:t>
      </w:r>
    </w:p>
    <w:p>
      <w:pPr>
        <w:spacing w:after="80"/>
        <w:jc w:val="left"/>
      </w:pPr>
      <w:r>
        <w:rPr>
          <w:rFonts w:ascii="Arial" w:hAnsi="Arial" w:eastAsia="Arial"/>
          <w:b w:val="0"/>
          <w:i w:val="0"/>
          <w:sz w:val="18"/>
        </w:rPr>
        <w:t>Martinez-Fernandez, S. et al. (2022) — ACM Transactions on Software Engineering and Methodology · Q1 · JIF 6.00</w:t>
      </w:r>
    </w:p>
    <w:p>
      <w:pPr>
        <w:spacing w:after="40"/>
      </w:pPr>
      <w:r>
        <w:rPr>
          <w:rFonts w:ascii="Arial" w:hAnsi="Arial" w:eastAsia="Arial"/>
          <w:b/>
          <w:i w:val="0"/>
          <w:sz w:val="18"/>
        </w:rPr>
        <w:t xml:space="preserve">Enlace PDF: </w:t>
      </w:r>
      <w:hyperlink r:id="rId50">
        <w:r>
          <w:rPr>
            <w:u w:val="single"/>
            <w:color w:val="0563C1"/>
            <w:sz w:val="18"/>
          </w:rPr>
          <w:t>https://dl.acm.org/doi/pdf/10.1145/3487043</w:t>
        </w:r>
      </w:hyperlink>
    </w:p>
    <w:p>
      <w:pPr>
        <w:spacing w:after="40"/>
      </w:pPr>
      <w:r>
        <w:rPr>
          <w:rFonts w:ascii="Arial" w:hAnsi="Arial" w:eastAsia="Arial"/>
          <w:b/>
          <w:i w:val="0"/>
          <w:sz w:val="18"/>
        </w:rPr>
        <w:t xml:space="preserve">DOI verificado: </w:t>
      </w:r>
      <w:hyperlink r:id="rId51">
        <w:r>
          <w:rPr>
            <w:u w:val="single"/>
            <w:color w:val="0563C1"/>
            <w:sz w:val="18"/>
          </w:rPr>
          <w:t>10.1145/3487043</w:t>
        </w:r>
      </w:hyperlink>
    </w:p>
    <w:p>
      <w:pPr>
        <w:spacing w:after="80"/>
        <w:jc w:val="left"/>
      </w:pPr>
      <w:r>
        <w:rPr>
          <w:rFonts w:ascii="Arial" w:hAnsi="Arial" w:eastAsia="Arial"/>
          <w:b w:val="0"/>
          <w:i w:val="0"/>
          <w:sz w:val="16"/>
        </w:rPr>
        <w:t>Tipo de acceso: PDF directo verificado</w:t>
      </w:r>
    </w:p>
    <w:p>
      <w:pPr>
        <w:spacing w:before="40" w:after="120"/>
      </w:pPr>
      <w:r>
        <w:rPr>
          <w:rFonts w:ascii="Arial" w:hAnsi="Arial" w:eastAsia="Arial"/>
          <w:b/>
          <w:i w:val="0"/>
          <w:color w:val="1A5276"/>
          <w:sz w:val="18"/>
        </w:rPr>
        <w:t xml:space="preserve">Por qué se incluye en la tesis: </w:t>
      </w:r>
      <w:r>
        <w:rPr>
          <w:rFonts w:ascii="Arial" w:hAnsi="Arial" w:eastAsia="Arial"/>
          <w:b w:val="0"/>
          <w:i/>
          <w:sz w:val="18"/>
        </w:rPr>
        <w:t>ARTÍCULO NÚCLEO. Fundamenta las prácticas de ingeniería de software para sistemas con componentes IA: pruebas, documentación técnica y gestión de la deuda técnica del módulo predictivo. Cobertura de pruebas del componente IA y MTBF corresponden a la dimensión Fiabilidad de ISO/IEC 25000. El N.° de defectos por release es un KPI de calidad del módulo IA del sistema (Variable Independiente — Calidad de software del sistema con IA).</w:t>
      </w:r>
    </w:p>
    <w:p>
      <w:pPr>
        <w:spacing w:after="200"/>
      </w:pPr>
      <w:r>
        <w:rPr>
          <w:rFonts w:ascii="Arial" w:hAnsi="Arial" w:eastAsia="Arial"/>
          <w:b/>
          <w:i w:val="0"/>
          <w:color w:val="117A65"/>
          <w:sz w:val="16"/>
        </w:rPr>
        <w:t xml:space="preserve">Trazabilidad al sistema implementado: </w:t>
      </w:r>
      <w:r>
        <w:rPr>
          <w:rFonts w:ascii="Arial" w:hAnsi="Arial" w:eastAsia="Arial"/>
          <w:b w:val="0"/>
          <w:i w:val="0"/>
          <w:sz w:val="16"/>
        </w:rPr>
        <w:t>Pruebas pytest (ai-service), Vitest (frontend), E2E Playwright, SonarQube en CI; documentación en docs/03-sdd y docs/06-ia.</w:t>
      </w:r>
    </w:p>
    <w:p>
      <w:pPr>
        <w:spacing w:after="40"/>
        <w:jc w:val="left"/>
      </w:pPr>
      <w:r>
        <w:rPr>
          <w:rFonts w:ascii="Arial" w:hAnsi="Arial" w:eastAsia="Arial"/>
          <w:b/>
          <w:i w:val="0"/>
          <w:sz w:val="20"/>
        </w:rPr>
        <w:t>[34] Understanding and addressing quality attributes of microservices architecture: A systematic mapping study</w:t>
      </w:r>
    </w:p>
    <w:p>
      <w:pPr>
        <w:spacing w:after="80"/>
        <w:jc w:val="left"/>
      </w:pPr>
      <w:r>
        <w:rPr>
          <w:rFonts w:ascii="Arial" w:hAnsi="Arial" w:eastAsia="Arial"/>
          <w:b w:val="0"/>
          <w:i w:val="0"/>
          <w:sz w:val="18"/>
        </w:rPr>
        <w:t>Li, S. et al. (2021) — Information and Software Technology · Q1 · JIF 3.86</w:t>
      </w:r>
    </w:p>
    <w:p>
      <w:pPr>
        <w:spacing w:after="40"/>
      </w:pPr>
      <w:r>
        <w:rPr>
          <w:rFonts w:ascii="Arial" w:hAnsi="Arial" w:eastAsia="Arial"/>
          <w:b/>
          <w:i w:val="0"/>
          <w:sz w:val="18"/>
        </w:rPr>
        <w:t xml:space="preserve">Enlace PDF: </w:t>
      </w:r>
      <w:hyperlink r:id="rId52">
        <w:r>
          <w:rPr>
            <w:u w:val="single"/>
            <w:color w:val="0563C1"/>
            <w:sz w:val="18"/>
          </w:rPr>
          <w:t>https://doi.org/10.1016/j.infsof.2020.106449</w:t>
        </w:r>
      </w:hyperlink>
    </w:p>
    <w:p>
      <w:pPr>
        <w:spacing w:after="40"/>
      </w:pPr>
      <w:r>
        <w:rPr>
          <w:rFonts w:ascii="Arial" w:hAnsi="Arial" w:eastAsia="Arial"/>
          <w:b/>
          <w:i w:val="0"/>
          <w:sz w:val="18"/>
        </w:rPr>
        <w:t xml:space="preserve">DOI verificado: </w:t>
      </w:r>
      <w:hyperlink r:id="rId52">
        <w:r>
          <w:rPr>
            <w:u w:val="single"/>
            <w:color w:val="0563C1"/>
            <w:sz w:val="18"/>
          </w:rPr>
          <w:t>10.1016/j.infsof.2020.106449</w:t>
        </w:r>
      </w:hyperlink>
    </w:p>
    <w:p>
      <w:pPr>
        <w:spacing w:after="80"/>
        <w:jc w:val="left"/>
      </w:pPr>
      <w:r>
        <w:rPr>
          <w:rFonts w:ascii="Arial" w:hAnsi="Arial" w:eastAsia="Arial"/>
          <w:b w:val="0"/>
          <w:i w:val="0"/>
          <w:sz w:val="16"/>
        </w:rPr>
        <w:t>Tipo de acceso: Elsevier ScienceDirect — descargar PDF desde la página DOI (acceso institucional)</w:t>
      </w:r>
    </w:p>
    <w:p>
      <w:pPr>
        <w:spacing w:before="40" w:after="120"/>
      </w:pPr>
      <w:r>
        <w:rPr>
          <w:rFonts w:ascii="Arial" w:hAnsi="Arial" w:eastAsia="Arial"/>
          <w:b/>
          <w:i w:val="0"/>
          <w:color w:val="1A5276"/>
          <w:sz w:val="18"/>
        </w:rPr>
        <w:t xml:space="preserve">Por qué se incluye en la tesis: </w:t>
      </w:r>
      <w:r>
        <w:rPr>
          <w:rFonts w:ascii="Arial" w:hAnsi="Arial" w:eastAsia="Arial"/>
          <w:b w:val="0"/>
          <w:i/>
          <w:sz w:val="18"/>
        </w:rPr>
        <w:t>ARTÍCULO NÚCLEO. Fundamenta directamente los atributos de calidad ISO/IEC 25010 del sistema: escalabilidad, disponibilidad, rendimiento y mantenibilidad. Los patrones circuit breaker y API Gateway son exactamente los utilizados en la arquitectura React + BFF Node + Supabase PostgreSQL + ai-service FastAPI del sistema propuesto. Latencia API p95, throughput y MTTR son métricas de evaluación técnica comparables con los requisitos no funcionales del sistema (Variable Independiente — ISO/IEC 25000).</w:t>
      </w:r>
    </w:p>
    <w:p>
      <w:pPr>
        <w:spacing w:after="200"/>
      </w:pPr>
      <w:r>
        <w:rPr>
          <w:rFonts w:ascii="Arial" w:hAnsi="Arial" w:eastAsia="Arial"/>
          <w:b/>
          <w:i w:val="0"/>
          <w:color w:val="117A65"/>
          <w:sz w:val="16"/>
        </w:rPr>
        <w:t xml:space="preserve">Trazabilidad al sistema implementado: </w:t>
      </w:r>
      <w:r>
        <w:rPr>
          <w:rFonts w:ascii="Arial" w:hAnsi="Arial" w:eastAsia="Arial"/>
          <w:b w:val="0"/>
          <w:i w:val="0"/>
          <w:sz w:val="16"/>
        </w:rPr>
        <w:t>Atributos ISO/IEC 25010 verificables: latencia BFF, uptime Render, CI/CD GitHub Actions, cobertura de tests automatizados.</w:t>
      </w:r>
    </w:p>
    <w:p>
      <w:pPr>
        <w:spacing w:after="120"/>
        <w:jc w:val="left"/>
      </w:pPr>
      <w:r>
        <w:rPr>
          <w:rFonts w:ascii="Arial" w:hAnsi="Arial" w:eastAsia="Arial"/>
          <w:b/>
          <w:i w:val="0"/>
          <w:sz w:val="22"/>
        </w:rPr>
        <w:t>EJE 5 — Metodología, algoritmos y fuentes complementarias</w:t>
      </w:r>
    </w:p>
    <w:p>
      <w:pPr>
        <w:spacing w:after="40"/>
        <w:jc w:val="left"/>
      </w:pPr>
      <w:r>
        <w:rPr>
          <w:rFonts w:ascii="Arial" w:hAnsi="Arial" w:eastAsia="Arial"/>
          <w:b/>
          <w:i w:val="0"/>
          <w:sz w:val="20"/>
        </w:rPr>
        <w:t>[35] Random forests</w:t>
      </w:r>
    </w:p>
    <w:p>
      <w:pPr>
        <w:spacing w:after="80"/>
        <w:jc w:val="left"/>
      </w:pPr>
      <w:r>
        <w:rPr>
          <w:rFonts w:ascii="Arial" w:hAnsi="Arial" w:eastAsia="Arial"/>
          <w:b w:val="0"/>
          <w:i w:val="0"/>
          <w:sz w:val="18"/>
        </w:rPr>
        <w:t>Breiman, L. (2001) — Machine Learning · Q1 · DOI: 10.1023/A:1010933404324</w:t>
      </w:r>
    </w:p>
    <w:p>
      <w:pPr>
        <w:spacing w:after="40"/>
      </w:pPr>
      <w:r>
        <w:rPr>
          <w:rFonts w:ascii="Arial" w:hAnsi="Arial" w:eastAsia="Arial"/>
          <w:b/>
          <w:i w:val="0"/>
          <w:sz w:val="18"/>
        </w:rPr>
        <w:t xml:space="preserve">Enlace PDF: </w:t>
      </w:r>
      <w:hyperlink r:id="rId53">
        <w:r>
          <w:rPr>
            <w:u w:val="single"/>
            <w:color w:val="0563C1"/>
            <w:sz w:val="18"/>
          </w:rPr>
          <w:t>https://doi.org/10.1023/A:1010933404324</w:t>
        </w:r>
      </w:hyperlink>
    </w:p>
    <w:p>
      <w:pPr>
        <w:spacing w:after="40"/>
      </w:pPr>
      <w:r>
        <w:rPr>
          <w:rFonts w:ascii="Arial" w:hAnsi="Arial" w:eastAsia="Arial"/>
          <w:b/>
          <w:i w:val="0"/>
          <w:sz w:val="18"/>
        </w:rPr>
        <w:t xml:space="preserve">DOI verificado: </w:t>
      </w:r>
      <w:hyperlink r:id="rId53">
        <w:r>
          <w:rPr>
            <w:u w:val="single"/>
            <w:color w:val="0563C1"/>
            <w:sz w:val="18"/>
          </w:rPr>
          <w:t>10.1023/A:1010933404324</w:t>
        </w:r>
      </w:hyperlink>
    </w:p>
    <w:p>
      <w:pPr>
        <w:spacing w:after="80"/>
        <w:jc w:val="left"/>
      </w:pPr>
      <w:r>
        <w:rPr>
          <w:rFonts w:ascii="Arial" w:hAnsi="Arial" w:eastAsia="Arial"/>
          <w:b w:val="0"/>
          <w:i w:val="0"/>
          <w:sz w:val="16"/>
        </w:rPr>
        <w:t>Tipo de acceso: Springer/Kluwer clásico — acceso vía DOI</w:t>
      </w:r>
    </w:p>
    <w:p>
      <w:pPr>
        <w:spacing w:after="80"/>
        <w:jc w:val="left"/>
      </w:pPr>
      <w:r>
        <w:rPr>
          <w:rFonts w:ascii="Arial" w:hAnsi="Arial" w:eastAsia="Arial"/>
          <w:b w:val="0"/>
          <w:i w:val="0"/>
          <w:sz w:val="16"/>
        </w:rPr>
        <w:t>Nota bibliográfica: Fuente primaria Machine Learning 2001 (no enciclopedia).</w:t>
      </w:r>
    </w:p>
    <w:p>
      <w:pPr>
        <w:spacing w:before="40" w:after="120"/>
      </w:pPr>
      <w:r>
        <w:rPr>
          <w:rFonts w:ascii="Arial" w:hAnsi="Arial" w:eastAsia="Arial"/>
          <w:b/>
          <w:i w:val="0"/>
          <w:color w:val="1A5276"/>
          <w:sz w:val="18"/>
        </w:rPr>
        <w:t xml:space="preserve">Por qué se incluye en la tesis: </w:t>
      </w:r>
      <w:r>
        <w:rPr>
          <w:rFonts w:ascii="Arial" w:hAnsi="Arial" w:eastAsia="Arial"/>
          <w:b w:val="0"/>
          <w:i/>
          <w:sz w:val="18"/>
        </w:rPr>
        <w:t>ARTÍCULO FUNDACIONAL ALGORÍTMICO — REFERENCIA OBLIGATORIA. Es la fuente primaria del algoritmo Random Forest utilizado en el módulo de predicción del IRE. Los hiperparámetros n_estimators, max_depth y max_features son exactamente los optimizados en el entrenamiento del modelo del IRE. OOB error y SHAP values son los instrumentos de evaluación e interpretabilidad del índice (Variable Dependiente — Algoritmo del modelo IRE).</w:t>
      </w:r>
    </w:p>
    <w:p>
      <w:pPr>
        <w:spacing w:after="200"/>
      </w:pPr>
      <w:r>
        <w:rPr>
          <w:rFonts w:ascii="Arial" w:hAnsi="Arial" w:eastAsia="Arial"/>
          <w:b/>
          <w:i w:val="0"/>
          <w:color w:val="117A65"/>
          <w:sz w:val="16"/>
        </w:rPr>
        <w:t xml:space="preserve">Trazabilidad al sistema implementado: </w:t>
      </w:r>
      <w:r>
        <w:rPr>
          <w:rFonts w:ascii="Arial" w:hAnsi="Arial" w:eastAsia="Arial"/>
          <w:b w:val="0"/>
          <w:i w:val="0"/>
          <w:sz w:val="16"/>
        </w:rPr>
        <w:t>Algoritmo Breiman (2001) implementado: RandomForestRegressor con n_estimators, max_depth y max_features en models/demand.py.</w:t>
      </w:r>
    </w:p>
    <w:p>
      <w:pPr>
        <w:spacing w:after="40"/>
        <w:jc w:val="left"/>
      </w:pPr>
      <w:r>
        <w:rPr>
          <w:rFonts w:ascii="Arial" w:hAnsi="Arial" w:eastAsia="Arial"/>
          <w:b/>
          <w:i w:val="0"/>
          <w:sz w:val="20"/>
        </w:rPr>
        <w:t>[36] A decade of agile methodologies: Towards explaining agile software development</w:t>
      </w:r>
    </w:p>
    <w:p>
      <w:pPr>
        <w:spacing w:after="80"/>
        <w:jc w:val="left"/>
      </w:pPr>
      <w:r>
        <w:rPr>
          <w:rFonts w:ascii="Arial" w:hAnsi="Arial" w:eastAsia="Arial"/>
          <w:b w:val="0"/>
          <w:i w:val="0"/>
          <w:sz w:val="18"/>
        </w:rPr>
        <w:t>Dingsøyr, T. et al. (2012) — Journal of Systems and Software · Q1 · JIF 4.34</w:t>
      </w:r>
    </w:p>
    <w:p>
      <w:pPr>
        <w:spacing w:after="40"/>
      </w:pPr>
      <w:r>
        <w:rPr>
          <w:rFonts w:ascii="Arial" w:hAnsi="Arial" w:eastAsia="Arial"/>
          <w:b/>
          <w:i w:val="0"/>
          <w:sz w:val="18"/>
        </w:rPr>
        <w:t xml:space="preserve">Enlace PDF: </w:t>
      </w:r>
      <w:hyperlink r:id="rId54">
        <w:r>
          <w:rPr>
            <w:u w:val="single"/>
            <w:color w:val="0563C1"/>
            <w:sz w:val="18"/>
          </w:rPr>
          <w:t>https://doi.org/10.1016/j.jss.2012.02.033</w:t>
        </w:r>
      </w:hyperlink>
    </w:p>
    <w:p>
      <w:pPr>
        <w:spacing w:after="40"/>
      </w:pPr>
      <w:r>
        <w:rPr>
          <w:rFonts w:ascii="Arial" w:hAnsi="Arial" w:eastAsia="Arial"/>
          <w:b/>
          <w:i w:val="0"/>
          <w:sz w:val="18"/>
        </w:rPr>
        <w:t xml:space="preserve">DOI verificado: </w:t>
      </w:r>
      <w:hyperlink r:id="rId54">
        <w:r>
          <w:rPr>
            <w:u w:val="single"/>
            <w:color w:val="0563C1"/>
            <w:sz w:val="18"/>
          </w:rPr>
          <w:t>10.1016/j.jss.2012.02.033</w:t>
        </w:r>
      </w:hyperlink>
    </w:p>
    <w:p>
      <w:pPr>
        <w:spacing w:after="80"/>
        <w:jc w:val="left"/>
      </w:pPr>
      <w:r>
        <w:rPr>
          <w:rFonts w:ascii="Arial" w:hAnsi="Arial" w:eastAsia="Arial"/>
          <w:b w:val="0"/>
          <w:i w:val="0"/>
          <w:sz w:val="16"/>
        </w:rPr>
        <w:t>Tipo de acceso: Elsevier ScienceDirect — descargar PDF desde la página DOI (acceso institucional)</w:t>
      </w:r>
    </w:p>
    <w:p>
      <w:pPr>
        <w:spacing w:before="40" w:after="120"/>
      </w:pPr>
      <w:r>
        <w:rPr>
          <w:rFonts w:ascii="Arial" w:hAnsi="Arial" w:eastAsia="Arial"/>
          <w:b/>
          <w:i w:val="0"/>
          <w:color w:val="1A5276"/>
          <w:sz w:val="18"/>
        </w:rPr>
        <w:t xml:space="preserve">Por qué se incluye en la tesis: </w:t>
      </w:r>
      <w:r>
        <w:rPr>
          <w:rFonts w:ascii="Arial" w:hAnsi="Arial" w:eastAsia="Arial"/>
          <w:b w:val="0"/>
          <w:i/>
          <w:sz w:val="18"/>
        </w:rPr>
        <w:t>Fundamenta el uso de metodología Scrum para el desarrollo iterativo del sistema web propuesto. La velocidad del equipo (story points/sprint) y la cobertura de pruebas son métricas de gestión del proyecto de desarrollo. Se referencia en la sección de metodología de desarrollo del sistema, no en el estado del arte de e-commerce/IA/riesgo (Variable Independiente — Proceso de desarrollo).</w:t>
      </w:r>
    </w:p>
    <w:p>
      <w:pPr>
        <w:spacing w:after="200"/>
      </w:pPr>
      <w:r>
        <w:rPr>
          <w:rFonts w:ascii="Arial" w:hAnsi="Arial" w:eastAsia="Arial"/>
          <w:b/>
          <w:i w:val="0"/>
          <w:color w:val="117A65"/>
          <w:sz w:val="16"/>
        </w:rPr>
        <w:t xml:space="preserve">Trazabilidad al sistema implementado: </w:t>
      </w:r>
      <w:r>
        <w:rPr>
          <w:rFonts w:ascii="Arial" w:hAnsi="Arial" w:eastAsia="Arial"/>
          <w:b w:val="0"/>
          <w:i w:val="0"/>
          <w:sz w:val="16"/>
        </w:rPr>
        <w:t>Metodología ágil/TDD en repositorio; pruebas unitarias y de integración en cada módulo (web, BFF, ai-service, móvil).</w:t>
      </w:r>
    </w:p>
    <w:p>
      <w:pPr>
        <w:spacing w:after="40"/>
        <w:jc w:val="left"/>
      </w:pPr>
      <w:r>
        <w:rPr>
          <w:rFonts w:ascii="Arial" w:hAnsi="Arial" w:eastAsia="Arial"/>
          <w:b/>
          <w:i w:val="0"/>
          <w:sz w:val="20"/>
        </w:rPr>
        <w:t>[37] An ensemble-based model for predicting agile software development effort</w:t>
      </w:r>
    </w:p>
    <w:p>
      <w:pPr>
        <w:spacing w:after="80"/>
        <w:jc w:val="left"/>
      </w:pPr>
      <w:r>
        <w:rPr>
          <w:rFonts w:ascii="Arial" w:hAnsi="Arial" w:eastAsia="Arial"/>
          <w:b w:val="0"/>
          <w:i w:val="0"/>
          <w:sz w:val="18"/>
        </w:rPr>
        <w:t>Malgonde, O. y Chari, K. (2019) — Empirical Software Engineering · Q1 · DOI: 10.1007/s10664-019-09745-1</w:t>
      </w:r>
    </w:p>
    <w:p>
      <w:pPr>
        <w:spacing w:after="40"/>
      </w:pPr>
      <w:r>
        <w:rPr>
          <w:rFonts w:ascii="Arial" w:hAnsi="Arial" w:eastAsia="Arial"/>
          <w:b/>
          <w:i w:val="0"/>
          <w:sz w:val="18"/>
        </w:rPr>
        <w:t xml:space="preserve">Enlace PDF: </w:t>
      </w:r>
      <w:hyperlink r:id="rId55">
        <w:r>
          <w:rPr>
            <w:u w:val="single"/>
            <w:color w:val="0563C1"/>
            <w:sz w:val="18"/>
          </w:rPr>
          <w:t>https://link.springer.com/content/pdf/10.1007/s10664-019-09745-1.pdf</w:t>
        </w:r>
      </w:hyperlink>
    </w:p>
    <w:p>
      <w:pPr>
        <w:spacing w:after="40"/>
      </w:pPr>
      <w:r>
        <w:rPr>
          <w:rFonts w:ascii="Arial" w:hAnsi="Arial" w:eastAsia="Arial"/>
          <w:b/>
          <w:i w:val="0"/>
          <w:sz w:val="18"/>
        </w:rPr>
        <w:t xml:space="preserve">DOI verificado: </w:t>
      </w:r>
      <w:hyperlink r:id="rId56">
        <w:r>
          <w:rPr>
            <w:u w:val="single"/>
            <w:color w:val="0563C1"/>
            <w:sz w:val="18"/>
          </w:rPr>
          <w:t>10.1007/s10664-019-09745-1</w:t>
        </w:r>
      </w:hyperlink>
    </w:p>
    <w:p>
      <w:pPr>
        <w:spacing w:after="80"/>
        <w:jc w:val="left"/>
      </w:pPr>
      <w:r>
        <w:rPr>
          <w:rFonts w:ascii="Arial" w:hAnsi="Arial" w:eastAsia="Arial"/>
          <w:b w:val="0"/>
          <w:i w:val="0"/>
          <w:sz w:val="16"/>
        </w:rPr>
        <w:t>Tipo de acceso: PDF Springer (verificar acceso abierto)</w:t>
      </w:r>
    </w:p>
    <w:p>
      <w:pPr>
        <w:spacing w:after="80"/>
        <w:jc w:val="left"/>
      </w:pPr>
      <w:r>
        <w:rPr>
          <w:rFonts w:ascii="Arial" w:hAnsi="Arial" w:eastAsia="Arial"/>
          <w:b w:val="0"/>
          <w:i w:val="0"/>
          <w:sz w:val="16"/>
        </w:rPr>
        <w:t>Nota bibliográfica: Malgonde &amp; Chari (2019) ESE. Salgonde ISM 2021 no existe.</w:t>
      </w:r>
    </w:p>
    <w:p>
      <w:pPr>
        <w:spacing w:before="40" w:after="120"/>
      </w:pPr>
      <w:r>
        <w:rPr>
          <w:rFonts w:ascii="Arial" w:hAnsi="Arial" w:eastAsia="Arial"/>
          <w:b/>
          <w:i w:val="0"/>
          <w:color w:val="1A5276"/>
          <w:sz w:val="18"/>
        </w:rPr>
        <w:t xml:space="preserve">Por qué se incluye en la tesis: </w:t>
      </w:r>
      <w:r>
        <w:rPr>
          <w:rFonts w:ascii="Arial" w:hAnsi="Arial" w:eastAsia="Arial"/>
          <w:b w:val="0"/>
          <w:i/>
          <w:sz w:val="18"/>
        </w:rPr>
        <w:t>REUBICADO AL ANEXO DE METODOLOGÍA. Predice el rendimiento de sprints ágiles con ML; no guarda relación con e-commerce, IA comercial ni riesgo empresarial. Se incluye en este documento solo como referencia metodológica complementaria para el plan de gestión del proyecto. NO incluir en el capítulo de Estado del Arte de la tesis; puede citarse en la sección de gestión del proyecto.</w:t>
      </w:r>
    </w:p>
    <w:p>
      <w:pPr>
        <w:spacing w:after="200"/>
      </w:pPr>
      <w:r>
        <w:rPr>
          <w:rFonts w:ascii="Arial" w:hAnsi="Arial" w:eastAsia="Arial"/>
          <w:b/>
          <w:i w:val="0"/>
          <w:color w:val="117A65"/>
          <w:sz w:val="16"/>
        </w:rPr>
        <w:t xml:space="preserve">Trazabilidad al sistema implementado: </w:t>
      </w:r>
      <w:r>
        <w:rPr>
          <w:rFonts w:ascii="Arial" w:hAnsi="Arial" w:eastAsia="Arial"/>
          <w:b w:val="0"/>
          <w:i w:val="0"/>
          <w:sz w:val="16"/>
        </w:rPr>
        <w:t>Anexo metodológico: proceso de desarrollo documentado en docs/; no evidencia directa del estado del arte central.</w:t>
      </w:r>
    </w:p>
    <w:p>
      <w:pPr>
        <w:spacing w:after="40"/>
        <w:jc w:val="left"/>
      </w:pPr>
      <w:r>
        <w:rPr>
          <w:rFonts w:ascii="Arial" w:hAnsi="Arial" w:eastAsia="Arial"/>
          <w:b/>
          <w:i w:val="0"/>
          <w:sz w:val="20"/>
        </w:rPr>
        <w:t>[38] Hybrid software development approaches in practice: A European perspective</w:t>
      </w:r>
    </w:p>
    <w:p>
      <w:pPr>
        <w:spacing w:after="80"/>
        <w:jc w:val="left"/>
      </w:pPr>
      <w:r>
        <w:rPr>
          <w:rFonts w:ascii="Arial" w:hAnsi="Arial" w:eastAsia="Arial"/>
          <w:b w:val="0"/>
          <w:i w:val="0"/>
          <w:sz w:val="18"/>
        </w:rPr>
        <w:t>Kuhrmann, M. et al. (2018) — IEEE Software · Q1 · JIF 4.40</w:t>
      </w:r>
    </w:p>
    <w:p>
      <w:pPr>
        <w:spacing w:after="40"/>
      </w:pPr>
      <w:r>
        <w:rPr>
          <w:rFonts w:ascii="Arial" w:hAnsi="Arial" w:eastAsia="Arial"/>
          <w:b/>
          <w:i w:val="0"/>
          <w:sz w:val="18"/>
        </w:rPr>
        <w:t xml:space="preserve">Enlace PDF: </w:t>
      </w:r>
      <w:hyperlink r:id="rId57">
        <w:r>
          <w:rPr>
            <w:u w:val="single"/>
            <w:color w:val="0563C1"/>
            <w:sz w:val="18"/>
          </w:rPr>
          <w:t>https://doi.org/10.1109/ms.2018.110161245</w:t>
        </w:r>
      </w:hyperlink>
    </w:p>
    <w:p>
      <w:pPr>
        <w:spacing w:after="40"/>
      </w:pPr>
      <w:r>
        <w:rPr>
          <w:rFonts w:ascii="Arial" w:hAnsi="Arial" w:eastAsia="Arial"/>
          <w:b/>
          <w:i w:val="0"/>
          <w:sz w:val="18"/>
        </w:rPr>
        <w:t xml:space="preserve">DOI verificado: </w:t>
      </w:r>
      <w:hyperlink r:id="rId57">
        <w:r>
          <w:rPr>
            <w:u w:val="single"/>
            <w:color w:val="0563C1"/>
            <w:sz w:val="18"/>
          </w:rPr>
          <w:t>10.1109/ms.2018.110161245</w:t>
        </w:r>
      </w:hyperlink>
    </w:p>
    <w:p>
      <w:pPr>
        <w:spacing w:after="80"/>
        <w:jc w:val="left"/>
      </w:pPr>
      <w:r>
        <w:rPr>
          <w:rFonts w:ascii="Arial" w:hAnsi="Arial" w:eastAsia="Arial"/>
          <w:b w:val="0"/>
          <w:i w:val="0"/>
          <w:sz w:val="16"/>
        </w:rPr>
        <w:t>Tipo de acceso: IEEE Xplore — descargar PDF desde la página DOI (acceso institucional)</w:t>
      </w:r>
    </w:p>
    <w:p>
      <w:pPr>
        <w:spacing w:before="40" w:after="120"/>
      </w:pPr>
      <w:r>
        <w:rPr>
          <w:rFonts w:ascii="Arial" w:hAnsi="Arial" w:eastAsia="Arial"/>
          <w:b/>
          <w:i w:val="0"/>
          <w:color w:val="1A5276"/>
          <w:sz w:val="18"/>
        </w:rPr>
        <w:t xml:space="preserve">Por qué se incluye en la tesis: </w:t>
      </w:r>
      <w:r>
        <w:rPr>
          <w:rFonts w:ascii="Arial" w:hAnsi="Arial" w:eastAsia="Arial"/>
          <w:b w:val="0"/>
          <w:i/>
          <w:sz w:val="18"/>
        </w:rPr>
        <w:t>Justifica el enfoque híbrido ágil-planificado adoptado en el desarrollo del sistema (Scrum + fases formales de tesis). La entrega en plazo y la satisfacción del cliente son métricas de éxito del proyecto de desarrollo. Se referencia en la sección de metodología de desarrollo; complementa al artículo 36 en la justificación del proceso de implementación del sistema propuesto.</w:t>
      </w:r>
    </w:p>
    <w:p>
      <w:pPr>
        <w:spacing w:after="200"/>
      </w:pPr>
      <w:r>
        <w:rPr>
          <w:rFonts w:ascii="Arial" w:hAnsi="Arial" w:eastAsia="Arial"/>
          <w:b/>
          <w:i w:val="0"/>
          <w:color w:val="117A65"/>
          <w:sz w:val="16"/>
        </w:rPr>
        <w:t xml:space="preserve">Trazabilidad al sistema implementado: </w:t>
      </w:r>
      <w:r>
        <w:rPr>
          <w:rFonts w:ascii="Arial" w:hAnsi="Arial" w:eastAsia="Arial"/>
          <w:b w:val="0"/>
          <w:i w:val="0"/>
          <w:sz w:val="16"/>
        </w:rPr>
        <w:t>Analítica descriptiva en panel admin: KPIs ventas, ganancia (admin), unidades (staff), gráficos de demanda semanal.</w:t>
      </w:r>
    </w:p>
    <w:p>
      <w:pPr>
        <w:spacing w:after="40"/>
        <w:jc w:val="left"/>
      </w:pPr>
      <w:r>
        <w:rPr>
          <w:rFonts w:ascii="Arial" w:hAnsi="Arial" w:eastAsia="Arial"/>
          <w:b/>
          <w:i w:val="0"/>
          <w:sz w:val="20"/>
        </w:rPr>
        <w:t>[39] Prescriptive analytics: Literature review and research challenges</w:t>
      </w:r>
    </w:p>
    <w:p>
      <w:pPr>
        <w:spacing w:after="80"/>
        <w:jc w:val="left"/>
      </w:pPr>
      <w:r>
        <w:rPr>
          <w:rFonts w:ascii="Arial" w:hAnsi="Arial" w:eastAsia="Arial"/>
          <w:b w:val="0"/>
          <w:i w:val="0"/>
          <w:sz w:val="18"/>
        </w:rPr>
        <w:t>Lepenioti, K. et al. (2020) — International Journal of Information Management · Q1 · JIF 18.70</w:t>
      </w:r>
    </w:p>
    <w:p>
      <w:pPr>
        <w:spacing w:after="40"/>
      </w:pPr>
      <w:r>
        <w:rPr>
          <w:rFonts w:ascii="Arial" w:hAnsi="Arial" w:eastAsia="Arial"/>
          <w:b/>
          <w:i w:val="0"/>
          <w:sz w:val="18"/>
        </w:rPr>
        <w:t xml:space="preserve">Enlace PDF: </w:t>
      </w:r>
      <w:hyperlink r:id="rId58">
        <w:r>
          <w:rPr>
            <w:u w:val="single"/>
            <w:color w:val="0563C1"/>
            <w:sz w:val="18"/>
          </w:rPr>
          <w:t>https://doi.org/10.1016/j.ijinfomgt.2019.04.003</w:t>
        </w:r>
      </w:hyperlink>
    </w:p>
    <w:p>
      <w:pPr>
        <w:spacing w:after="40"/>
      </w:pPr>
      <w:r>
        <w:rPr>
          <w:rFonts w:ascii="Arial" w:hAnsi="Arial" w:eastAsia="Arial"/>
          <w:b/>
          <w:i w:val="0"/>
          <w:sz w:val="18"/>
        </w:rPr>
        <w:t xml:space="preserve">DOI verificado: </w:t>
      </w:r>
      <w:hyperlink r:id="rId58">
        <w:r>
          <w:rPr>
            <w:u w:val="single"/>
            <w:color w:val="0563C1"/>
            <w:sz w:val="18"/>
          </w:rPr>
          <w:t>10.1016/j.ijinfomgt.2019.04.003</w:t>
        </w:r>
      </w:hyperlink>
    </w:p>
    <w:p>
      <w:pPr>
        <w:spacing w:after="80"/>
        <w:jc w:val="left"/>
      </w:pPr>
      <w:r>
        <w:rPr>
          <w:rFonts w:ascii="Arial" w:hAnsi="Arial" w:eastAsia="Arial"/>
          <w:b w:val="0"/>
          <w:i w:val="0"/>
          <w:sz w:val="16"/>
        </w:rPr>
        <w:t>Tipo de acceso: Elsevier ScienceDirect — descargar PDF desde la página DOI (acceso institucional)</w:t>
      </w:r>
    </w:p>
    <w:p>
      <w:pPr>
        <w:spacing w:before="40" w:after="120"/>
      </w:pPr>
      <w:r>
        <w:rPr>
          <w:rFonts w:ascii="Arial" w:hAnsi="Arial" w:eastAsia="Arial"/>
          <w:b/>
          <w:i w:val="0"/>
          <w:color w:val="1A5276"/>
          <w:sz w:val="18"/>
        </w:rPr>
        <w:t xml:space="preserve">Por qué se incluye en la tesis: </w:t>
      </w:r>
      <w:r>
        <w:rPr>
          <w:rFonts w:ascii="Arial" w:hAnsi="Arial" w:eastAsia="Arial"/>
          <w:b w:val="0"/>
          <w:i/>
          <w:sz w:val="18"/>
        </w:rPr>
        <w:t>ARTÍCULO NÚCLEO. Fundamenta la analítica prescriptiva del módulo IA: el sistema no solo predice el IRE, sino que prescribe acciones correctivas (ajustar stock, modificar pedidos a proveedores, revisar precios). El ROI de decisiones prescritas y la tasa de adopción de prescripciones son KPIs de impacto gerencial del módulo de recomendaciones del sistema (Variable Dependiente — Analítica prescriptiva basada en IRE).</w:t>
      </w:r>
    </w:p>
    <w:p>
      <w:pPr>
        <w:spacing w:after="200"/>
      </w:pPr>
      <w:r>
        <w:rPr>
          <w:rFonts w:ascii="Arial" w:hAnsi="Arial" w:eastAsia="Arial"/>
          <w:b/>
          <w:i w:val="0"/>
          <w:color w:val="117A65"/>
          <w:sz w:val="16"/>
        </w:rPr>
        <w:t xml:space="preserve">Trazabilidad al sistema implementado: </w:t>
      </w:r>
      <w:r>
        <w:rPr>
          <w:rFonts w:ascii="Arial" w:hAnsi="Arial" w:eastAsia="Arial"/>
          <w:b w:val="0"/>
          <w:i w:val="0"/>
          <w:sz w:val="16"/>
        </w:rPr>
        <w:t>Alertas de stock prescriptivas: productos con fecha de quiebre estimada; acciones correctivas sugeridas en panel ejecutivo.</w:t>
      </w:r>
    </w:p>
    <w:p>
      <w:pPr>
        <w:spacing w:after="40"/>
        <w:jc w:val="left"/>
      </w:pPr>
      <w:r>
        <w:rPr>
          <w:rFonts w:ascii="Arial" w:hAnsi="Arial" w:eastAsia="Arial"/>
          <w:b/>
          <w:i w:val="0"/>
          <w:sz w:val="20"/>
        </w:rPr>
        <w:t>[40] Big data analytics in operations management</w:t>
      </w:r>
    </w:p>
    <w:p>
      <w:pPr>
        <w:spacing w:after="80"/>
        <w:jc w:val="left"/>
      </w:pPr>
      <w:r>
        <w:rPr>
          <w:rFonts w:ascii="Arial" w:hAnsi="Arial" w:eastAsia="Arial"/>
          <w:b w:val="0"/>
          <w:i w:val="0"/>
          <w:sz w:val="18"/>
        </w:rPr>
        <w:t>Choi, T.M.; Wallace, S.W. y Wang, Y. (2018) — Production and Operations Management · Q1 · JIF 4.60</w:t>
      </w:r>
    </w:p>
    <w:p>
      <w:pPr>
        <w:spacing w:after="40"/>
      </w:pPr>
      <w:r>
        <w:rPr>
          <w:rFonts w:ascii="Arial" w:hAnsi="Arial" w:eastAsia="Arial"/>
          <w:b/>
          <w:i w:val="0"/>
          <w:sz w:val="18"/>
        </w:rPr>
        <w:t xml:space="preserve">Enlace PDF: </w:t>
      </w:r>
      <w:hyperlink r:id="rId59">
        <w:r>
          <w:rPr>
            <w:u w:val="single"/>
            <w:color w:val="0563C1"/>
            <w:sz w:val="18"/>
          </w:rPr>
          <w:t>https://doi.org/10.1111/poms.12838</w:t>
        </w:r>
      </w:hyperlink>
    </w:p>
    <w:p>
      <w:pPr>
        <w:spacing w:after="40"/>
      </w:pPr>
      <w:r>
        <w:rPr>
          <w:rFonts w:ascii="Arial" w:hAnsi="Arial" w:eastAsia="Arial"/>
          <w:b/>
          <w:i w:val="0"/>
          <w:sz w:val="18"/>
        </w:rPr>
        <w:t xml:space="preserve">DOI verificado: </w:t>
      </w:r>
      <w:hyperlink r:id="rId59">
        <w:r>
          <w:rPr>
            <w:u w:val="single"/>
            <w:color w:val="0563C1"/>
            <w:sz w:val="18"/>
          </w:rPr>
          <w:t>10.1111/poms.12838</w:t>
        </w:r>
      </w:hyperlink>
    </w:p>
    <w:p>
      <w:pPr>
        <w:spacing w:after="80"/>
        <w:jc w:val="left"/>
      </w:pPr>
      <w:r>
        <w:rPr>
          <w:rFonts w:ascii="Arial" w:hAnsi="Arial" w:eastAsia="Arial"/>
          <w:b w:val="0"/>
          <w:i w:val="0"/>
          <w:sz w:val="16"/>
        </w:rPr>
        <w:t>Tipo de acceso: Acceso vía DOI — descargar PDF desde el editor</w:t>
      </w:r>
    </w:p>
    <w:p>
      <w:pPr>
        <w:spacing w:before="40" w:after="120"/>
      </w:pPr>
      <w:r>
        <w:rPr>
          <w:rFonts w:ascii="Arial" w:hAnsi="Arial" w:eastAsia="Arial"/>
          <w:b/>
          <w:i w:val="0"/>
          <w:color w:val="1A5276"/>
          <w:sz w:val="18"/>
        </w:rPr>
        <w:t xml:space="preserve">Por qué se incluye en la tesis: </w:t>
      </w:r>
      <w:r>
        <w:rPr>
          <w:rFonts w:ascii="Arial" w:hAnsi="Arial" w:eastAsia="Arial"/>
          <w:b w:val="0"/>
          <w:i/>
          <w:sz w:val="18"/>
        </w:rPr>
        <w:t>ARTÍCULO NÚCLEO. Sustenta Big Data en gestión de operaciones con énfasis directo en inventario y demanda, los dos subíndices más pesados del IRE (stock 40% + demanda 25% = 65%). Los indicadores de quiebres de stock evitados, fill rate y tiempo de respuesta a variaciones de demanda son los KPIs operativos exactos del sistema propuesto, medibles antes y después de la implementación (Variable Dependiente — Subíndices de riesgo de stock y demanda del IRE).</w:t>
      </w:r>
    </w:p>
    <w:p>
      <w:pPr>
        <w:spacing w:after="200"/>
      </w:pPr>
      <w:r>
        <w:rPr>
          <w:rFonts w:ascii="Arial" w:hAnsi="Arial" w:eastAsia="Arial"/>
          <w:b/>
          <w:i w:val="0"/>
          <w:color w:val="117A65"/>
          <w:sz w:val="16"/>
        </w:rPr>
        <w:t xml:space="preserve">Trazabilidad al sistema implementado: </w:t>
      </w:r>
      <w:r>
        <w:rPr>
          <w:rFonts w:ascii="Arial" w:hAnsi="Arial" w:eastAsia="Arial"/>
          <w:b w:val="0"/>
          <w:i w:val="0"/>
          <w:sz w:val="16"/>
        </w:rPr>
        <w:t>Big Data operacional: fusión ventas presenciales + online, movimientos de stock y catálogo; procesamiento en pandas/ai-service.</w:t>
      </w:r>
    </w:p>
    <w:p>
      <w:pPr>
        <w:spacing w:after="40"/>
        <w:jc w:val="left"/>
      </w:pPr>
      <w:r>
        <w:rPr>
          <w:rFonts w:ascii="Arial" w:hAnsi="Arial" w:eastAsia="Arial"/>
          <w:b/>
          <w:i w:val="0"/>
          <w:sz w:val="20"/>
        </w:rPr>
        <w:t>[41] AI lifecycle models need to be revised: An exploratory study in Fintech</w:t>
      </w:r>
    </w:p>
    <w:p>
      <w:pPr>
        <w:spacing w:after="80"/>
        <w:jc w:val="left"/>
      </w:pPr>
      <w:r>
        <w:rPr>
          <w:rFonts w:ascii="Arial" w:hAnsi="Arial" w:eastAsia="Arial"/>
          <w:b w:val="0"/>
          <w:i w:val="0"/>
          <w:sz w:val="18"/>
        </w:rPr>
        <w:t>Haakman, M. et al. (2021) — Empirical Software Engineering · Q1 · JIF 3.50</w:t>
      </w:r>
    </w:p>
    <w:p>
      <w:pPr>
        <w:spacing w:after="40"/>
      </w:pPr>
      <w:r>
        <w:rPr>
          <w:rFonts w:ascii="Arial" w:hAnsi="Arial" w:eastAsia="Arial"/>
          <w:b/>
          <w:i w:val="0"/>
          <w:sz w:val="18"/>
        </w:rPr>
        <w:t xml:space="preserve">Enlace PDF: </w:t>
      </w:r>
      <w:hyperlink r:id="rId60">
        <w:r>
          <w:rPr>
            <w:u w:val="single"/>
            <w:color w:val="0563C1"/>
            <w:sz w:val="18"/>
          </w:rPr>
          <w:t>https://link.springer.com/content/pdf/10.1007/s10664-021-09993-1.pdf</w:t>
        </w:r>
      </w:hyperlink>
    </w:p>
    <w:p>
      <w:pPr>
        <w:spacing w:after="40"/>
      </w:pPr>
      <w:r>
        <w:rPr>
          <w:rFonts w:ascii="Arial" w:hAnsi="Arial" w:eastAsia="Arial"/>
          <w:b/>
          <w:i w:val="0"/>
          <w:sz w:val="18"/>
        </w:rPr>
        <w:t xml:space="preserve">DOI verificado: </w:t>
      </w:r>
      <w:hyperlink r:id="rId61">
        <w:r>
          <w:rPr>
            <w:u w:val="single"/>
            <w:color w:val="0563C1"/>
            <w:sz w:val="18"/>
          </w:rPr>
          <w:t>10.1007/s10664-021-09993-1</w:t>
        </w:r>
      </w:hyperlink>
    </w:p>
    <w:p>
      <w:pPr>
        <w:spacing w:after="80"/>
        <w:jc w:val="left"/>
      </w:pPr>
      <w:r>
        <w:rPr>
          <w:rFonts w:ascii="Arial" w:hAnsi="Arial" w:eastAsia="Arial"/>
          <w:b w:val="0"/>
          <w:i w:val="0"/>
          <w:sz w:val="16"/>
        </w:rPr>
        <w:t>Tipo de acceso: PDF directo verificado</w:t>
      </w:r>
    </w:p>
    <w:p>
      <w:pPr>
        <w:spacing w:before="40" w:after="120"/>
      </w:pPr>
      <w:r>
        <w:rPr>
          <w:rFonts w:ascii="Arial" w:hAnsi="Arial" w:eastAsia="Arial"/>
          <w:b/>
          <w:i w:val="0"/>
          <w:color w:val="1A5276"/>
          <w:sz w:val="18"/>
        </w:rPr>
        <w:t xml:space="preserve">Por qué se incluye en la tesis: </w:t>
      </w:r>
      <w:r>
        <w:rPr>
          <w:rFonts w:ascii="Arial" w:hAnsi="Arial" w:eastAsia="Arial"/>
          <w:b w:val="0"/>
          <w:i/>
          <w:sz w:val="18"/>
        </w:rPr>
        <w:t>ARTÍCULO NÚCLEO. Establece CRISP-ML(Q) como el ciclo de vida del módulo IA del sistema propuesto. Las 5 fases (comprensión del negocio, datos, modelado, evaluación, despliegue) son exactamente las etapas del desarrollo del servicio de predicción del IRE. El nivel de madurez MLOps alcanzado es la métrica de calidad del proceso de desarrollo del módulo IA, evaluable en la tesis (Variable Dependiente — Ciclo de vida y calidad del modelo IRE).</w:t>
      </w:r>
    </w:p>
    <w:p>
      <w:pPr>
        <w:spacing w:after="200"/>
      </w:pPr>
      <w:r>
        <w:rPr>
          <w:rFonts w:ascii="Arial" w:hAnsi="Arial" w:eastAsia="Arial"/>
          <w:b/>
          <w:i w:val="0"/>
          <w:color w:val="117A65"/>
          <w:sz w:val="16"/>
        </w:rPr>
        <w:t xml:space="preserve">Trazabilidad al sistema implementado: </w:t>
      </w:r>
      <w:r>
        <w:rPr>
          <w:rFonts w:ascii="Arial" w:hAnsi="Arial" w:eastAsia="Arial"/>
          <w:b w:val="0"/>
          <w:i w:val="0"/>
          <w:sz w:val="16"/>
        </w:rPr>
        <w:t>Ciclo CRISP-ML(Q): entrenamiento → despliegue → monitoreo drift → reentrenamiento; metadatos en modelo_estado e ire_historial.</w:t>
      </w:r>
    </w:p>
    <w:p>
      <w:pPr>
        <w:spacing w:after="40"/>
        <w:jc w:val="left"/>
      </w:pPr>
      <w:r>
        <w:rPr>
          <w:rFonts w:ascii="Arial" w:hAnsi="Arial" w:eastAsia="Arial"/>
          <w:b/>
          <w:i w:val="0"/>
          <w:sz w:val="20"/>
        </w:rPr>
        <w:t>[42] Information technology and organizational performance: An integrative model of IT business value</w:t>
      </w:r>
    </w:p>
    <w:p>
      <w:pPr>
        <w:spacing w:after="80"/>
        <w:jc w:val="left"/>
      </w:pPr>
      <w:r>
        <w:rPr>
          <w:rFonts w:ascii="Arial" w:hAnsi="Arial" w:eastAsia="Arial"/>
          <w:b w:val="0"/>
          <w:i w:val="0"/>
          <w:sz w:val="18"/>
        </w:rPr>
        <w:t>Melville, N.; Kraemer, K. y Gurbaxani, V. (2004) — MIS Quarterly · Q1 · JIF 12.50</w:t>
      </w:r>
    </w:p>
    <w:p>
      <w:pPr>
        <w:spacing w:after="40"/>
      </w:pPr>
      <w:r>
        <w:rPr>
          <w:rFonts w:ascii="Arial" w:hAnsi="Arial" w:eastAsia="Arial"/>
          <w:b/>
          <w:i w:val="0"/>
          <w:sz w:val="18"/>
        </w:rPr>
        <w:t xml:space="preserve">Enlace PDF: </w:t>
      </w:r>
      <w:hyperlink r:id="rId62">
        <w:r>
          <w:rPr>
            <w:u w:val="single"/>
            <w:color w:val="0563C1"/>
            <w:sz w:val="18"/>
          </w:rPr>
          <w:t>https://misq.umn.edu/misq/article-pdf/28/2/283/1295/6_melville.pdf</w:t>
        </w:r>
      </w:hyperlink>
    </w:p>
    <w:p>
      <w:pPr>
        <w:spacing w:after="40"/>
      </w:pPr>
      <w:r>
        <w:rPr>
          <w:rFonts w:ascii="Arial" w:hAnsi="Arial" w:eastAsia="Arial"/>
          <w:b/>
          <w:i w:val="0"/>
          <w:sz w:val="18"/>
        </w:rPr>
        <w:t xml:space="preserve">DOI verificado: </w:t>
      </w:r>
      <w:hyperlink r:id="rId63">
        <w:r>
          <w:rPr>
            <w:u w:val="single"/>
            <w:color w:val="0563C1"/>
            <w:sz w:val="18"/>
          </w:rPr>
          <w:t>10.2307/25148636</w:t>
        </w:r>
      </w:hyperlink>
    </w:p>
    <w:p>
      <w:pPr>
        <w:spacing w:after="80"/>
        <w:jc w:val="left"/>
      </w:pPr>
      <w:r>
        <w:rPr>
          <w:rFonts w:ascii="Arial" w:hAnsi="Arial" w:eastAsia="Arial"/>
          <w:b w:val="0"/>
          <w:i w:val="0"/>
          <w:sz w:val="16"/>
        </w:rPr>
        <w:t>Tipo de acceso: PDF directo verificado</w:t>
      </w:r>
    </w:p>
    <w:p>
      <w:pPr>
        <w:spacing w:before="40" w:after="120"/>
      </w:pPr>
      <w:r>
        <w:rPr>
          <w:rFonts w:ascii="Arial" w:hAnsi="Arial" w:eastAsia="Arial"/>
          <w:b/>
          <w:i w:val="0"/>
          <w:color w:val="1A5276"/>
          <w:sz w:val="18"/>
        </w:rPr>
        <w:t xml:space="preserve">Por qué se incluye en la tesis: </w:t>
      </w:r>
      <w:r>
        <w:rPr>
          <w:rFonts w:ascii="Arial" w:hAnsi="Arial" w:eastAsia="Arial"/>
          <w:b w:val="0"/>
          <w:i/>
          <w:sz w:val="18"/>
        </w:rPr>
        <w:t>Justifica el valor económico de la inversión en TI para Calzatura Vilchez como PYME. Los indicadores de ROI de TI, reducción de costos operativos y crecimiento de ingresos son las métricas de impacto económico esperadas de la propuesta. El modelo IT-Business Value es el marco conceptual que respalda la rentabilidad de implementar el sistema web con IA (Marco teórico — Justificación de la inversión tecnológica propuesta).</w:t>
      </w:r>
    </w:p>
    <w:p>
      <w:pPr>
        <w:spacing w:after="200"/>
      </w:pPr>
      <w:r>
        <w:rPr>
          <w:rFonts w:ascii="Arial" w:hAnsi="Arial" w:eastAsia="Arial"/>
          <w:b/>
          <w:i w:val="0"/>
          <w:color w:val="117A65"/>
          <w:sz w:val="16"/>
        </w:rPr>
        <w:t xml:space="preserve">Trazabilidad al sistema implementado: </w:t>
      </w:r>
      <w:r>
        <w:rPr>
          <w:rFonts w:ascii="Arial" w:hAnsi="Arial" w:eastAsia="Arial"/>
          <w:b w:val="0"/>
          <w:i w:val="0"/>
          <w:sz w:val="16"/>
        </w:rPr>
        <w:t>ROI medible: reducción de quiebres de stock, trazabilidad de ventas, automatización de pedidos; valor de TI justificado en SRS.</w:t>
      </w:r>
    </w:p>
    <w:p>
      <w:pPr>
        <w:spacing w:after="40"/>
        <w:jc w:val="left"/>
      </w:pPr>
      <w:r>
        <w:rPr>
          <w:rFonts w:ascii="Arial" w:hAnsi="Arial" w:eastAsia="Arial"/>
          <w:b/>
          <w:i w:val="0"/>
          <w:sz w:val="20"/>
        </w:rPr>
        <w:t>[43] Revolutionizing cross-border e-commerce: A deep dive into AI and big data-driven innovations for the straw hat industry</w:t>
      </w:r>
    </w:p>
    <w:p>
      <w:pPr>
        <w:spacing w:after="80"/>
        <w:jc w:val="left"/>
      </w:pPr>
      <w:r>
        <w:rPr>
          <w:rFonts w:ascii="Arial" w:hAnsi="Arial" w:eastAsia="Arial"/>
          <w:b w:val="0"/>
          <w:i w:val="0"/>
          <w:sz w:val="18"/>
        </w:rPr>
        <w:t>Dai, J.; Mao, X.; Wu, P.; Zhou, H. y Cao, L. (2024) — PLOS ONE · Q1 · JIF 3.75 · DOI: 10.1371/journal.pone.0305639</w:t>
      </w:r>
    </w:p>
    <w:p>
      <w:pPr>
        <w:spacing w:after="40"/>
      </w:pPr>
      <w:r>
        <w:rPr>
          <w:rFonts w:ascii="Arial" w:hAnsi="Arial" w:eastAsia="Arial"/>
          <w:b/>
          <w:i w:val="0"/>
          <w:sz w:val="18"/>
        </w:rPr>
        <w:t xml:space="preserve">Enlace PDF: </w:t>
      </w:r>
      <w:hyperlink r:id="rId64">
        <w:r>
          <w:rPr>
            <w:u w:val="single"/>
            <w:color w:val="0563C1"/>
            <w:sz w:val="18"/>
          </w:rPr>
          <w:t>Abrir enlace PDF</w:t>
        </w:r>
      </w:hyperlink>
    </w:p>
    <w:p>
      <w:pPr>
        <w:spacing w:after="40"/>
      </w:pPr>
      <w:r>
        <w:rPr>
          <w:rFonts w:ascii="Arial" w:hAnsi="Arial" w:eastAsia="Arial"/>
          <w:b/>
          <w:i w:val="0"/>
          <w:sz w:val="18"/>
        </w:rPr>
        <w:t xml:space="preserve">DOI verificado: </w:t>
      </w:r>
      <w:hyperlink r:id="rId65">
        <w:r>
          <w:rPr>
            <w:u w:val="single"/>
            <w:color w:val="0563C1"/>
            <w:sz w:val="18"/>
          </w:rPr>
          <w:t>10.1371/journal.pone.0305639</w:t>
        </w:r>
      </w:hyperlink>
    </w:p>
    <w:p>
      <w:pPr>
        <w:spacing w:after="80"/>
        <w:jc w:val="left"/>
      </w:pPr>
      <w:r>
        <w:rPr>
          <w:rFonts w:ascii="Arial" w:hAnsi="Arial" w:eastAsia="Arial"/>
          <w:b w:val="0"/>
          <w:i w:val="0"/>
          <w:sz w:val="16"/>
        </w:rPr>
        <w:t>Tipo de acceso: PDF directo verificado | Copia local en repo: Dai_2024_AI_big_data_cross_border_ecommerce_PLOS_ONE.pdf</w:t>
      </w:r>
    </w:p>
    <w:p>
      <w:pPr>
        <w:spacing w:after="80"/>
        <w:jc w:val="left"/>
      </w:pPr>
      <w:r>
        <w:rPr>
          <w:rFonts w:ascii="Arial" w:hAnsi="Arial" w:eastAsia="Arial"/>
          <w:b w:val="0"/>
          <w:i w:val="0"/>
          <w:sz w:val="16"/>
        </w:rPr>
        <w:t>Archivo local en repositorio: Dai_2024_AI_big_data_cross_border_ecommerce_PLOS_ONE.pdf (ruta: C:/Cazatura Vilchez V3/Dai_2024_AI_big_data_cross_border_ecommerce_PLOS_ONE.pdf)</w:t>
      </w:r>
    </w:p>
    <w:p>
      <w:pPr>
        <w:spacing w:before="40" w:after="120"/>
      </w:pPr>
      <w:r>
        <w:rPr>
          <w:rFonts w:ascii="Arial" w:hAnsi="Arial" w:eastAsia="Arial"/>
          <w:b/>
          <w:i w:val="0"/>
          <w:color w:val="1A5276"/>
          <w:sz w:val="18"/>
        </w:rPr>
        <w:t xml:space="preserve">Por qué se incluye en la tesis: </w:t>
      </w:r>
      <w:r>
        <w:rPr>
          <w:rFonts w:ascii="Arial" w:hAnsi="Arial" w:eastAsia="Arial"/>
          <w:b w:val="0"/>
          <w:i/>
          <w:sz w:val="18"/>
        </w:rPr>
        <w:t>ARTÍCULO TRANSVERSAL OBLIGATORIO — EL MÁS ALINEADO AL TÍTULO DE LA TESIS. Une simultáneamente: e-commerce + IA + Big Data + pequeña empresa artesanal + demanda + decisiones comerciales, exactamente el alcance de la propuesta para Calzatura Vilchez. Accuracy del modelo, crecimiento de ventas en línea y quiebres de stock evitados son KPIs directamente comparables con los del sistema propuesto. PLOS ONE Q1 JIF 3.75 lo valida como fuente revisada por pares (Transversal VI-VD — Evidencia empírica más próxima al objeto de estudio).</w:t>
      </w:r>
    </w:p>
    <w:p>
      <w:pPr>
        <w:spacing w:after="200"/>
      </w:pPr>
      <w:r>
        <w:rPr>
          <w:rFonts w:ascii="Arial" w:hAnsi="Arial" w:eastAsia="Arial"/>
          <w:b/>
          <w:i w:val="0"/>
          <w:color w:val="117A65"/>
          <w:sz w:val="16"/>
        </w:rPr>
        <w:t xml:space="preserve">Trazabilidad al sistema implementado: </w:t>
      </w:r>
      <w:r>
        <w:rPr>
          <w:rFonts w:ascii="Arial" w:hAnsi="Arial" w:eastAsia="Arial"/>
          <w:b w:val="0"/>
          <w:i w:val="0"/>
          <w:sz w:val="16"/>
        </w:rPr>
        <w:t>Alineación total: e-commerce React/Flutter + IA FastAPI + Big Data Supabase + PYME calzado; Dai et al. (2024) como evidencia transversal.</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16/j.jbusres.2019.09.022" TargetMode="External"/><Relationship Id="rId10" Type="http://schemas.openxmlformats.org/officeDocument/2006/relationships/hyperlink" Target="https://www.tandfonline.com/doi/pdf/10.1080/10580530.2020.1814461" TargetMode="External"/><Relationship Id="rId11" Type="http://schemas.openxmlformats.org/officeDocument/2006/relationships/hyperlink" Target="https://doi.org/10.1080/10580530.2020.1814461" TargetMode="External"/><Relationship Id="rId12" Type="http://schemas.openxmlformats.org/officeDocument/2006/relationships/hyperlink" Target="https://misq.umn.edu/misq/article-pdf/41/1/223/5892/11_si_introduction.pdf" TargetMode="External"/><Relationship Id="rId13" Type="http://schemas.openxmlformats.org/officeDocument/2006/relationships/hyperlink" Target="https://doi.org/10.25300/misq/2017/41:1.03" TargetMode="External"/><Relationship Id="rId14" Type="http://schemas.openxmlformats.org/officeDocument/2006/relationships/hyperlink" Target="https://doi.org/10.1016/j.technovation.2017.12.004" TargetMode="External"/><Relationship Id="rId15" Type="http://schemas.openxmlformats.org/officeDocument/2006/relationships/hyperlink" Target="https://doi.org/10.1016/j.ijinfomgt.2020.102103" TargetMode="External"/><Relationship Id="rId16" Type="http://schemas.openxmlformats.org/officeDocument/2006/relationships/hyperlink" Target="https://doi.org/10.1016/j.ijresmar.2016.11.006" TargetMode="External"/><Relationship Id="rId17" Type="http://schemas.openxmlformats.org/officeDocument/2006/relationships/hyperlink" Target="https://doi.org/10.1016/j.ijresmar.2018.12.002" TargetMode="External"/><Relationship Id="rId18" Type="http://schemas.openxmlformats.org/officeDocument/2006/relationships/hyperlink" Target="https://doi.org/10.1108/ijrdm-09-2015-0140" TargetMode="External"/><Relationship Id="rId19" Type="http://schemas.openxmlformats.org/officeDocument/2006/relationships/hyperlink" Target="https://doi.org/10.1016/j.ijinfomgt.2019.01.021" TargetMode="External"/><Relationship Id="rId20" Type="http://schemas.openxmlformats.org/officeDocument/2006/relationships/hyperlink" Target="https://link.springer.com/content/pdf/10.1007/s11747-019-00696-0.pdf" TargetMode="External"/><Relationship Id="rId21" Type="http://schemas.openxmlformats.org/officeDocument/2006/relationships/hyperlink" Target="https://doi.org/10.1007/s11747-019-00696-0" TargetMode="External"/><Relationship Id="rId22" Type="http://schemas.openxmlformats.org/officeDocument/2006/relationships/hyperlink" Target="https://journals.sagepub.com/doi/pdf/10.1177/0008125619862257" TargetMode="External"/><Relationship Id="rId23" Type="http://schemas.openxmlformats.org/officeDocument/2006/relationships/hyperlink" Target="https://doi.org/10.1177/0008125619862257" TargetMode="External"/><Relationship Id="rId24" Type="http://schemas.openxmlformats.org/officeDocument/2006/relationships/hyperlink" Target="https://doi.org/10.1016/j.jbusres.2016.08.009" TargetMode="External"/><Relationship Id="rId25" Type="http://schemas.openxmlformats.org/officeDocument/2006/relationships/hyperlink" Target="https://journals.plos.org/plosone/article/file?id=10.1371/journal.pone.0194889&amp;type=printable" TargetMode="External"/><Relationship Id="rId26" Type="http://schemas.openxmlformats.org/officeDocument/2006/relationships/hyperlink" Target="https://doi.org/10.1371/journal.pone.0194889" TargetMode="External"/><Relationship Id="rId27" Type="http://schemas.openxmlformats.org/officeDocument/2006/relationships/hyperlink" Target="https://doi.org/10.1016/j.ijforecast.2019.06.004" TargetMode="External"/><Relationship Id="rId28" Type="http://schemas.openxmlformats.org/officeDocument/2006/relationships/hyperlink" Target="https://doi.org/10.1016/j.indmarman.2017.12.019" TargetMode="External"/><Relationship Id="rId29" Type="http://schemas.openxmlformats.org/officeDocument/2006/relationships/hyperlink" Target="https://doi.org/10.1016/j.techfore.2020.120392" TargetMode="External"/><Relationship Id="rId30" Type="http://schemas.openxmlformats.org/officeDocument/2006/relationships/hyperlink" Target="https://doi.org/10.1108/jbim-10-2018-0295" TargetMode="External"/><Relationship Id="rId31" Type="http://schemas.openxmlformats.org/officeDocument/2006/relationships/hyperlink" Target="https://doi.org/10.1016/j.asoc.2020.106384" TargetMode="External"/><Relationship Id="rId32" Type="http://schemas.openxmlformats.org/officeDocument/2006/relationships/hyperlink" Target="https://doi.org/10.1016/j.eswa.2017.04.006" TargetMode="External"/><Relationship Id="rId33" Type="http://schemas.openxmlformats.org/officeDocument/2006/relationships/hyperlink" Target="https://doi.org/10.1016/j.eswa.2018.09.039" TargetMode="External"/><Relationship Id="rId34" Type="http://schemas.openxmlformats.org/officeDocument/2006/relationships/hyperlink" Target="https://www.mdpi.com/2071-1050/12/16/6325/pdf" TargetMode="External"/><Relationship Id="rId35" Type="http://schemas.openxmlformats.org/officeDocument/2006/relationships/hyperlink" Target="https://doi.org/10.3390/su12166325" TargetMode="External"/><Relationship Id="rId36" Type="http://schemas.openxmlformats.org/officeDocument/2006/relationships/hyperlink" Target="https://doi.org/10.1016/j.eswa.2017.01.016" TargetMode="External"/><Relationship Id="rId37" Type="http://schemas.openxmlformats.org/officeDocument/2006/relationships/hyperlink" Target="https://doi.org/10.1016/j.ejor.2016.01.012" TargetMode="External"/><Relationship Id="rId38" Type="http://schemas.openxmlformats.org/officeDocument/2006/relationships/hyperlink" Target="https://doi.org/10.1016/j.ejor.2018.10.024" TargetMode="External"/><Relationship Id="rId39" Type="http://schemas.openxmlformats.org/officeDocument/2006/relationships/hyperlink" Target="https://homepages.uc.edu/~guohu/publications/JBF%20R2%202014%20Final.pdf" TargetMode="External"/><Relationship Id="rId40" Type="http://schemas.openxmlformats.org/officeDocument/2006/relationships/hyperlink" Target="https://doi.org/10.1016/j.jbankfin.2014.12.003" TargetMode="External"/><Relationship Id="rId41" Type="http://schemas.openxmlformats.org/officeDocument/2006/relationships/hyperlink" Target="https://doi.org/10.1111/j.1540-6261.1968.tb00843.x" TargetMode="External"/><Relationship Id="rId42" Type="http://schemas.openxmlformats.org/officeDocument/2006/relationships/hyperlink" Target="https://doi.org/10.2307/2490171" TargetMode="External"/><Relationship Id="rId43" Type="http://schemas.openxmlformats.org/officeDocument/2006/relationships/hyperlink" Target="https://doi.org/10.1109/ms.2018.2141039" TargetMode="External"/><Relationship Id="rId44" Type="http://schemas.openxmlformats.org/officeDocument/2006/relationships/hyperlink" Target="https://doi.org/10.1016/j.infsof.2020.106368" TargetMode="External"/><Relationship Id="rId45" Type="http://schemas.openxmlformats.org/officeDocument/2006/relationships/hyperlink" Target="https://onlinelibrary.wiley.com/doi/pdf/10.1155/2022/6858916" TargetMode="External"/><Relationship Id="rId46" Type="http://schemas.openxmlformats.org/officeDocument/2006/relationships/hyperlink" Target="https://doi.org/10.1155/2022/6858916" TargetMode="External"/><Relationship Id="rId47" Type="http://schemas.openxmlformats.org/officeDocument/2006/relationships/hyperlink" Target="https://doi.org/10.1016/j.ejor.2017.11.054" TargetMode="External"/><Relationship Id="rId48" Type="http://schemas.openxmlformats.org/officeDocument/2006/relationships/hyperlink" Target="https://dl.acm.org/doi/pdf/10.1145/3533378" TargetMode="External"/><Relationship Id="rId49" Type="http://schemas.openxmlformats.org/officeDocument/2006/relationships/hyperlink" Target="https://doi.org/10.1145/3533378" TargetMode="External"/><Relationship Id="rId50" Type="http://schemas.openxmlformats.org/officeDocument/2006/relationships/hyperlink" Target="https://dl.acm.org/doi/pdf/10.1145/3487043" TargetMode="External"/><Relationship Id="rId51" Type="http://schemas.openxmlformats.org/officeDocument/2006/relationships/hyperlink" Target="https://doi.org/10.1145/3487043" TargetMode="External"/><Relationship Id="rId52" Type="http://schemas.openxmlformats.org/officeDocument/2006/relationships/hyperlink" Target="https://doi.org/10.1016/j.infsof.2020.106449" TargetMode="External"/><Relationship Id="rId53" Type="http://schemas.openxmlformats.org/officeDocument/2006/relationships/hyperlink" Target="https://doi.org/10.1023/A:1010933404324" TargetMode="External"/><Relationship Id="rId54" Type="http://schemas.openxmlformats.org/officeDocument/2006/relationships/hyperlink" Target="https://doi.org/10.1016/j.jss.2012.02.033" TargetMode="External"/><Relationship Id="rId55" Type="http://schemas.openxmlformats.org/officeDocument/2006/relationships/hyperlink" Target="https://link.springer.com/content/pdf/10.1007/s10664-019-09745-1.pdf" TargetMode="External"/><Relationship Id="rId56" Type="http://schemas.openxmlformats.org/officeDocument/2006/relationships/hyperlink" Target="https://doi.org/10.1007/s10664-019-09745-1" TargetMode="External"/><Relationship Id="rId57" Type="http://schemas.openxmlformats.org/officeDocument/2006/relationships/hyperlink" Target="https://doi.org/10.1109/ms.2018.110161245" TargetMode="External"/><Relationship Id="rId58" Type="http://schemas.openxmlformats.org/officeDocument/2006/relationships/hyperlink" Target="https://doi.org/10.1016/j.ijinfomgt.2019.04.003" TargetMode="External"/><Relationship Id="rId59" Type="http://schemas.openxmlformats.org/officeDocument/2006/relationships/hyperlink" Target="https://doi.org/10.1111/poms.12838" TargetMode="External"/><Relationship Id="rId60" Type="http://schemas.openxmlformats.org/officeDocument/2006/relationships/hyperlink" Target="https://link.springer.com/content/pdf/10.1007/s10664-021-09993-1.pdf" TargetMode="External"/><Relationship Id="rId61" Type="http://schemas.openxmlformats.org/officeDocument/2006/relationships/hyperlink" Target="https://doi.org/10.1007/s10664-021-09993-1" TargetMode="External"/><Relationship Id="rId62" Type="http://schemas.openxmlformats.org/officeDocument/2006/relationships/hyperlink" Target="https://misq.umn.edu/misq/article-pdf/28/2/283/1295/6_melville.pdf" TargetMode="External"/><Relationship Id="rId63" Type="http://schemas.openxmlformats.org/officeDocument/2006/relationships/hyperlink" Target="https://doi.org/10.2307/25148636" TargetMode="External"/><Relationship Id="rId64" Type="http://schemas.openxmlformats.org/officeDocument/2006/relationships/hyperlink" Target="https://journals.plos.org/plosone/article/file?id=10.1371/journal.pone.0305639&amp;type=printable" TargetMode="External"/><Relationship Id="rId65" Type="http://schemas.openxmlformats.org/officeDocument/2006/relationships/hyperlink" Target="https://doi.org/10.1371/journal.pone.030563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