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eastAsia="Arial"/>
          <w:b/>
          <w:i w:val="0"/>
          <w:sz w:val="28"/>
        </w:rPr>
        <w:t>TABLAS DEL ESTADO DEL ARTE — 43 ARTÍCULOS CIENTÍFICOS</w:t>
      </w:r>
    </w:p>
    <w:p>
      <w:pPr>
        <w:spacing w:before="0" w:after="40"/>
        <w:jc w:val="center"/>
      </w:pPr>
      <w:r>
        <w:rPr>
          <w:rFonts w:ascii="Arial" w:hAnsi="Arial" w:eastAsia="Arial"/>
          <w:b w:val="0"/>
          <w:i/>
          <w:sz w:val="18"/>
        </w:rPr>
        <w:t>Tesis: Propuesta de implementación de un sistema web de comercio electrónico con inteligencia artificial para la predicción del riesgo empresarial — Calzatura Vilchez</w:t>
      </w:r>
    </w:p>
    <w:p>
      <w:pPr>
        <w:spacing w:before="0" w:after="120"/>
        <w:jc w:val="center"/>
      </w:pPr>
      <w:r>
        <w:rPr>
          <w:rFonts w:ascii="Arial" w:hAnsi="Arial" w:eastAsia="Arial"/>
          <w:b w:val="0"/>
          <w:i/>
          <w:sz w:val="18"/>
        </w:rPr>
        <w:t>Autor: Piero Vilchez  |  Universidad Continental  |  Ficha analítica (Codina/Tesify) + Operacionalización 9 columnas (UNE/SciELO) · Evidencia funcional</w:t>
      </w:r>
    </w:p>
    <w:p>
      <w:pPr>
        <w:spacing w:before="80" w:after="40"/>
        <w:jc w:val="left"/>
      </w:pPr>
      <w:r>
        <w:rPr>
          <w:rFonts w:ascii="Arial" w:hAnsi="Arial" w:eastAsia="Arial"/>
          <w:b/>
          <w:i w:val="0"/>
          <w:color w:val="1F4E79"/>
          <w:sz w:val="18"/>
        </w:rPr>
        <w:t>ESTÁNDAR METODOLÓGICO APLICADO (v2 MEJORADO)</w:t>
      </w:r>
    </w:p>
    <w:p>
      <w:pPr>
        <w:pStyle w:val="ListBullet"/>
        <w:spacing w:before="0" w:after="20"/>
      </w:pPr>
      <w:r>
        <w:rPr>
          <w:rFonts w:ascii="Arial" w:hAnsi="Arial" w:eastAsia="Arial"/>
          <w:b w:val="0"/>
          <w:i w:val="0"/>
          <w:sz w:val="16"/>
        </w:rPr>
        <w:t>Tabla A — Ficha analítica por artículo: objetivo, diseño, muestra, métricas, limitaciones, encaje con Calzatura Vilchez (matriz de revisión de literatura; Codina 2018; Tesify; UNE Módulo 4).</w:t>
      </w:r>
    </w:p>
    <w:p>
      <w:pPr>
        <w:pStyle w:val="ListBullet"/>
        <w:spacing w:before="0" w:after="20"/>
      </w:pPr>
      <w:r>
        <w:rPr>
          <w:rFonts w:ascii="Arial" w:hAnsi="Arial" w:eastAsia="Arial"/>
          <w:b w:val="0"/>
          <w:i w:val="0"/>
          <w:sz w:val="16"/>
        </w:rPr>
        <w:t>Tabla B — Operacionalización ampliada: definición conceptual, definición operacional, dimensión, indicador, escala, unidad, técnica e instrumento (SciELO Cuba; matriz de operacionalización UNE).</w:t>
      </w:r>
    </w:p>
    <w:p>
      <w:pPr>
        <w:pStyle w:val="ListBullet"/>
        <w:spacing w:before="0" w:after="20"/>
      </w:pPr>
      <w:r>
        <w:rPr>
          <w:rFonts w:ascii="Arial" w:hAnsi="Arial" w:eastAsia="Arial"/>
          <w:b w:val="0"/>
          <w:i w:val="0"/>
          <w:sz w:val="16"/>
        </w:rPr>
        <w:t>Inferencia automática de escala de medición por indicador (ordinal Likert, razón %, intervalo 0–1, conteo, tiempo).</w:t>
      </w:r>
    </w:p>
    <w:p>
      <w:pPr>
        <w:pStyle w:val="ListBullet"/>
        <w:spacing w:before="0" w:after="20"/>
      </w:pPr>
      <w:r>
        <w:rPr>
          <w:rFonts w:ascii="Arial" w:hAnsi="Arial" w:eastAsia="Arial"/>
          <w:b w:val="0"/>
          <w:i w:val="0"/>
          <w:sz w:val="16"/>
        </w:rPr>
        <w:t>Bloques de contribución, evidencia funcional trazada al sistema y DOI verificado se mantienen por artículo.</w:t>
      </w:r>
    </w:p>
    <w:p/>
    <w:p>
      <w:pPr>
        <w:spacing w:before="80" w:after="40"/>
        <w:jc w:val="left"/>
      </w:pPr>
      <w:r>
        <w:rPr>
          <w:rFonts w:ascii="Arial" w:hAnsi="Arial" w:eastAsia="Arial"/>
          <w:b/>
          <w:i w:val="0"/>
          <w:color w:val="C00000"/>
          <w:sz w:val="18"/>
        </w:rPr>
        <w:t>CORRECCIONES Y MEJORAS EN ESTA VERSIÓN</w:t>
      </w:r>
    </w:p>
    <w:p>
      <w:pPr>
        <w:pStyle w:val="ListBullet"/>
        <w:spacing w:before="0" w:after="20"/>
      </w:pPr>
      <w:r>
        <w:rPr>
          <w:rFonts w:ascii="Arial" w:hAnsi="Arial" w:eastAsia="Arial"/>
          <w:b w:val="0"/>
          <w:i w:val="0"/>
          <w:sz w:val="16"/>
        </w:rPr>
        <w:t>Formato v2: cada artículo incluye Tabla A (ficha analítica 6 cols.) + Tabla B (operacionalización 9 cols.).</w:t>
      </w:r>
    </w:p>
    <w:p>
      <w:pPr>
        <w:pStyle w:val="ListBullet"/>
        <w:spacing w:before="0" w:after="20"/>
      </w:pPr>
      <w:r>
        <w:rPr>
          <w:rFonts w:ascii="Arial" w:hAnsi="Arial" w:eastAsia="Arial"/>
          <w:b w:val="0"/>
          <w:i w:val="0"/>
          <w:sz w:val="16"/>
        </w:rPr>
        <w:t>Artículo 29: Autor corregido Lwakatare; revista IST Q1 2020 (no ICSE Workshop).</w:t>
      </w:r>
    </w:p>
    <w:p>
      <w:pPr>
        <w:pStyle w:val="ListBullet"/>
        <w:spacing w:before="0" w:after="20"/>
      </w:pPr>
      <w:r>
        <w:rPr>
          <w:rFonts w:ascii="Arial" w:hAnsi="Arial" w:eastAsia="Arial"/>
          <w:b w:val="0"/>
          <w:i w:val="0"/>
          <w:sz w:val="16"/>
        </w:rPr>
        <w:t>Artículo 30: Revista corregida Complexity (no Scientific Programming); verificar cuartil.</w:t>
      </w:r>
    </w:p>
    <w:p>
      <w:pPr>
        <w:pStyle w:val="ListBullet"/>
        <w:spacing w:before="0" w:after="20"/>
      </w:pPr>
      <w:r>
        <w:rPr>
          <w:rFonts w:ascii="Arial" w:hAnsi="Arial" w:eastAsia="Arial"/>
          <w:b w:val="0"/>
          <w:i w:val="0"/>
          <w:sz w:val="16"/>
        </w:rPr>
        <w:t>Artículo 37: Reemplazado Salgonde inexistente por Malgonde &amp; Chari (2019) ESE.</w:t>
      </w:r>
    </w:p>
    <w:p>
      <w:pPr>
        <w:pStyle w:val="ListBullet"/>
        <w:spacing w:before="0" w:after="20"/>
      </w:pPr>
      <w:r>
        <w:rPr>
          <w:rFonts w:ascii="Arial" w:hAnsi="Arial" w:eastAsia="Arial"/>
          <w:b w:val="0"/>
          <w:i w:val="0"/>
          <w:sz w:val="16"/>
        </w:rPr>
        <w:t>Artículo 23: Advertencia de reposicionamiento. Tabla reubicada al marco teórico; no presentar como evidencia directa del IRE.</w:t>
      </w:r>
    </w:p>
    <w:p>
      <w:pPr>
        <w:pStyle w:val="ListBullet"/>
        <w:spacing w:before="0" w:after="20"/>
      </w:pPr>
      <w:r>
        <w:rPr>
          <w:rFonts w:ascii="Arial" w:hAnsi="Arial" w:eastAsia="Arial"/>
          <w:b w:val="0"/>
          <w:i w:val="0"/>
          <w:sz w:val="16"/>
        </w:rPr>
        <w:t>Artículo 37: Advertencia de reubicación. No pertenece al estado del arte central; mover a Anexo de metodología de desarrollo.</w:t>
      </w:r>
    </w:p>
    <w:p>
      <w:pPr>
        <w:pStyle w:val="ListBullet"/>
        <w:spacing w:before="0" w:after="20"/>
      </w:pPr>
      <w:r>
        <w:rPr>
          <w:rFonts w:ascii="Arial" w:hAnsi="Arial" w:eastAsia="Arial"/>
          <w:b w:val="0"/>
          <w:i w:val="0"/>
          <w:sz w:val="16"/>
        </w:rPr>
        <w:t>Artículo 43: TABLA NUEVA obligatoria. Dai et al. (2024) — PLOS ONE Q1. Une e-commerce + IA + Big Data + pequeña empresa.</w:t>
      </w:r>
    </w:p>
    <w:p>
      <w:pPr>
        <w:pStyle w:val="ListBullet"/>
        <w:spacing w:before="0" w:after="20"/>
      </w:pPr>
      <w:r>
        <w:rPr>
          <w:rFonts w:ascii="Arial" w:hAnsi="Arial" w:eastAsia="Arial"/>
          <w:b w:val="0"/>
          <w:i w:val="0"/>
          <w:sz w:val="16"/>
        </w:rPr>
        <w:t>Todas las tablas incluyen evidencia funcional trazada al sistema implementado (web React, BFF, Supabase, ai-service, app Flutter).</w:t>
      </w:r>
    </w:p>
    <w:p>
      <w:pPr>
        <w:pStyle w:val="ListBullet"/>
        <w:spacing w:before="0" w:after="20"/>
      </w:pPr>
      <w:r>
        <w:rPr>
          <w:rFonts w:ascii="Arial" w:hAnsi="Arial" w:eastAsia="Arial"/>
          <w:b w:val="0"/>
          <w:i w:val="0"/>
          <w:sz w:val="16"/>
        </w:rPr>
        <w:t>Referencias arquitectónicas actualizadas: React + BFF Node + Supabase + ai-service FastAPI (Render), sin Firestore.</w:t>
      </w:r>
    </w:p>
    <w:p/>
    <w:p>
      <w:pPr>
        <w:spacing w:before="200" w:after="80"/>
        <w:shd w:fill="2E75B6" w:val="clear" w:color="auto"/>
      </w:pPr>
      <w:r>
        <w:rPr>
          <w:rFonts w:ascii="Arial" w:hAnsi="Arial" w:eastAsia="Arial"/>
          <w:b/>
          <w:i w:val="0"/>
          <w:color w:val="FFFFFF"/>
          <w:sz w:val="22"/>
        </w:rPr>
        <w:t>EJE 1 — COMERCIO ELECTRÓNICO, RETAIL DIGITAL Y TRANSFORMACIÓN COMERCIAL</w:t>
      </w:r>
    </w:p>
    <w:p>
      <w:pPr>
        <w:spacing w:before="160" w:after="20"/>
      </w:pPr>
      <w:r>
        <w:rPr>
          <w:rFonts w:ascii="Arial" w:hAnsi="Arial" w:eastAsia="Arial"/>
          <w:b/>
          <w:i w:val="0"/>
          <w:sz w:val="18"/>
        </w:rPr>
        <w:t xml:space="preserve">Artículo [01] — </w:t>
      </w:r>
      <w:r>
        <w:rPr>
          <w:rFonts w:ascii="Arial" w:hAnsi="Arial" w:eastAsia="Arial"/>
          <w:b/>
          <w:i/>
          <w:sz w:val="18"/>
        </w:rPr>
        <w:t>Digital transformation: A multidisciplinary reflection and research agenda</w:t>
      </w:r>
    </w:p>
    <w:p>
      <w:pPr>
        <w:spacing w:before="0" w:after="40"/>
      </w:pPr>
      <w:r>
        <w:rPr>
          <w:rFonts w:ascii="Arial" w:hAnsi="Arial" w:eastAsia="Arial"/>
          <w:b w:val="0"/>
          <w:i/>
          <w:sz w:val="16"/>
        </w:rPr>
        <w:t>Verhoef, P.C. et al. (2021) — Journal of Business Research · Q1 · JIF 10.97</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Transformación Digital Empresarial y Desempeño Organizacional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Aporta el marco teórico de la transformación digital empresarial que justifica la propuesta del sistema web en Calzatura Vilchez. Los indicadores de madurez digital, automatización de procesos y ROI tecnológico son métricas comparables con los resultados esperados del e-commerce propuesto (Variable Independiente — Digitalización comercial).</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Transformación Digital</w:t>
              <w:br/>
              <w:t>Empresarial</w:t>
            </w:r>
          </w:p>
        </w:tc>
        <w:tc>
          <w:tcPr>
            <w:tcW w:type="dxa" w:w="1267"/>
            <w:vMerge w:val="restart"/>
            <w:vAlign w:val="center"/>
            <w:shd w:fill="F4F9FD" w:val="clear" w:color="auto"/>
          </w:tcPr>
          <w:p>
            <w:pPr>
              <w:jc w:val="left"/>
            </w:pPr>
            <w:r/>
            <w:r>
              <w:rPr>
                <w:rFonts w:ascii="Arial" w:hAnsi="Arial" w:eastAsia="Arial"/>
                <w:b w:val="0"/>
                <w:i w:val="0"/>
                <w:sz w:val="11"/>
              </w:rPr>
              <w:t>Transformación Digital Empresarial: constructo independiente conceptualizado por Verhoef, P.C. et al. (2021).</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de literatura; Análisis bibliométrico (Scopus/WoS); Encuesta Likert 5 puntos a directivos; Análisis de regresión múltiple</w:t>
            </w:r>
          </w:p>
        </w:tc>
        <w:tc>
          <w:tcPr>
            <w:tcW w:type="dxa" w:w="1181"/>
            <w:vMerge w:val="restart"/>
            <w:vAlign w:val="center"/>
            <w:shd w:fill="D6E4F0" w:val="clear" w:color="auto"/>
          </w:tcPr>
          <w:p>
            <w:pPr>
              <w:jc w:val="center"/>
            </w:pPr>
            <w:r/>
            <w:r>
              <w:rPr>
                <w:rFonts w:ascii="Arial" w:hAnsi="Arial" w:eastAsia="Arial"/>
                <w:b/>
                <w:i w:val="0"/>
                <w:sz w:val="11"/>
              </w:rPr>
              <w:t>Estrategia digital</w:t>
            </w:r>
          </w:p>
        </w:tc>
        <w:tc>
          <w:tcPr>
            <w:tcW w:type="dxa" w:w="1944"/>
            <w:vAlign w:val="center"/>
            <w:shd w:fill="FFFFFF" w:val="clear" w:color="auto"/>
          </w:tcPr>
          <w:p>
            <w:pPr>
              <w:jc w:val="left"/>
            </w:pPr>
            <w:r/>
            <w:r>
              <w:rPr>
                <w:rFonts w:ascii="Arial" w:hAnsi="Arial" w:eastAsia="Arial"/>
                <w:b w:val="0"/>
                <w:i w:val="0"/>
                <w:sz w:val="11"/>
              </w:rPr>
              <w:t>Nivel de madurez digital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Inversión en TI (% del presupuesto total)</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plataformas digitales adoptadas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Modelo de negocio digital</w:t>
            </w:r>
          </w:p>
        </w:tc>
        <w:tc>
          <w:tcPr>
            <w:tcW w:type="dxa" w:w="1944"/>
            <w:vAlign w:val="center"/>
            <w:shd w:fill="FFFFFF" w:val="clear" w:color="auto"/>
          </w:tcPr>
          <w:p>
            <w:pPr>
              <w:jc w:val="left"/>
            </w:pPr>
            <w:r/>
            <w:r>
              <w:rPr>
                <w:rFonts w:ascii="Arial" w:hAnsi="Arial" w:eastAsia="Arial"/>
                <w:b w:val="0"/>
                <w:i w:val="0"/>
                <w:sz w:val="11"/>
              </w:rPr>
              <w:t>Canales digitales activos (n.°)</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Automatización de procesos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Integración de ecosistemas digitales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Orientación al cliente digital</w:t>
            </w:r>
          </w:p>
        </w:tc>
        <w:tc>
          <w:tcPr>
            <w:tcW w:type="dxa" w:w="1944"/>
            <w:vAlign w:val="center"/>
            <w:shd w:fill="FFFFFF" w:val="clear" w:color="auto"/>
          </w:tcPr>
          <w:p>
            <w:pPr>
              <w:jc w:val="left"/>
            </w:pPr>
            <w:r/>
            <w:r>
              <w:rPr>
                <w:rFonts w:ascii="Arial" w:hAnsi="Arial" w:eastAsia="Arial"/>
                <w:b w:val="0"/>
                <w:i w:val="0"/>
                <w:sz w:val="11"/>
              </w:rPr>
              <w:t>NPS digital (Net Promoter Score)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personalización de ofertas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Interacciones omnicanal (n.°/mes)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 ↳ Sistema: calzatura-vilchez (React) + calzatura-vilchez-mobile (Flutter) + bff/server.cjs</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w:t>
              <w:br/>
              <w:t>Organizacional</w:t>
            </w:r>
          </w:p>
        </w:tc>
        <w:tc>
          <w:tcPr>
            <w:tcW w:type="dxa" w:w="1267"/>
            <w:vMerge w:val="restart"/>
            <w:vAlign w:val="center"/>
            <w:shd w:fill="FFF9EE" w:val="clear" w:color="auto"/>
          </w:tcPr>
          <w:p>
            <w:pPr>
              <w:jc w:val="left"/>
            </w:pPr>
            <w:r/>
            <w:r>
              <w:rPr>
                <w:rFonts w:ascii="Arial" w:hAnsi="Arial" w:eastAsia="Arial"/>
                <w:b w:val="0"/>
                <w:i w:val="0"/>
                <w:sz w:val="11"/>
              </w:rPr>
              <w:t>Desempeño Organizacional: constructo dependiente/outcome del estudio Verhoef, P.C. et al. (2021).</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de literatura; Análisis bibliométrico (Scopus/WoS); Encuesta Likert 5 puntos a directivos; Análisis de regresión múltiple</w:t>
            </w:r>
          </w:p>
        </w:tc>
        <w:tc>
          <w:tcPr>
            <w:tcW w:type="dxa" w:w="1181"/>
            <w:vMerge w:val="restart"/>
            <w:vAlign w:val="center"/>
            <w:shd w:fill="FFF5CC" w:val="clear" w:color="auto"/>
          </w:tcPr>
          <w:p>
            <w:pPr>
              <w:jc w:val="center"/>
            </w:pPr>
            <w:r/>
            <w:r>
              <w:rPr>
                <w:rFonts w:ascii="Arial" w:hAnsi="Arial" w:eastAsia="Arial"/>
                <w:b/>
                <w:i w:val="0"/>
                <w:sz w:val="11"/>
              </w:rPr>
              <w:t>Eficiencia operativa</w:t>
            </w:r>
          </w:p>
        </w:tc>
        <w:tc>
          <w:tcPr>
            <w:tcW w:type="dxa" w:w="1944"/>
            <w:vAlign w:val="center"/>
            <w:shd w:fill="FFFFFF" w:val="clear" w:color="auto"/>
          </w:tcPr>
          <w:p>
            <w:pPr>
              <w:jc w:val="left"/>
            </w:pPr>
            <w:r/>
            <w:r>
              <w:rPr>
                <w:rFonts w:ascii="Arial" w:hAnsi="Arial" w:eastAsia="Arial"/>
                <w:b w:val="0"/>
                <w:i w:val="0"/>
                <w:sz w:val="11"/>
              </w:rPr>
              <w:t>Reducción de costos operativos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ciclo de pedido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tecnológico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Ventaja competitiva</w:t>
            </w:r>
          </w:p>
        </w:tc>
        <w:tc>
          <w:tcPr>
            <w:tcW w:type="dxa" w:w="1944"/>
            <w:vAlign w:val="center"/>
            <w:shd w:fill="FFFFFF" w:val="clear" w:color="auto"/>
          </w:tcPr>
          <w:p>
            <w:pPr>
              <w:jc w:val="left"/>
            </w:pPr>
            <w:r/>
            <w:r>
              <w:rPr>
                <w:rFonts w:ascii="Arial" w:hAnsi="Arial" w:eastAsia="Arial"/>
                <w:b w:val="0"/>
                <w:i w:val="0"/>
                <w:sz w:val="11"/>
              </w:rPr>
              <w:t>Cuota de mercado digital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innovaciones lanzadas/año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CSAT — Satisfacción del cliente (escala 1–10)</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de literatura; Análisis bibliométrico (Scopus/WoS); Encuesta Likert 5 puntos a directivos</w:t>
            </w:r>
          </w:p>
        </w:tc>
        <w:tc>
          <w:tcPr>
            <w:tcW w:type="dxa" w:w="1181"/>
            <w:vAlign w:val="center"/>
            <w:shd w:fill="FFFFFF" w:val="clear" w:color="auto"/>
          </w:tcPr>
          <w:p>
            <w:pPr>
              <w:jc w:val="left"/>
            </w:pPr>
            <w:r/>
            <w:r>
              <w:rPr>
                <w:rFonts w:ascii="Arial" w:hAnsi="Arial" w:eastAsia="Arial"/>
                <w:b w:val="0"/>
                <w:i w:val="0"/>
                <w:sz w:val="11"/>
              </w:rPr>
              <w:t>Análisis de regresión múltiple</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Aporta el marco teórico de la transformación digital empresarial que justifica la propuesta del sistema web en Calzatura Vilchez. Los indicadores de madurez digital, automatización de procesos y ROI tecnológico son métricas comparables con los resultados esperados del e-commerce propuesto (Variable Independiente — Digitalización comercial).</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Portal web React 19 (calzatura-vilchez) + app Flutter (calzatura-vilchez-mobile) con catálogo, carrito, checkout, panel admin/trabajador y BFF (bff/server.cjs) sobre Supabase PostgreSQL.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https://doi.org/10.1016/j.jbusres.2019.09.022</w:t>
      </w:r>
    </w:p>
    <w:p>
      <w:pPr>
        <w:spacing w:before="160" w:after="20"/>
      </w:pPr>
      <w:r>
        <w:rPr>
          <w:rFonts w:ascii="Arial" w:hAnsi="Arial" w:eastAsia="Arial"/>
          <w:b/>
          <w:i w:val="0"/>
          <w:sz w:val="18"/>
        </w:rPr>
        <w:t xml:space="preserve">Artículo [02] — </w:t>
      </w:r>
      <w:r>
        <w:rPr>
          <w:rFonts w:ascii="Arial" w:hAnsi="Arial" w:eastAsia="Arial"/>
          <w:b/>
          <w:i/>
          <w:sz w:val="18"/>
        </w:rPr>
        <w:t>COVID-19 Pandemic: Shifting Digital Transformation to a High-Speed Gear in SMEs</w:t>
      </w:r>
    </w:p>
    <w:p>
      <w:pPr>
        <w:spacing w:before="0" w:after="40"/>
      </w:pPr>
      <w:r>
        <w:rPr>
          <w:rFonts w:ascii="Arial" w:hAnsi="Arial" w:eastAsia="Arial"/>
          <w:b w:val="0"/>
          <w:i/>
          <w:sz w:val="16"/>
        </w:rPr>
        <w:t>Soto-Acosta, P. (2020) — Information Systems Management · Q1 · JIF 7.15</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Transformación Digital Acelerada por COVID-19 y Resiliencia y Desempeño de PYMEs en el contexto del estudio original.</w:t>
            </w:r>
          </w:p>
        </w:tc>
        <w:tc>
          <w:tcPr>
            <w:tcW w:type="dxa" w:w="1512"/>
            <w:vAlign w:val="center"/>
            <w:shd w:fill="F8F9FA" w:val="clear" w:color="auto"/>
          </w:tcPr>
          <w:p>
            <w:pPr>
              <w:jc w:val="left"/>
            </w:pPr>
            <w:r/>
            <w:r>
              <w:rPr>
                <w:rFonts w:ascii="Arial" w:hAnsi="Arial" w:eastAsia="Arial"/>
                <w:b w:val="0"/>
                <w:i w:val="0"/>
                <w:sz w:val="12"/>
              </w:rPr>
              <w:t>Mixto: entrevista + análisis documental</w:t>
            </w:r>
          </w:p>
        </w:tc>
        <w:tc>
          <w:tcPr>
            <w:tcW w:type="dxa" w:w="1512"/>
            <w:vAlign w:val="center"/>
            <w:shd w:fill="F8F9FA" w:val="clear" w:color="auto"/>
          </w:tcPr>
          <w:p>
            <w:pPr>
              <w:jc w:val="left"/>
            </w:pPr>
            <w:r/>
            <w:r>
              <w:rPr>
                <w:rFonts w:ascii="Arial" w:hAnsi="Arial" w:eastAsia="Arial"/>
                <w:b w:val="0"/>
                <w:i w:val="0"/>
                <w:sz w:val="12"/>
              </w:rPr>
              <w:t>PYMEs / contexto latinoamericano</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Sustenta la urgencia de digitalización acelerada en PYMEs, análoga a la situación de Calzatura Vilchez. Los indicadores de tasa de continuidad del negocio y crecimiento de ventas digitales son benchmarks directamente aplicables para medir el impacto del módulo de e-commerce propuesto (Variable Independiente — Digitalización de ventas en PYME).</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Transformación Digital</w:t>
              <w:br/>
              <w:t>Acelerada por COVID-19</w:t>
            </w:r>
          </w:p>
        </w:tc>
        <w:tc>
          <w:tcPr>
            <w:tcW w:type="dxa" w:w="1267"/>
            <w:vMerge w:val="restart"/>
            <w:vAlign w:val="center"/>
            <w:shd w:fill="F4F9FD" w:val="clear" w:color="auto"/>
          </w:tcPr>
          <w:p>
            <w:pPr>
              <w:jc w:val="left"/>
            </w:pPr>
            <w:r/>
            <w:r>
              <w:rPr>
                <w:rFonts w:ascii="Arial" w:hAnsi="Arial" w:eastAsia="Arial"/>
                <w:b w:val="0"/>
                <w:i w:val="0"/>
                <w:sz w:val="11"/>
              </w:rPr>
              <w:t>Transformación Digital Acelerada por COVID-19: constructo independiente conceptualizado por Soto-Acosta, P. (2020).</w:t>
            </w:r>
          </w:p>
        </w:tc>
        <w:tc>
          <w:tcPr>
            <w:tcW w:type="dxa" w:w="1267"/>
            <w:vMerge w:val="restart"/>
            <w:vAlign w:val="center"/>
            <w:shd w:fill="F4F9FD" w:val="clear" w:color="auto"/>
          </w:tcPr>
          <w:p>
            <w:pPr>
              <w:jc w:val="left"/>
            </w:pPr>
            <w:r/>
            <w:r>
              <w:rPr>
                <w:rFonts w:ascii="Arial" w:hAnsi="Arial" w:eastAsia="Arial"/>
                <w:b w:val="0"/>
                <w:i w:val="0"/>
                <w:sz w:val="11"/>
              </w:rPr>
              <w:t>Medición operativa: Análisis de caso longitudinal; Entrevistas semiestructuradas a gerentes de PYMEs; Revisión de literatura (Scopus, WoS); Análisis estadístico descriptivo</w:t>
            </w:r>
          </w:p>
        </w:tc>
        <w:tc>
          <w:tcPr>
            <w:tcW w:type="dxa" w:w="1181"/>
            <w:vMerge w:val="restart"/>
            <w:vAlign w:val="center"/>
            <w:shd w:fill="D6E4F0" w:val="clear" w:color="auto"/>
          </w:tcPr>
          <w:p>
            <w:pPr>
              <w:jc w:val="center"/>
            </w:pPr>
            <w:r/>
            <w:r>
              <w:rPr>
                <w:rFonts w:ascii="Arial" w:hAnsi="Arial" w:eastAsia="Arial"/>
                <w:b/>
                <w:i w:val="0"/>
                <w:sz w:val="11"/>
              </w:rPr>
              <w:t>Adopción tecnológica de emergencia</w:t>
            </w:r>
          </w:p>
        </w:tc>
        <w:tc>
          <w:tcPr>
            <w:tcW w:type="dxa" w:w="1944"/>
            <w:vAlign w:val="center"/>
            <w:shd w:fill="FFFFFF" w:val="clear" w:color="auto"/>
          </w:tcPr>
          <w:p>
            <w:pPr>
              <w:jc w:val="left"/>
            </w:pPr>
            <w:r/>
            <w:r>
              <w:rPr>
                <w:rFonts w:ascii="Arial" w:hAnsi="Arial" w:eastAsia="Arial"/>
                <w:b w:val="0"/>
                <w:i w:val="0"/>
                <w:sz w:val="11"/>
              </w:rPr>
              <w:t>Tiempo de adopción digital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 ↳ Sistema: pedidos (domains/pedidos) + ventasDiarias (domains/ventas) + Stripe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herramientas digitales adoptadas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 ↳ Sistema: pedidos (domains/pedidos) + ventasDiarias (domains/ventas) + Stripe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 de procesos digitalizados durante pandemia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 ↳ Sistema: pedidos (domains/pedidos) + ventasDiarias (domains/ventas) + Stripe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Reconfiguración del modelo de negocio</w:t>
            </w:r>
          </w:p>
        </w:tc>
        <w:tc>
          <w:tcPr>
            <w:tcW w:type="dxa" w:w="1944"/>
            <w:vAlign w:val="center"/>
            <w:shd w:fill="FFFFFF" w:val="clear" w:color="auto"/>
          </w:tcPr>
          <w:p>
            <w:pPr>
              <w:jc w:val="left"/>
            </w:pPr>
            <w:r/>
            <w:r>
              <w:rPr>
                <w:rFonts w:ascii="Arial" w:hAnsi="Arial" w:eastAsia="Arial"/>
                <w:b w:val="0"/>
                <w:i w:val="0"/>
                <w:sz w:val="11"/>
              </w:rPr>
              <w:t>Ventas en línea / ventas totales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 ↳ Sistema: pedidos (domains/pedidos) + ventasDiarias (domains/ventas) + Stripe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operaciones presenciales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 ↳ Sistema: pedidos (domains/pedidos) + ventasDiarias (domains/ventas) + Stripe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nuevos canales digitales habilitados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 ↳ Sistema: pedidos (domains/pedidos) + ventasDiarias (domains/ventas) + Stripe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Resiliencia y Desempeño</w:t>
              <w:br/>
              <w:t>de PYMEs</w:t>
            </w:r>
          </w:p>
        </w:tc>
        <w:tc>
          <w:tcPr>
            <w:tcW w:type="dxa" w:w="1267"/>
            <w:vMerge w:val="restart"/>
            <w:vAlign w:val="center"/>
            <w:shd w:fill="FFF9EE" w:val="clear" w:color="auto"/>
          </w:tcPr>
          <w:p>
            <w:pPr>
              <w:jc w:val="left"/>
            </w:pPr>
            <w:r/>
            <w:r>
              <w:rPr>
                <w:rFonts w:ascii="Arial" w:hAnsi="Arial" w:eastAsia="Arial"/>
                <w:b w:val="0"/>
                <w:i w:val="0"/>
                <w:sz w:val="11"/>
              </w:rPr>
              <w:t>Resiliencia y Desempeño de PYMEs: constructo dependiente/outcome del estudio Soto-Acosta, P. (2020).</w:t>
            </w:r>
          </w:p>
        </w:tc>
        <w:tc>
          <w:tcPr>
            <w:tcW w:type="dxa" w:w="1267"/>
            <w:vMerge w:val="restart"/>
            <w:vAlign w:val="center"/>
            <w:shd w:fill="FFF9EE" w:val="clear" w:color="auto"/>
          </w:tcPr>
          <w:p>
            <w:pPr>
              <w:jc w:val="left"/>
            </w:pPr>
            <w:r/>
            <w:r>
              <w:rPr>
                <w:rFonts w:ascii="Arial" w:hAnsi="Arial" w:eastAsia="Arial"/>
                <w:b w:val="0"/>
                <w:i w:val="0"/>
                <w:sz w:val="11"/>
              </w:rPr>
              <w:t>Medición operativa: Análisis de caso longitudinal; Entrevistas semiestructuradas a gerentes de PYMEs; Revisión de literatura (Scopus, WoS); Análisis estadístico descriptivo</w:t>
            </w:r>
          </w:p>
        </w:tc>
        <w:tc>
          <w:tcPr>
            <w:tcW w:type="dxa" w:w="1181"/>
            <w:vMerge w:val="restart"/>
            <w:vAlign w:val="center"/>
            <w:shd w:fill="FFF5CC" w:val="clear" w:color="auto"/>
          </w:tcPr>
          <w:p>
            <w:pPr>
              <w:jc w:val="center"/>
            </w:pPr>
            <w:r/>
            <w:r>
              <w:rPr>
                <w:rFonts w:ascii="Arial" w:hAnsi="Arial" w:eastAsia="Arial"/>
                <w:b/>
                <w:i w:val="0"/>
                <w:sz w:val="11"/>
              </w:rPr>
              <w:t>Continuidad operativa</w:t>
            </w:r>
          </w:p>
        </w:tc>
        <w:tc>
          <w:tcPr>
            <w:tcW w:type="dxa" w:w="1944"/>
            <w:vAlign w:val="center"/>
            <w:shd w:fill="FFFFFF" w:val="clear" w:color="auto"/>
          </w:tcPr>
          <w:p>
            <w:pPr>
              <w:jc w:val="left"/>
            </w:pPr>
            <w:r/>
            <w:r>
              <w:rPr>
                <w:rFonts w:ascii="Arial" w:hAnsi="Arial" w:eastAsia="Arial"/>
                <w:b w:val="0"/>
                <w:i w:val="0"/>
                <w:sz w:val="11"/>
              </w:rPr>
              <w:t>Tasa de continuidad del negocio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Ingresos mantenidos vs. período pre-crisis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Adaptación digital sostenida</w:t>
            </w:r>
          </w:p>
        </w:tc>
        <w:tc>
          <w:tcPr>
            <w:tcW w:type="dxa" w:w="1944"/>
            <w:vAlign w:val="center"/>
            <w:shd w:fill="FFFFFF" w:val="clear" w:color="auto"/>
          </w:tcPr>
          <w:p>
            <w:pPr>
              <w:jc w:val="left"/>
            </w:pPr>
            <w:r/>
            <w:r>
              <w:rPr>
                <w:rFonts w:ascii="Arial" w:hAnsi="Arial" w:eastAsia="Arial"/>
                <w:b w:val="0"/>
                <w:i w:val="0"/>
                <w:sz w:val="11"/>
              </w:rPr>
              <w:t>Crecimiento de ventas digitales post-pandemia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retención de clientes digitales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NPS post-pandemia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de caso longitudinal; Entrevistas semiestructuradas a gerentes de PYMEs; Revisión de literatura (Scopus, WoS)</w:t>
            </w:r>
          </w:p>
        </w:tc>
        <w:tc>
          <w:tcPr>
            <w:tcW w:type="dxa" w:w="1181"/>
            <w:vAlign w:val="center"/>
            <w:shd w:fill="FFFFFF" w:val="clear" w:color="auto"/>
          </w:tcPr>
          <w:p>
            <w:pPr>
              <w:jc w:val="left"/>
            </w:pPr>
            <w:r/>
            <w:r>
              <w:rPr>
                <w:rFonts w:ascii="Arial" w:hAnsi="Arial" w:eastAsia="Arial"/>
                <w:b w:val="0"/>
                <w:i w:val="0"/>
                <w:sz w:val="11"/>
              </w:rPr>
              <w:t>Análisis estadístico descriptivo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Sustenta la urgencia de digitalización acelerada en PYMEs, análoga a la situación de Calzatura Vilchez. Los indicadores de tasa de continuidad del negocio y crecimiento de ventas digitales son benchmarks directamente aplicables para medir el impacto del módulo de e-commerce propuesto (Variable Independiente — Digitalización de ventas en PYME).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Canal digital operativo: pedidos online (Stripe/contraentrega), ventas presenciales en ventasDiarias y continuidad comercial documentada en SRS-Calzatura-Vilchez.md.</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https://doi.org/10.1080/10580530.2020.1814461</w:t>
      </w:r>
    </w:p>
    <w:p>
      <w:pPr>
        <w:spacing w:before="160" w:after="20"/>
      </w:pPr>
      <w:r>
        <w:rPr>
          <w:rFonts w:ascii="Arial" w:hAnsi="Arial" w:eastAsia="Arial"/>
          <w:b/>
          <w:i w:val="0"/>
          <w:sz w:val="18"/>
        </w:rPr>
        <w:t xml:space="preserve">Artículo [03] — </w:t>
      </w:r>
      <w:r>
        <w:rPr>
          <w:rFonts w:ascii="Arial" w:hAnsi="Arial" w:eastAsia="Arial"/>
          <w:b/>
          <w:i/>
          <w:sz w:val="18"/>
        </w:rPr>
        <w:t>Digital Innovation Management: Reinventing Innovation Management Research in a Digital World</w:t>
      </w:r>
    </w:p>
    <w:p>
      <w:pPr>
        <w:spacing w:before="0" w:after="40"/>
      </w:pPr>
      <w:r>
        <w:rPr>
          <w:rFonts w:ascii="Arial" w:hAnsi="Arial" w:eastAsia="Arial"/>
          <w:b w:val="0"/>
          <w:i/>
          <w:sz w:val="16"/>
        </w:rPr>
        <w:t>Nambisan, S. et al. (2017) — MIS Quarterly · Q1 · JIF 12.50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Gestión de Innovación Digital y Desempeño Empresarial por Innovación en el contexto del estudio original.</w:t>
            </w:r>
          </w:p>
        </w:tc>
        <w:tc>
          <w:tcPr>
            <w:tcW w:type="dxa" w:w="1512"/>
            <w:vAlign w:val="center"/>
            <w:shd w:fill="F8F9FA" w:val="clear" w:color="auto"/>
          </w:tcPr>
          <w:p>
            <w:pPr>
              <w:jc w:val="left"/>
            </w:pPr>
            <w:r/>
            <w:r>
              <w:rPr>
                <w:rFonts w:ascii="Arial" w:hAnsi="Arial" w:eastAsia="Arial"/>
                <w:b w:val="0"/>
                <w:i w:val="0"/>
                <w:sz w:val="12"/>
              </w:rPr>
              <w:t>Estudio de casos múltiples</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Provee el marco conceptual de la innovación digital como proceso iterativo, respaldando la metodología ágil adoptada en el desarrollo del sistema. La velocidad de iteración y la tasa de adopción de innovación son indicadores de gestión del proyecto directamente aplicables al proceso de implementación propuesto (Variable Independiente — Marco metodológico del sistema).</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Gestión de Innovación</w:t>
              <w:br/>
              <w:t>Digital</w:t>
            </w:r>
          </w:p>
        </w:tc>
        <w:tc>
          <w:tcPr>
            <w:tcW w:type="dxa" w:w="1267"/>
            <w:vMerge w:val="restart"/>
            <w:vAlign w:val="center"/>
            <w:shd w:fill="F4F9FD" w:val="clear" w:color="auto"/>
          </w:tcPr>
          <w:p>
            <w:pPr>
              <w:jc w:val="left"/>
            </w:pPr>
            <w:r/>
            <w:r>
              <w:rPr>
                <w:rFonts w:ascii="Arial" w:hAnsi="Arial" w:eastAsia="Arial"/>
                <w:b w:val="0"/>
                <w:i w:val="0"/>
                <w:sz w:val="11"/>
              </w:rPr>
              <w:t>Gestión de Innovación Digital: constructo independiente conceptualizado por Nambisan, S. et al. (2017).</w:t>
            </w:r>
          </w:p>
        </w:tc>
        <w:tc>
          <w:tcPr>
            <w:tcW w:type="dxa" w:w="1267"/>
            <w:vMerge w:val="restart"/>
            <w:vAlign w:val="center"/>
            <w:shd w:fill="F4F9FD" w:val="clear" w:color="auto"/>
          </w:tcPr>
          <w:p>
            <w:pPr>
              <w:jc w:val="left"/>
            </w:pPr>
            <w:r/>
            <w:r>
              <w:rPr>
                <w:rFonts w:ascii="Arial" w:hAnsi="Arial" w:eastAsia="Arial"/>
                <w:b w:val="0"/>
                <w:i w:val="0"/>
                <w:sz w:val="11"/>
              </w:rPr>
              <w:t>Medición operativa: Revisión conceptual y marco integrador; Análisis de casos de empresas digitales globales; Revisión Scopus / IEEE Xplore / AIS; ↳ Sistema: GitHub Actions CI + Render deploy + docker-compose.yml</w:t>
            </w:r>
          </w:p>
        </w:tc>
        <w:tc>
          <w:tcPr>
            <w:tcW w:type="dxa" w:w="1181"/>
            <w:vMerge w:val="restart"/>
            <w:vAlign w:val="center"/>
            <w:shd w:fill="D6E4F0" w:val="clear" w:color="auto"/>
          </w:tcPr>
          <w:p>
            <w:pPr>
              <w:jc w:val="center"/>
            </w:pPr>
            <w:r/>
            <w:r>
              <w:rPr>
                <w:rFonts w:ascii="Arial" w:hAnsi="Arial" w:eastAsia="Arial"/>
                <w:b/>
                <w:i w:val="0"/>
                <w:sz w:val="11"/>
              </w:rPr>
              <w:t>Límites de la innovación digital</w:t>
            </w:r>
          </w:p>
        </w:tc>
        <w:tc>
          <w:tcPr>
            <w:tcW w:type="dxa" w:w="1944"/>
            <w:vAlign w:val="center"/>
            <w:shd w:fill="FFFFFF" w:val="clear" w:color="auto"/>
          </w:tcPr>
          <w:p>
            <w:pPr>
              <w:jc w:val="left"/>
            </w:pPr>
            <w:r/>
            <w:r>
              <w:rPr>
                <w:rFonts w:ascii="Arial" w:hAnsi="Arial" w:eastAsia="Arial"/>
                <w:b w:val="0"/>
                <w:i w:val="0"/>
                <w:sz w:val="11"/>
              </w:rPr>
              <w:t>N.° de actores en el ecosistema digital</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Grado de apertura de la plataforma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co-creación de valor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Procesos de innovación digital</w:t>
            </w:r>
          </w:p>
        </w:tc>
        <w:tc>
          <w:tcPr>
            <w:tcW w:type="dxa" w:w="1944"/>
            <w:vAlign w:val="center"/>
            <w:shd w:fill="FFFFFF" w:val="clear" w:color="auto"/>
          </w:tcPr>
          <w:p>
            <w:pPr>
              <w:jc w:val="left"/>
            </w:pPr>
            <w:r/>
            <w:r>
              <w:rPr>
                <w:rFonts w:ascii="Arial" w:hAnsi="Arial" w:eastAsia="Arial"/>
                <w:b w:val="0"/>
                <w:i w:val="0"/>
                <w:sz w:val="11"/>
              </w:rPr>
              <w:t>Velocidad de iteración (sprints/mes)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prototipos generados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lanzamiento al mercado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Resultados de la innovación</w:t>
            </w:r>
          </w:p>
        </w:tc>
        <w:tc>
          <w:tcPr>
            <w:tcW w:type="dxa" w:w="1944"/>
            <w:vAlign w:val="center"/>
            <w:shd w:fill="FFFFFF" w:val="clear" w:color="auto"/>
          </w:tcPr>
          <w:p>
            <w:pPr>
              <w:jc w:val="left"/>
            </w:pPr>
            <w:r/>
            <w:r>
              <w:rPr>
                <w:rFonts w:ascii="Arial" w:hAnsi="Arial" w:eastAsia="Arial"/>
                <w:b w:val="0"/>
                <w:i w:val="0"/>
                <w:sz w:val="11"/>
              </w:rPr>
              <w:t>N.° de nuevas funcionalidades entregadas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Adopción de innovación por usuarios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Valor generado por innovación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 Sistema: GitHub Actions CI + Render deploy + docker-compose.yml</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Empresarial</w:t>
              <w:br/>
              <w:t>por Innovación</w:t>
            </w:r>
          </w:p>
        </w:tc>
        <w:tc>
          <w:tcPr>
            <w:tcW w:type="dxa" w:w="1267"/>
            <w:vMerge w:val="restart"/>
            <w:vAlign w:val="center"/>
            <w:shd w:fill="FFF9EE" w:val="clear" w:color="auto"/>
          </w:tcPr>
          <w:p>
            <w:pPr>
              <w:jc w:val="left"/>
            </w:pPr>
            <w:r/>
            <w:r>
              <w:rPr>
                <w:rFonts w:ascii="Arial" w:hAnsi="Arial" w:eastAsia="Arial"/>
                <w:b w:val="0"/>
                <w:i w:val="0"/>
                <w:sz w:val="11"/>
              </w:rPr>
              <w:t>Desempeño Empresarial por Innovación: constructo dependiente/outcome del estudio Nambisan, S. et al. (2017).</w:t>
            </w:r>
          </w:p>
        </w:tc>
        <w:tc>
          <w:tcPr>
            <w:tcW w:type="dxa" w:w="1267"/>
            <w:vMerge w:val="restart"/>
            <w:vAlign w:val="center"/>
            <w:shd w:fill="FFF9EE" w:val="clear" w:color="auto"/>
          </w:tcPr>
          <w:p>
            <w:pPr>
              <w:jc w:val="left"/>
            </w:pPr>
            <w:r/>
            <w:r>
              <w:rPr>
                <w:rFonts w:ascii="Arial" w:hAnsi="Arial" w:eastAsia="Arial"/>
                <w:b w:val="0"/>
                <w:i w:val="0"/>
                <w:sz w:val="11"/>
              </w:rPr>
              <w:t>Medición operativa: Revisión conceptual y marco integrador; Análisis de casos de empresas digitales globales; Revisión Scopus / IEEE Xplore / AIS</w:t>
            </w:r>
          </w:p>
        </w:tc>
        <w:tc>
          <w:tcPr>
            <w:tcW w:type="dxa" w:w="1181"/>
            <w:vMerge w:val="restart"/>
            <w:vAlign w:val="center"/>
            <w:shd w:fill="FFF5CC" w:val="clear" w:color="auto"/>
          </w:tcPr>
          <w:p>
            <w:pPr>
              <w:jc w:val="center"/>
            </w:pPr>
            <w:r/>
            <w:r>
              <w:rPr>
                <w:rFonts w:ascii="Arial" w:hAnsi="Arial" w:eastAsia="Arial"/>
                <w:b/>
                <w:i w:val="0"/>
                <w:sz w:val="11"/>
              </w:rPr>
              <w:t>Competitividad</w:t>
            </w:r>
          </w:p>
        </w:tc>
        <w:tc>
          <w:tcPr>
            <w:tcW w:type="dxa" w:w="1944"/>
            <w:vAlign w:val="center"/>
            <w:shd w:fill="FFFFFF" w:val="clear" w:color="auto"/>
          </w:tcPr>
          <w:p>
            <w:pPr>
              <w:jc w:val="left"/>
            </w:pPr>
            <w:r/>
            <w:r>
              <w:rPr>
                <w:rFonts w:ascii="Arial" w:hAnsi="Arial" w:eastAsia="Arial"/>
                <w:b w:val="0"/>
                <w:i w:val="0"/>
                <w:sz w:val="11"/>
              </w:rPr>
              <w:t>Posición relativa en el mercado (ranking sectorial)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Revisión Scopus / IEEE Xplore / AIS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innovaciones lanzadas/año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Revisión Scopus / IEEE Xplore / AIS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Sostenibilidad de la innovación</w:t>
            </w:r>
          </w:p>
        </w:tc>
        <w:tc>
          <w:tcPr>
            <w:tcW w:type="dxa" w:w="1944"/>
            <w:vAlign w:val="center"/>
            <w:shd w:fill="FFFFFF" w:val="clear" w:color="auto"/>
          </w:tcPr>
          <w:p>
            <w:pPr>
              <w:jc w:val="left"/>
            </w:pPr>
            <w:r/>
            <w:r>
              <w:rPr>
                <w:rFonts w:ascii="Arial" w:hAnsi="Arial" w:eastAsia="Arial"/>
                <w:b w:val="0"/>
                <w:i w:val="0"/>
                <w:sz w:val="11"/>
              </w:rPr>
              <w:t>Tasa de retención de innovaciones activas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Revisión Scopus / IEEE Xplore / AIS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Inversión en I+D como % de ingresos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marco integrador; Análisis de casos de empresas digitales globales; Revisión Scopus / IEEE Xplore / AIS</w:t>
            </w:r>
          </w:p>
        </w:tc>
        <w:tc>
          <w:tcPr>
            <w:tcW w:type="dxa" w:w="1181"/>
            <w:vAlign w:val="center"/>
            <w:shd w:fill="FFFFFF" w:val="clear" w:color="auto"/>
          </w:tcPr>
          <w:p>
            <w:pPr>
              <w:jc w:val="left"/>
            </w:pPr>
            <w:r/>
            <w:r>
              <w:rPr>
                <w:rFonts w:ascii="Arial" w:hAnsi="Arial" w:eastAsia="Arial"/>
                <w:b w:val="0"/>
                <w:i w:val="0"/>
                <w:sz w:val="11"/>
              </w:rPr>
              <w:t>Revisión Scopus / IEEE Xplore / AIS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Provee el marco conceptual de la innovación digital como proceso iterativo, respaldando la metodología ágil adoptada en el desarrollo del sistema. La velocidad de iteración y la tasa de adopción de innovación son indicadores de gestión del proyecto directamente aplicables al proceso de implementación propuesto (Variable Independiente — Marco metodológico del sistema).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Desarrollo iterativo con CI (GitHub Actions), despliegue en Render (BFF + ai-service) y releases móviles APK; adopción medible por módulos activos en producción.</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https://doi.org/10.25300/misq/2017/41:1.03</w:t>
      </w:r>
    </w:p>
    <w:p>
      <w:pPr>
        <w:spacing w:before="160" w:after="20"/>
      </w:pPr>
      <w:r>
        <w:rPr>
          <w:rFonts w:ascii="Arial" w:hAnsi="Arial" w:eastAsia="Arial"/>
          <w:b/>
          <w:i w:val="0"/>
          <w:sz w:val="18"/>
        </w:rPr>
        <w:t xml:space="preserve">Artículo [04] — </w:t>
      </w:r>
      <w:r>
        <w:rPr>
          <w:rFonts w:ascii="Arial" w:hAnsi="Arial" w:eastAsia="Arial"/>
          <w:b/>
          <w:i/>
          <w:sz w:val="18"/>
        </w:rPr>
        <w:t>The digital transformation of business models in the creative industries</w:t>
      </w:r>
    </w:p>
    <w:p>
      <w:pPr>
        <w:spacing w:before="0" w:after="40"/>
      </w:pPr>
      <w:r>
        <w:rPr>
          <w:rFonts w:ascii="Arial" w:hAnsi="Arial" w:eastAsia="Arial"/>
          <w:b w:val="0"/>
          <w:i/>
          <w:sz w:val="16"/>
        </w:rPr>
        <w:t>Li, F. (2020) — Technovation · Q1 · DOI: 10.1016/j.technovation.2017.12.004</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Transformación Digital del Modelo de Negocio y Valor Empresarial Creado y Capturado en el contexto del estudio original.</w:t>
            </w:r>
          </w:p>
        </w:tc>
        <w:tc>
          <w:tcPr>
            <w:tcW w:type="dxa" w:w="1512"/>
            <w:vAlign w:val="center"/>
            <w:shd w:fill="F8F9FA" w:val="clear" w:color="auto"/>
          </w:tcPr>
          <w:p>
            <w:pPr>
              <w:jc w:val="left"/>
            </w:pPr>
            <w:r/>
            <w:r>
              <w:rPr>
                <w:rFonts w:ascii="Arial" w:hAnsi="Arial" w:eastAsia="Arial"/>
                <w:b w:val="0"/>
                <w:i w:val="0"/>
                <w:sz w:val="12"/>
              </w:rPr>
              <w:t>Estudio de casos múltiples</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Justifica la transformación del modelo de negocio presencial de Calzatura Vilchez hacia un canal digital de e-commerce. Los indicadores de ingresos incrementales por digitalización y ROI del canal digital son métricas de impacto económico esperadas tras la implementación del sistema propuesto (Variable Independiente — Digitalización del modelo comercial).</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Transformación Digital del</w:t>
              <w:br/>
              <w:t>Modelo de Negocio</w:t>
            </w:r>
          </w:p>
        </w:tc>
        <w:tc>
          <w:tcPr>
            <w:tcW w:type="dxa" w:w="1267"/>
            <w:vMerge w:val="restart"/>
            <w:vAlign w:val="center"/>
            <w:shd w:fill="F4F9FD" w:val="clear" w:color="auto"/>
          </w:tcPr>
          <w:p>
            <w:pPr>
              <w:jc w:val="left"/>
            </w:pPr>
            <w:r/>
            <w:r>
              <w:rPr>
                <w:rFonts w:ascii="Arial" w:hAnsi="Arial" w:eastAsia="Arial"/>
                <w:b w:val="0"/>
                <w:i w:val="0"/>
                <w:sz w:val="11"/>
              </w:rPr>
              <w:t>Transformación Digital del Modelo de Negocio: constructo independiente conceptualizado por Li, F. (2020).</w:t>
            </w:r>
          </w:p>
        </w:tc>
        <w:tc>
          <w:tcPr>
            <w:tcW w:type="dxa" w:w="1267"/>
            <w:vMerge w:val="restart"/>
            <w:vAlign w:val="center"/>
            <w:shd w:fill="F4F9FD" w:val="clear" w:color="auto"/>
          </w:tcPr>
          <w:p>
            <w:pPr>
              <w:jc w:val="left"/>
            </w:pPr>
            <w:r/>
            <w:r>
              <w:rPr>
                <w:rFonts w:ascii="Arial" w:hAnsi="Arial" w:eastAsia="Arial"/>
                <w:b w:val="0"/>
                <w:i w:val="0"/>
                <w:sz w:val="11"/>
              </w:rPr>
              <w:t>Medición operativa: Estudio de casos múltiples (caso cruzado); Entrevistas a directivos (n=24); Marcos teóricos comparativos (Value Chain); Análisis temático inductivo</w:t>
            </w:r>
          </w:p>
        </w:tc>
        <w:tc>
          <w:tcPr>
            <w:tcW w:type="dxa" w:w="1181"/>
            <w:vMerge w:val="restart"/>
            <w:vAlign w:val="center"/>
            <w:shd w:fill="D6E4F0" w:val="clear" w:color="auto"/>
          </w:tcPr>
          <w:p>
            <w:pPr>
              <w:jc w:val="center"/>
            </w:pPr>
            <w:r/>
            <w:r>
              <w:rPr>
                <w:rFonts w:ascii="Arial" w:hAnsi="Arial" w:eastAsia="Arial"/>
                <w:b/>
                <w:i w:val="0"/>
                <w:sz w:val="11"/>
              </w:rPr>
              <w:t>Digitalización de productos y servicios</w:t>
            </w:r>
          </w:p>
        </w:tc>
        <w:tc>
          <w:tcPr>
            <w:tcW w:type="dxa" w:w="1944"/>
            <w:vAlign w:val="center"/>
            <w:shd w:fill="FFFFFF" w:val="clear" w:color="auto"/>
          </w:tcPr>
          <w:p>
            <w:pPr>
              <w:jc w:val="left"/>
            </w:pPr>
            <w:r/>
            <w:r>
              <w:rPr>
                <w:rFonts w:ascii="Arial" w:hAnsi="Arial" w:eastAsia="Arial"/>
                <w:b w:val="0"/>
                <w:i w:val="0"/>
                <w:sz w:val="11"/>
              </w:rPr>
              <w:t>% de oferta convertida a formato digital</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 ↳ Sistema: domains/productos + domains/público + checkout omnicanal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servicios digitalizados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 ↳ Sistema: domains/productos + domains/público + checkout omnicanal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Nuevos canales digitales creados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 ↳ Sistema: domains/productos + domains/público + checkout omnicanal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Plataformización del negocio</w:t>
            </w:r>
          </w:p>
        </w:tc>
        <w:tc>
          <w:tcPr>
            <w:tcW w:type="dxa" w:w="1944"/>
            <w:vAlign w:val="center"/>
            <w:shd w:fill="FFFFFF" w:val="clear" w:color="auto"/>
          </w:tcPr>
          <w:p>
            <w:pPr>
              <w:jc w:val="left"/>
            </w:pPr>
            <w:r/>
            <w:r>
              <w:rPr>
                <w:rFonts w:ascii="Arial" w:hAnsi="Arial" w:eastAsia="Arial"/>
                <w:b w:val="0"/>
                <w:i w:val="0"/>
                <w:sz w:val="11"/>
              </w:rPr>
              <w:t>N.° de socios integrados a la plataforma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 ↳ Sistema: domains/productos + domains/público + checkout omnicanal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Ingresos generados por plataforma (% del total)</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 ↳ Sistema: domains/productos + domains/público + checkout omnicanal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crecimiento de usuarios activos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 ↳ Sistema: domains/productos + domains/público + checkout omnicanal</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Valor Empresarial</w:t>
              <w:br/>
              <w:t>Creado y Capturado</w:t>
            </w:r>
          </w:p>
        </w:tc>
        <w:tc>
          <w:tcPr>
            <w:tcW w:type="dxa" w:w="1267"/>
            <w:vMerge w:val="restart"/>
            <w:vAlign w:val="center"/>
            <w:shd w:fill="FFF9EE" w:val="clear" w:color="auto"/>
          </w:tcPr>
          <w:p>
            <w:pPr>
              <w:jc w:val="left"/>
            </w:pPr>
            <w:r/>
            <w:r>
              <w:rPr>
                <w:rFonts w:ascii="Arial" w:hAnsi="Arial" w:eastAsia="Arial"/>
                <w:b w:val="0"/>
                <w:i w:val="0"/>
                <w:sz w:val="11"/>
              </w:rPr>
              <w:t>Valor Empresarial Creado y Capturado: constructo dependiente/outcome del estudio Li, F. (2020).</w:t>
            </w:r>
          </w:p>
        </w:tc>
        <w:tc>
          <w:tcPr>
            <w:tcW w:type="dxa" w:w="1267"/>
            <w:vMerge w:val="restart"/>
            <w:vAlign w:val="center"/>
            <w:shd w:fill="FFF9EE" w:val="clear" w:color="auto"/>
          </w:tcPr>
          <w:p>
            <w:pPr>
              <w:jc w:val="left"/>
            </w:pPr>
            <w:r/>
            <w:r>
              <w:rPr>
                <w:rFonts w:ascii="Arial" w:hAnsi="Arial" w:eastAsia="Arial"/>
                <w:b w:val="0"/>
                <w:i w:val="0"/>
                <w:sz w:val="11"/>
              </w:rPr>
              <w:t>Medición operativa: Estudio de casos múltiples (caso cruzado); Entrevistas a directivos (n=24); Marcos teóricos comparativos (Value Chain); Análisis temático inductivo</w:t>
            </w:r>
          </w:p>
        </w:tc>
        <w:tc>
          <w:tcPr>
            <w:tcW w:type="dxa" w:w="1181"/>
            <w:vMerge w:val="restart"/>
            <w:vAlign w:val="center"/>
            <w:shd w:fill="FFF5CC" w:val="clear" w:color="auto"/>
          </w:tcPr>
          <w:p>
            <w:pPr>
              <w:jc w:val="center"/>
            </w:pPr>
            <w:r/>
            <w:r>
              <w:rPr>
                <w:rFonts w:ascii="Arial" w:hAnsi="Arial" w:eastAsia="Arial"/>
                <w:b/>
                <w:i w:val="0"/>
                <w:sz w:val="11"/>
              </w:rPr>
              <w:t>Creación de valor</w:t>
            </w:r>
          </w:p>
        </w:tc>
        <w:tc>
          <w:tcPr>
            <w:tcW w:type="dxa" w:w="1944"/>
            <w:vAlign w:val="center"/>
            <w:shd w:fill="FFFFFF" w:val="clear" w:color="auto"/>
          </w:tcPr>
          <w:p>
            <w:pPr>
              <w:jc w:val="left"/>
            </w:pPr>
            <w:r/>
            <w:r>
              <w:rPr>
                <w:rFonts w:ascii="Arial" w:hAnsi="Arial" w:eastAsia="Arial"/>
                <w:b w:val="0"/>
                <w:i w:val="0"/>
                <w:sz w:val="11"/>
              </w:rPr>
              <w:t>Ingresos incrementales por digitalización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del modelo de negocio digital</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Captura de valor</w:t>
            </w:r>
          </w:p>
        </w:tc>
        <w:tc>
          <w:tcPr>
            <w:tcW w:type="dxa" w:w="1944"/>
            <w:vAlign w:val="center"/>
            <w:shd w:fill="FFFFFF" w:val="clear" w:color="auto"/>
          </w:tcPr>
          <w:p>
            <w:pPr>
              <w:jc w:val="left"/>
            </w:pPr>
            <w:r/>
            <w:r>
              <w:rPr>
                <w:rFonts w:ascii="Arial" w:hAnsi="Arial" w:eastAsia="Arial"/>
                <w:b w:val="0"/>
                <w:i w:val="0"/>
                <w:sz w:val="11"/>
              </w:rPr>
              <w:t>Margen neto del negocio digital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Cuota de mercado ganada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Estudio de casos múltiples (caso cruzado); Entrevistas a directivos (n=24); Marcos teóricos comparativos (Value Chain)</w:t>
            </w:r>
          </w:p>
        </w:tc>
        <w:tc>
          <w:tcPr>
            <w:tcW w:type="dxa" w:w="1181"/>
            <w:vAlign w:val="center"/>
            <w:shd w:fill="FFFFFF" w:val="clear" w:color="auto"/>
          </w:tcPr>
          <w:p>
            <w:pPr>
              <w:jc w:val="left"/>
            </w:pPr>
            <w:r/>
            <w:r>
              <w:rPr>
                <w:rFonts w:ascii="Arial" w:hAnsi="Arial" w:eastAsia="Arial"/>
                <w:b w:val="0"/>
                <w:i w:val="0"/>
                <w:sz w:val="11"/>
              </w:rPr>
              <w:t>Análisis temático inductivo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Justifica la transformación del modelo de negocio presencial de Calzatura Vilchez hacia un canal digital de e-commerce. Los indicadores de ingresos incrementales por digitalización y ROI del canal digital son métricas de impacto económico esperadas tras la implementación del sistema propuesto (Variable Independiente — Digitalización del modelo comercial).</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Transformación del modelo presencial a omnicanal: catálogo público (domains/productos), tiendas físicas (domains/público) y ventas integradas vía BFF.</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https://doi.org/10.1016/j.technovation.2017.12.004</w:t>
      </w:r>
    </w:p>
    <w:p>
      <w:pPr>
        <w:spacing w:before="160" w:after="20"/>
      </w:pPr>
      <w:r>
        <w:rPr>
          <w:rFonts w:ascii="Arial" w:hAnsi="Arial" w:eastAsia="Arial"/>
          <w:b/>
          <w:i w:val="0"/>
          <w:sz w:val="18"/>
        </w:rPr>
        <w:t xml:space="preserve">Artículo [05] — </w:t>
      </w:r>
      <w:r>
        <w:rPr>
          <w:rFonts w:ascii="Arial" w:hAnsi="Arial" w:eastAsia="Arial"/>
          <w:b/>
          <w:i/>
          <w:sz w:val="18"/>
        </w:rPr>
        <w:t>Why do small and medium enterprises use social media marketing and what is the impact</w:t>
      </w:r>
    </w:p>
    <w:p>
      <w:pPr>
        <w:spacing w:before="0" w:after="40"/>
      </w:pPr>
      <w:r>
        <w:rPr>
          <w:rFonts w:ascii="Arial" w:hAnsi="Arial" w:eastAsia="Arial"/>
          <w:b w:val="0"/>
          <w:i/>
          <w:sz w:val="16"/>
        </w:rPr>
        <w:t>Chatterjee, S. y Kumar Kar, A. (2020) — International Journal of Information Management · Q1 · DOI: 10.1016/j.ijinfomgt.2020.102103</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Adopción de Marketing Digital en PYMEs y Desempeño Empresarial de PYMEs en el contexto del estudio original.</w:t>
            </w:r>
          </w:p>
        </w:tc>
        <w:tc>
          <w:tcPr>
            <w:tcW w:type="dxa" w:w="1512"/>
            <w:vAlign w:val="center"/>
            <w:shd w:fill="F8F9FA" w:val="clear" w:color="auto"/>
          </w:tcPr>
          <w:p>
            <w:pPr>
              <w:jc w:val="left"/>
            </w:pPr>
            <w:r/>
            <w:r>
              <w:rPr>
                <w:rFonts w:ascii="Arial" w:hAnsi="Arial" w:eastAsia="Arial"/>
                <w:b w:val="0"/>
                <w:i w:val="0"/>
                <w:sz w:val="12"/>
              </w:rPr>
              <w:t>Encuesta cuantitativa</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Métricas reportadas: CRONBACH</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Valida empíricamente que la adopción de canales digitales en PYMEs genera crecimiento de ventas y captación de nuevos clientes, justificando el módulo de ventas en línea del sistema. Los indicadores de tasa de conversión digital y crecimiento de ventas son KPIs comparables con los resultados esperados del e-commerce de Calzatura Vilchez (Variable Independiente — Canal digital).</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Adopción de Marketing</w:t>
              <w:br/>
              <w:t>Digital en PYMEs</w:t>
            </w:r>
          </w:p>
        </w:tc>
        <w:tc>
          <w:tcPr>
            <w:tcW w:type="dxa" w:w="1267"/>
            <w:vMerge w:val="restart"/>
            <w:vAlign w:val="center"/>
            <w:shd w:fill="F4F9FD" w:val="clear" w:color="auto"/>
          </w:tcPr>
          <w:p>
            <w:pPr>
              <w:jc w:val="left"/>
            </w:pPr>
            <w:r/>
            <w:r>
              <w:rPr>
                <w:rFonts w:ascii="Arial" w:hAnsi="Arial" w:eastAsia="Arial"/>
                <w:b w:val="0"/>
                <w:i w:val="0"/>
                <w:sz w:val="11"/>
              </w:rPr>
              <w:t>Adopción de Marketing Digital en PYMEs: constructo independiente conceptualizado por Chatterjee, S. y Kumar Kar, A. (2020).</w:t>
            </w:r>
          </w:p>
        </w:tc>
        <w:tc>
          <w:tcPr>
            <w:tcW w:type="dxa" w:w="1267"/>
            <w:vMerge w:val="restart"/>
            <w:vAlign w:val="center"/>
            <w:shd w:fill="F4F9FD" w:val="clear" w:color="auto"/>
          </w:tcPr>
          <w:p>
            <w:pPr>
              <w:jc w:val="left"/>
            </w:pPr>
            <w:r/>
            <w:r>
              <w:rPr>
                <w:rFonts w:ascii="Arial" w:hAnsi="Arial" w:eastAsia="Arial"/>
                <w:b w:val="0"/>
                <w:i w:val="0"/>
                <w:sz w:val="11"/>
              </w:rPr>
              <w:t>Medición operativa: Encuesta cuantitativa (n=302, Likert 5); Modelado PLS-SEM (SmartPLS 3); Muestreo aleatorio estratificado; Análisis de confiabilidad (α Cronbach)</w:t>
            </w:r>
          </w:p>
        </w:tc>
        <w:tc>
          <w:tcPr>
            <w:tcW w:type="dxa" w:w="1181"/>
            <w:vMerge w:val="restart"/>
            <w:vAlign w:val="center"/>
            <w:shd w:fill="D6E4F0" w:val="clear" w:color="auto"/>
          </w:tcPr>
          <w:p>
            <w:pPr>
              <w:jc w:val="center"/>
            </w:pPr>
            <w:r/>
            <w:r>
              <w:rPr>
                <w:rFonts w:ascii="Arial" w:hAnsi="Arial" w:eastAsia="Arial"/>
                <w:b/>
                <w:i w:val="0"/>
                <w:sz w:val="11"/>
              </w:rPr>
              <w:t>Factores de adopción tecnológica</w:t>
            </w:r>
          </w:p>
        </w:tc>
        <w:tc>
          <w:tcPr>
            <w:tcW w:type="dxa" w:w="1944"/>
            <w:vAlign w:val="center"/>
            <w:shd w:fill="FFFFFF" w:val="clear" w:color="auto"/>
          </w:tcPr>
          <w:p>
            <w:pPr>
              <w:jc w:val="left"/>
            </w:pPr>
            <w:r/>
            <w:r>
              <w:rPr>
                <w:rFonts w:ascii="Arial" w:hAnsi="Arial" w:eastAsia="Arial"/>
                <w:b w:val="0"/>
                <w:i w:val="0"/>
                <w:sz w:val="11"/>
              </w:rPr>
              <w:t>Percepción de utilidad (Likert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 ↳ Sistema: panel ventas web/móvil (AdminSalesPage, StaffSalesPage)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Facilidad de uso percibida (Likert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 ↳ Sistema: panel ventas web/móvil (AdminSalesPage, StaffSalesPage)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Presión competitiva y social percibida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 ↳ Sistema: panel ventas web/móvil (AdminSalesPage, StaffSalesPage)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Intensidad de uso del canal digital</w:t>
            </w:r>
          </w:p>
        </w:tc>
        <w:tc>
          <w:tcPr>
            <w:tcW w:type="dxa" w:w="1944"/>
            <w:vAlign w:val="center"/>
            <w:shd w:fill="FFFFFF" w:val="clear" w:color="auto"/>
          </w:tcPr>
          <w:p>
            <w:pPr>
              <w:jc w:val="left"/>
            </w:pPr>
            <w:r/>
            <w:r>
              <w:rPr>
                <w:rFonts w:ascii="Arial" w:hAnsi="Arial" w:eastAsia="Arial"/>
                <w:b w:val="0"/>
                <w:i w:val="0"/>
                <w:sz w:val="11"/>
              </w:rPr>
              <w:t>Frecuencia de publicaciones (n.°/semana)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 ↳ Sistema: panel ventas web/móvil (AdminSalesPage, StaffSalesPage)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Presupuesto digital (% de ventas totales)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 ↳ Sistema: panel ventas web/móvil (AdminSalesPage, StaffSalesPage)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plataformas sociales activas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 ↳ Sistema: panel ventas web/móvil (AdminSalesPage, StaffSalesPage)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Empresarial</w:t>
              <w:br/>
              <w:t>de PYMEs</w:t>
            </w:r>
          </w:p>
        </w:tc>
        <w:tc>
          <w:tcPr>
            <w:tcW w:type="dxa" w:w="1267"/>
            <w:vMerge w:val="restart"/>
            <w:vAlign w:val="center"/>
            <w:shd w:fill="FFF9EE" w:val="clear" w:color="auto"/>
          </w:tcPr>
          <w:p>
            <w:pPr>
              <w:jc w:val="left"/>
            </w:pPr>
            <w:r/>
            <w:r>
              <w:rPr>
                <w:rFonts w:ascii="Arial" w:hAnsi="Arial" w:eastAsia="Arial"/>
                <w:b w:val="0"/>
                <w:i w:val="0"/>
                <w:sz w:val="11"/>
              </w:rPr>
              <w:t>Desempeño Empresarial de PYMEs: constructo dependiente/outcome del estudio Chatterjee, S. y Kumar Kar, A. (2020).</w:t>
            </w:r>
          </w:p>
        </w:tc>
        <w:tc>
          <w:tcPr>
            <w:tcW w:type="dxa" w:w="1267"/>
            <w:vMerge w:val="restart"/>
            <w:vAlign w:val="center"/>
            <w:shd w:fill="FFF9EE" w:val="clear" w:color="auto"/>
          </w:tcPr>
          <w:p>
            <w:pPr>
              <w:jc w:val="left"/>
            </w:pPr>
            <w:r/>
            <w:r>
              <w:rPr>
                <w:rFonts w:ascii="Arial" w:hAnsi="Arial" w:eastAsia="Arial"/>
                <w:b w:val="0"/>
                <w:i w:val="0"/>
                <w:sz w:val="11"/>
              </w:rPr>
              <w:t>Medición operativa: Encuesta cuantitativa (n=302, Likert 5); Modelado PLS-SEM (SmartPLS 3); Muestreo aleatorio estratificado; Análisis de confiabilidad (α Cronbach)</w:t>
            </w:r>
          </w:p>
        </w:tc>
        <w:tc>
          <w:tcPr>
            <w:tcW w:type="dxa" w:w="1181"/>
            <w:vMerge w:val="restart"/>
            <w:vAlign w:val="center"/>
            <w:shd w:fill="FFF5CC" w:val="clear" w:color="auto"/>
          </w:tcPr>
          <w:p>
            <w:pPr>
              <w:jc w:val="center"/>
            </w:pPr>
            <w:r/>
            <w:r>
              <w:rPr>
                <w:rFonts w:ascii="Arial" w:hAnsi="Arial" w:eastAsia="Arial"/>
                <w:b/>
                <w:i w:val="0"/>
                <w:sz w:val="11"/>
              </w:rPr>
              <w:t>Desempeño comercial</w:t>
            </w:r>
          </w:p>
        </w:tc>
        <w:tc>
          <w:tcPr>
            <w:tcW w:type="dxa" w:w="1944"/>
            <w:vAlign w:val="center"/>
            <w:shd w:fill="FFFFFF" w:val="clear" w:color="auto"/>
          </w:tcPr>
          <w:p>
            <w:pPr>
              <w:jc w:val="left"/>
            </w:pPr>
            <w:r/>
            <w:r>
              <w:rPr>
                <w:rFonts w:ascii="Arial" w:hAnsi="Arial" w:eastAsia="Arial"/>
                <w:b w:val="0"/>
                <w:i w:val="0"/>
                <w:sz w:val="11"/>
              </w:rPr>
              <w:t>Crecimiento de ventas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nuevos clientes captados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conversión digital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Reconocimiento y posicionamiento de marca</w:t>
            </w:r>
          </w:p>
        </w:tc>
        <w:tc>
          <w:tcPr>
            <w:tcW w:type="dxa" w:w="1944"/>
            <w:vAlign w:val="center"/>
            <w:shd w:fill="FFFFFF" w:val="clear" w:color="auto"/>
          </w:tcPr>
          <w:p>
            <w:pPr>
              <w:jc w:val="left"/>
            </w:pPr>
            <w:r/>
            <w:r>
              <w:rPr>
                <w:rFonts w:ascii="Arial" w:hAnsi="Arial" w:eastAsia="Arial"/>
                <w:b w:val="0"/>
                <w:i w:val="0"/>
                <w:sz w:val="11"/>
              </w:rPr>
              <w:t>N.° de seguidores/fans activos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Engagement rate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Alcance mensual de publicaciones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Encuesta cuantitativa (n=302, Likert 5); Modelado PLS-SEM (SmartPLS 3); Muestreo aleatorio estratificado</w:t>
            </w:r>
          </w:p>
        </w:tc>
        <w:tc>
          <w:tcPr>
            <w:tcW w:type="dxa" w:w="1181"/>
            <w:vAlign w:val="center"/>
            <w:shd w:fill="FFFFFF" w:val="clear" w:color="auto"/>
          </w:tcPr>
          <w:p>
            <w:pPr>
              <w:jc w:val="left"/>
            </w:pPr>
            <w:r/>
            <w:r>
              <w:rPr>
                <w:rFonts w:ascii="Arial" w:hAnsi="Arial" w:eastAsia="Arial"/>
                <w:b w:val="0"/>
                <w:i w:val="0"/>
                <w:sz w:val="11"/>
              </w:rPr>
              <w:t>Análisis de confiabilidad (α Cronbach)</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Valida empíricamente que la adopción de canales digitales en PYMEs genera crecimiento de ventas y captación de nuevos clientes, justificando el módulo de ventas en línea del sistema. Los indicadores de tasa de conversión digital y crecimiento de ventas son KPIs comparables con los resultados esperados del e-commerce de Calzatura Vilchez (Variable Independiente — Canal digital).</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Módulo de ventas web y móvil (AdminSalesPage/StaffSalesPage) con registro diario, documentos y devoluciones; conversión medible en pedidos y ventasDiarias.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https://doi.org/10.1016/j.ijinfomgt.2020.102103</w:t>
      </w:r>
    </w:p>
    <w:p>
      <w:pPr>
        <w:spacing w:before="160" w:after="20"/>
      </w:pPr>
      <w:r>
        <w:rPr>
          <w:rFonts w:ascii="Arial" w:hAnsi="Arial" w:eastAsia="Arial"/>
          <w:b/>
          <w:i w:val="0"/>
          <w:sz w:val="18"/>
        </w:rPr>
        <w:t xml:space="preserve">Artículo [06] — </w:t>
      </w:r>
      <w:r>
        <w:rPr>
          <w:rFonts w:ascii="Arial" w:hAnsi="Arial" w:eastAsia="Arial"/>
          <w:b/>
          <w:i/>
          <w:sz w:val="18"/>
        </w:rPr>
        <w:t>Digital marketing: A framework, review and research agenda</w:t>
      </w:r>
    </w:p>
    <w:p>
      <w:pPr>
        <w:spacing w:before="0" w:after="40"/>
      </w:pPr>
      <w:r>
        <w:rPr>
          <w:rFonts w:ascii="Arial" w:hAnsi="Arial" w:eastAsia="Arial"/>
          <w:b w:val="0"/>
          <w:i/>
          <w:sz w:val="16"/>
        </w:rPr>
        <w:t>Kannan, P.K. (2017) — International Journal of Research in Marketing · Q1 · JIF 7.20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Estrategia de Marketing Digital y Comportamiento del Consumidor Digital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Fundamenta la estrategia de marketing digital que acompañará al módulo de e-commerce del sistema. El CTR, la tasa de conversión y el LTV son métricas de evaluación del canal digital que pueden medirse en la plataforma propuesta; sirven como indicadores secundarios del desempeño comercial del sistema (Variable Independiente — Módulo comercial digital).</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Estrategia de Marketing</w:t>
              <w:br/>
              <w:t>Digital</w:t>
            </w:r>
          </w:p>
        </w:tc>
        <w:tc>
          <w:tcPr>
            <w:tcW w:type="dxa" w:w="1267"/>
            <w:vMerge w:val="restart"/>
            <w:vAlign w:val="center"/>
            <w:shd w:fill="F4F9FD" w:val="clear" w:color="auto"/>
          </w:tcPr>
          <w:p>
            <w:pPr>
              <w:jc w:val="left"/>
            </w:pPr>
            <w:r/>
            <w:r>
              <w:rPr>
                <w:rFonts w:ascii="Arial" w:hAnsi="Arial" w:eastAsia="Arial"/>
                <w:b w:val="0"/>
                <w:i w:val="0"/>
                <w:sz w:val="11"/>
              </w:rPr>
              <w:t>Estrategia de Marketing Digital: constructo independiente conceptualizado por Kannan, P.K. (2017).</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(meta-análisis); Marco conceptual integrador; Encuesta a consumidores online; Google Analytics / CRM (datos secundarios)</w:t>
            </w:r>
          </w:p>
        </w:tc>
        <w:tc>
          <w:tcPr>
            <w:tcW w:type="dxa" w:w="1181"/>
            <w:vMerge w:val="restart"/>
            <w:vAlign w:val="center"/>
            <w:shd w:fill="D6E4F0" w:val="clear" w:color="auto"/>
          </w:tcPr>
          <w:p>
            <w:pPr>
              <w:jc w:val="center"/>
            </w:pPr>
            <w:r/>
            <w:r>
              <w:rPr>
                <w:rFonts w:ascii="Arial" w:hAnsi="Arial" w:eastAsia="Arial"/>
                <w:b/>
                <w:i w:val="0"/>
                <w:sz w:val="11"/>
              </w:rPr>
              <w:t>Canales y medios digitales</w:t>
            </w:r>
          </w:p>
        </w:tc>
        <w:tc>
          <w:tcPr>
            <w:tcW w:type="dxa" w:w="1944"/>
            <w:vAlign w:val="center"/>
            <w:shd w:fill="FFFFFF" w:val="clear" w:color="auto"/>
          </w:tcPr>
          <w:p>
            <w:pPr>
              <w:jc w:val="left"/>
            </w:pPr>
            <w:r/>
            <w:r>
              <w:rPr>
                <w:rFonts w:ascii="Arial" w:hAnsi="Arial" w:eastAsia="Arial"/>
                <w:b w:val="0"/>
                <w:i w:val="0"/>
                <w:sz w:val="11"/>
              </w:rPr>
              <w:t>N.° de canales digitales activos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Costo por lead digital — CPL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Alcance mensual (impresiones)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Personalización y segmentación</w:t>
            </w:r>
          </w:p>
        </w:tc>
        <w:tc>
          <w:tcPr>
            <w:tcW w:type="dxa" w:w="1944"/>
            <w:vAlign w:val="center"/>
            <w:shd w:fill="FFFFFF" w:val="clear" w:color="auto"/>
          </w:tcPr>
          <w:p>
            <w:pPr>
              <w:jc w:val="left"/>
            </w:pPr>
            <w:r/>
            <w:r>
              <w:rPr>
                <w:rFonts w:ascii="Arial" w:hAnsi="Arial" w:eastAsia="Arial"/>
                <w:b w:val="0"/>
                <w:i w:val="0"/>
                <w:sz w:val="11"/>
              </w:rPr>
              <w:t>CTR — Click-through rate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apertura de emails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personalización de mensajes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Analítica de marketing</w:t>
            </w:r>
          </w:p>
        </w:tc>
        <w:tc>
          <w:tcPr>
            <w:tcW w:type="dxa" w:w="1944"/>
            <w:vAlign w:val="center"/>
            <w:shd w:fill="FFFFFF" w:val="clear" w:color="auto"/>
          </w:tcPr>
          <w:p>
            <w:pPr>
              <w:jc w:val="left"/>
            </w:pPr>
            <w:r/>
            <w:r>
              <w:rPr>
                <w:rFonts w:ascii="Arial" w:hAnsi="Arial" w:eastAsia="Arial"/>
                <w:b w:val="0"/>
                <w:i w:val="0"/>
                <w:sz w:val="11"/>
              </w:rPr>
              <w:t>ROI de campañas digitales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CAC — Costo de adquisición de cliente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LTV — Valor de vida del cliente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 ↳ Sistema: carrito (sessionStorage) + favoritos BFF + Google Analytics (opcional)</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Comportamiento del</w:t>
              <w:br/>
              <w:t>Consumidor Digital</w:t>
            </w:r>
          </w:p>
        </w:tc>
        <w:tc>
          <w:tcPr>
            <w:tcW w:type="dxa" w:w="1267"/>
            <w:vMerge w:val="restart"/>
            <w:vAlign w:val="center"/>
            <w:shd w:fill="FFF9EE" w:val="clear" w:color="auto"/>
          </w:tcPr>
          <w:p>
            <w:pPr>
              <w:jc w:val="left"/>
            </w:pPr>
            <w:r/>
            <w:r>
              <w:rPr>
                <w:rFonts w:ascii="Arial" w:hAnsi="Arial" w:eastAsia="Arial"/>
                <w:b w:val="0"/>
                <w:i w:val="0"/>
                <w:sz w:val="11"/>
              </w:rPr>
              <w:t>Comportamiento del Consumidor Digital: constructo dependiente/outcome del estudio Kannan, P.K. (2017).</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(meta-análisis); Marco conceptual integrador; Encuesta a consumidores online; Google Analytics / CRM (datos secundarios)</w:t>
            </w:r>
          </w:p>
        </w:tc>
        <w:tc>
          <w:tcPr>
            <w:tcW w:type="dxa" w:w="1181"/>
            <w:vMerge w:val="restart"/>
            <w:vAlign w:val="center"/>
            <w:shd w:fill="FFF5CC" w:val="clear" w:color="auto"/>
          </w:tcPr>
          <w:p>
            <w:pPr>
              <w:jc w:val="center"/>
            </w:pPr>
            <w:r/>
            <w:r>
              <w:rPr>
                <w:rFonts w:ascii="Arial" w:hAnsi="Arial" w:eastAsia="Arial"/>
                <w:b/>
                <w:i w:val="0"/>
                <w:sz w:val="11"/>
              </w:rPr>
              <w:t>Intención de compra</w:t>
            </w:r>
          </w:p>
        </w:tc>
        <w:tc>
          <w:tcPr>
            <w:tcW w:type="dxa" w:w="1944"/>
            <w:vAlign w:val="center"/>
            <w:shd w:fill="FFFFFF" w:val="clear" w:color="auto"/>
          </w:tcPr>
          <w:p>
            <w:pPr>
              <w:jc w:val="left"/>
            </w:pPr>
            <w:r/>
            <w:r>
              <w:rPr>
                <w:rFonts w:ascii="Arial" w:hAnsi="Arial" w:eastAsia="Arial"/>
                <w:b w:val="0"/>
                <w:i w:val="0"/>
                <w:sz w:val="11"/>
              </w:rPr>
              <w:t>Tasa de intención medida en encuesta (Likert)</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conversión real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Fidelización del cliente</w:t>
            </w:r>
          </w:p>
        </w:tc>
        <w:tc>
          <w:tcPr>
            <w:tcW w:type="dxa" w:w="1944"/>
            <w:vAlign w:val="center"/>
            <w:shd w:fill="FFFFFF" w:val="clear" w:color="auto"/>
          </w:tcPr>
          <w:p>
            <w:pPr>
              <w:jc w:val="left"/>
            </w:pPr>
            <w:r/>
            <w:r>
              <w:rPr>
                <w:rFonts w:ascii="Arial" w:hAnsi="Arial" w:eastAsia="Arial"/>
                <w:b w:val="0"/>
                <w:i w:val="0"/>
                <w:sz w:val="11"/>
              </w:rPr>
              <w:t>Tasa de retención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NPS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Frecuencia de recompra (veces/mes)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(meta-análisis); Marco conceptual integrador; Encuesta a consumidores online</w:t>
            </w:r>
          </w:p>
        </w:tc>
        <w:tc>
          <w:tcPr>
            <w:tcW w:type="dxa" w:w="1181"/>
            <w:vAlign w:val="center"/>
            <w:shd w:fill="FFFFFF" w:val="clear" w:color="auto"/>
          </w:tcPr>
          <w:p>
            <w:pPr>
              <w:jc w:val="left"/>
            </w:pPr>
            <w:r/>
            <w:r>
              <w:rPr>
                <w:rFonts w:ascii="Arial" w:hAnsi="Arial" w:eastAsia="Arial"/>
                <w:b w:val="0"/>
                <w:i w:val="0"/>
                <w:sz w:val="11"/>
              </w:rPr>
              <w:t>Google Analytics / CRM (datos secundarios)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Fundamenta la estrategia de marketing digital que acompañará al módulo de e-commerce del sistema. El CTR, la tasa de conversión y el LTV son métricas de evaluación del canal digital que pueden medirse en la plataforma propuesta; sirven como indicadores secundarios del desempeño comercial del sistema (Variable Independiente — Módulo comercial digital).</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Catálogo con filtros, favoritos (tabla favoritos vía BFF /favorites), carrito en sessionStorage y checkout; métricas de conversión extraíbles de pedidos pagados.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https://doi.org/10.1016/j.ijresmar.2016.11.006</w:t>
      </w:r>
    </w:p>
    <w:p>
      <w:pPr>
        <w:spacing w:before="160" w:after="20"/>
      </w:pPr>
      <w:r>
        <w:rPr>
          <w:rFonts w:ascii="Arial" w:hAnsi="Arial" w:eastAsia="Arial"/>
          <w:b/>
          <w:i w:val="0"/>
          <w:sz w:val="18"/>
        </w:rPr>
        <w:t xml:space="preserve">Artículo [07] — </w:t>
      </w:r>
      <w:r>
        <w:rPr>
          <w:rFonts w:ascii="Arial" w:hAnsi="Arial" w:eastAsia="Arial"/>
          <w:b/>
          <w:i/>
          <w:sz w:val="18"/>
        </w:rPr>
        <w:t>The impact of digital transformation on the retailing value chain</w:t>
      </w:r>
    </w:p>
    <w:p>
      <w:pPr>
        <w:spacing w:before="0" w:after="40"/>
      </w:pPr>
      <w:r>
        <w:rPr>
          <w:rFonts w:ascii="Arial" w:hAnsi="Arial" w:eastAsia="Arial"/>
          <w:b w:val="0"/>
          <w:i/>
          <w:sz w:val="16"/>
        </w:rPr>
        <w:t>Reinartz, W.; Wiegand, N. y Imschloss, M. (2019) — International Journal of Research in Marketing · Q1 · JIF 7.20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Transformación Digital en Retail y Cadena de Valor Minorista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Fundamenta directamente la digitalización de la cadena de valor minorista con énfasis en la integración omnicanal, gestión de pedidos y stock, análoga a la operación de Calzatura Vilchez. Los indicadores de rotación de inventario, tiempo de entrega y NPS del canal digital son KPIs del módulo e-commerce adaptables al IRE (Variable Independiente — Sistema web).</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Transformación Digital</w:t>
              <w:br/>
              <w:t>en Retail</w:t>
            </w:r>
          </w:p>
        </w:tc>
        <w:tc>
          <w:tcPr>
            <w:tcW w:type="dxa" w:w="1267"/>
            <w:vMerge w:val="restart"/>
            <w:vAlign w:val="center"/>
            <w:shd w:fill="F4F9FD" w:val="clear" w:color="auto"/>
          </w:tcPr>
          <w:p>
            <w:pPr>
              <w:jc w:val="left"/>
            </w:pPr>
            <w:r/>
            <w:r>
              <w:rPr>
                <w:rFonts w:ascii="Arial" w:hAnsi="Arial" w:eastAsia="Arial"/>
                <w:b w:val="0"/>
                <w:i w:val="0"/>
                <w:sz w:val="11"/>
              </w:rPr>
              <w:t>Transformación Digital en Retail: constructo independiente conceptualizado por Reinartz, W.; Wiegand, N. y Imschloss, M. (2019).</w:t>
            </w:r>
          </w:p>
        </w:tc>
        <w:tc>
          <w:tcPr>
            <w:tcW w:type="dxa" w:w="1267"/>
            <w:vMerge w:val="restart"/>
            <w:vAlign w:val="center"/>
            <w:shd w:fill="F4F9FD" w:val="clear" w:color="auto"/>
          </w:tcPr>
          <w:p>
            <w:pPr>
              <w:jc w:val="left"/>
            </w:pPr>
            <w:r/>
            <w:r>
              <w:rPr>
                <w:rFonts w:ascii="Arial" w:hAnsi="Arial" w:eastAsia="Arial"/>
                <w:b w:val="0"/>
                <w:i w:val="0"/>
                <w:sz w:val="11"/>
              </w:rPr>
              <w:t>Medición operativa: Análisis de cadena de valor (Porter adaptado); Revisión sistemática de literatura; Entrevistas a directivos de retail (n=18); Datos de POS y CRM (análisis cuantitativo)</w:t>
            </w:r>
          </w:p>
        </w:tc>
        <w:tc>
          <w:tcPr>
            <w:tcW w:type="dxa" w:w="1181"/>
            <w:vMerge w:val="restart"/>
            <w:vAlign w:val="center"/>
            <w:shd w:fill="D6E4F0" w:val="clear" w:color="auto"/>
          </w:tcPr>
          <w:p>
            <w:pPr>
              <w:jc w:val="center"/>
            </w:pPr>
            <w:r/>
            <w:r>
              <w:rPr>
                <w:rFonts w:ascii="Arial" w:hAnsi="Arial" w:eastAsia="Arial"/>
                <w:b/>
                <w:i w:val="0"/>
                <w:sz w:val="11"/>
              </w:rPr>
              <w:t>Digitalización de la cadena de valor</w:t>
            </w:r>
          </w:p>
        </w:tc>
        <w:tc>
          <w:tcPr>
            <w:tcW w:type="dxa" w:w="1944"/>
            <w:vAlign w:val="center"/>
            <w:shd w:fill="FFFFFF" w:val="clear" w:color="auto"/>
          </w:tcPr>
          <w:p>
            <w:pPr>
              <w:jc w:val="left"/>
            </w:pPr>
            <w:r/>
            <w:r>
              <w:rPr>
                <w:rFonts w:ascii="Arial" w:hAnsi="Arial" w:eastAsia="Arial"/>
                <w:b w:val="0"/>
                <w:i w:val="0"/>
                <w:sz w:val="11"/>
              </w:rPr>
              <w:t>% de procesos clave digitalizados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 ↳ Sistema: BFF REST + Supabase RLS + Stripe Cloud Functions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integraciones vía API activas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 ↳ Sistema: BFF REST + Supabase RLS + Stripe Cloud Functions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procesamiento de pedidos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 ↳ Sistema: BFF REST + Supabase RLS + Stripe Cloud Functions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Integración omnicanal</w:t>
            </w:r>
          </w:p>
        </w:tc>
        <w:tc>
          <w:tcPr>
            <w:tcW w:type="dxa" w:w="1944"/>
            <w:vAlign w:val="center"/>
            <w:shd w:fill="FFFFFF" w:val="clear" w:color="auto"/>
          </w:tcPr>
          <w:p>
            <w:pPr>
              <w:jc w:val="left"/>
            </w:pPr>
            <w:r/>
            <w:r>
              <w:rPr>
                <w:rFonts w:ascii="Arial" w:hAnsi="Arial" w:eastAsia="Arial"/>
                <w:b w:val="0"/>
                <w:i w:val="0"/>
                <w:sz w:val="11"/>
              </w:rPr>
              <w:t>N.° de canales integrados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 ↳ Sistema: BFF REST + Supabase RLS + Stripe Cloud Functions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Consistencia de experiencia entre canales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 ↳ Sistema: BFF REST + Supabase RLS + Stripe Cloud Functions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compra omnicanal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 ↳ Sistema: BFF REST + Supabase RLS + Stripe Cloud Functions</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Cadena de Valor</w:t>
              <w:br/>
              <w:t>Minorista</w:t>
            </w:r>
          </w:p>
        </w:tc>
        <w:tc>
          <w:tcPr>
            <w:tcW w:type="dxa" w:w="1267"/>
            <w:vMerge w:val="restart"/>
            <w:vAlign w:val="center"/>
            <w:shd w:fill="FFF9EE" w:val="clear" w:color="auto"/>
          </w:tcPr>
          <w:p>
            <w:pPr>
              <w:jc w:val="left"/>
            </w:pPr>
            <w:r/>
            <w:r>
              <w:rPr>
                <w:rFonts w:ascii="Arial" w:hAnsi="Arial" w:eastAsia="Arial"/>
                <w:b w:val="0"/>
                <w:i w:val="0"/>
                <w:sz w:val="11"/>
              </w:rPr>
              <w:t>Cadena de Valor Minorista: constructo dependiente/outcome del estudio Reinartz, W.; Wiegand, N. y Imschloss, M. (2019).</w:t>
            </w:r>
          </w:p>
        </w:tc>
        <w:tc>
          <w:tcPr>
            <w:tcW w:type="dxa" w:w="1267"/>
            <w:vMerge w:val="restart"/>
            <w:vAlign w:val="center"/>
            <w:shd w:fill="FFF9EE" w:val="clear" w:color="auto"/>
          </w:tcPr>
          <w:p>
            <w:pPr>
              <w:jc w:val="left"/>
            </w:pPr>
            <w:r/>
            <w:r>
              <w:rPr>
                <w:rFonts w:ascii="Arial" w:hAnsi="Arial" w:eastAsia="Arial"/>
                <w:b w:val="0"/>
                <w:i w:val="0"/>
                <w:sz w:val="11"/>
              </w:rPr>
              <w:t>Medición operativa: Análisis de cadena de valor (Porter adaptado); Revisión sistemática de literatura; Entrevistas a directivos de retail (n=18); Datos de POS y CRM (análisis cuantitativo)</w:t>
            </w:r>
          </w:p>
        </w:tc>
        <w:tc>
          <w:tcPr>
            <w:tcW w:type="dxa" w:w="1181"/>
            <w:vMerge w:val="restart"/>
            <w:vAlign w:val="center"/>
            <w:shd w:fill="FFF5CC" w:val="clear" w:color="auto"/>
          </w:tcPr>
          <w:p>
            <w:pPr>
              <w:jc w:val="center"/>
            </w:pPr>
            <w:r/>
            <w:r>
              <w:rPr>
                <w:rFonts w:ascii="Arial" w:hAnsi="Arial" w:eastAsia="Arial"/>
                <w:b/>
                <w:i w:val="0"/>
                <w:sz w:val="11"/>
              </w:rPr>
              <w:t>Eficiencia operacional</w:t>
            </w:r>
          </w:p>
        </w:tc>
        <w:tc>
          <w:tcPr>
            <w:tcW w:type="dxa" w:w="1944"/>
            <w:vAlign w:val="center"/>
            <w:shd w:fill="FFFFFF" w:val="clear" w:color="auto"/>
          </w:tcPr>
          <w:p>
            <w:pPr>
              <w:jc w:val="left"/>
            </w:pPr>
            <w:r/>
            <w:r>
              <w:rPr>
                <w:rFonts w:ascii="Arial" w:hAnsi="Arial" w:eastAsia="Arial"/>
                <w:b w:val="0"/>
                <w:i w:val="0"/>
                <w:sz w:val="11"/>
              </w:rPr>
              <w:t>Rotación de inventario (veces/año)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Costo de fulfillment por pedido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entrega al cliente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Satisfacción y lealtad del cliente</w:t>
            </w:r>
          </w:p>
        </w:tc>
        <w:tc>
          <w:tcPr>
            <w:tcW w:type="dxa" w:w="1944"/>
            <w:vAlign w:val="center"/>
            <w:shd w:fill="FFFFFF" w:val="clear" w:color="auto"/>
          </w:tcPr>
          <w:p>
            <w:pPr>
              <w:jc w:val="left"/>
            </w:pPr>
            <w:r/>
            <w:r>
              <w:rPr>
                <w:rFonts w:ascii="Arial" w:hAnsi="Arial" w:eastAsia="Arial"/>
                <w:b w:val="0"/>
                <w:i w:val="0"/>
                <w:sz w:val="11"/>
              </w:rPr>
              <w:t>CSAT (escala 1–10)</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devoluciones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NPS del canal digital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de cadena de valor (Porter adaptado); Revisión sistemática de literatura; Entrevistas a directivos de retail (n=18)</w:t>
            </w:r>
          </w:p>
        </w:tc>
        <w:tc>
          <w:tcPr>
            <w:tcW w:type="dxa" w:w="1181"/>
            <w:vAlign w:val="center"/>
            <w:shd w:fill="FFFFFF" w:val="clear" w:color="auto"/>
          </w:tcPr>
          <w:p>
            <w:pPr>
              <w:jc w:val="left"/>
            </w:pPr>
            <w:r/>
            <w:r>
              <w:rPr>
                <w:rFonts w:ascii="Arial" w:hAnsi="Arial" w:eastAsia="Arial"/>
                <w:b w:val="0"/>
                <w:i w:val="0"/>
                <w:sz w:val="11"/>
              </w:rPr>
              <w:t>Datos de POS y CRM (análisis cuantitativo)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Fundamenta directamente la digitalización de la cadena de valor minorista con énfasis en la integración omnicanal, gestión de pedidos y stock, análoga a la operación de Calzatura Vilchez. Los indicadores de rotación de inventario, tiempo de entrega y NPS del canal digital son KPIs del módulo e-commerce adaptables al IRE (Variable Independiente — Sistema web).</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Cadena de valor digitalizada: productos → stock por talla/color → pedidos → fulfillment; integración API REST entre frontend, BFF, Supabase y Stripe.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https://doi.org/10.1016/j.ijresmar.2018.12.002</w:t>
      </w:r>
    </w:p>
    <w:p>
      <w:pPr>
        <w:spacing w:before="160" w:after="20"/>
      </w:pPr>
      <w:r>
        <w:rPr>
          <w:rFonts w:ascii="Arial" w:hAnsi="Arial" w:eastAsia="Arial"/>
          <w:b/>
          <w:i w:val="0"/>
          <w:sz w:val="18"/>
        </w:rPr>
        <w:t xml:space="preserve">Artículo [08] — </w:t>
      </w:r>
      <w:r>
        <w:rPr>
          <w:rFonts w:ascii="Arial" w:hAnsi="Arial" w:eastAsia="Arial"/>
          <w:b/>
          <w:i/>
          <w:sz w:val="18"/>
        </w:rPr>
        <w:t>The digitalization of retailing: An exploratory framework</w:t>
      </w:r>
    </w:p>
    <w:p>
      <w:pPr>
        <w:spacing w:before="0" w:after="40"/>
      </w:pPr>
      <w:r>
        <w:rPr>
          <w:rFonts w:ascii="Arial" w:hAnsi="Arial" w:eastAsia="Arial"/>
          <w:b w:val="0"/>
          <w:i/>
          <w:sz w:val="16"/>
        </w:rPr>
        <w:t>Hagberg, J.; Sundstrom, M. y Egels-Zandén, N. (2016) — International Journal of Retail &amp; Distribution Management · Q1 · JIF 4.50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Digitalización del Retail y Modelo de Negocio Minorista Transformado en el contexto del estudio original.</w:t>
            </w:r>
          </w:p>
        </w:tc>
        <w:tc>
          <w:tcPr>
            <w:tcW w:type="dxa" w:w="1512"/>
            <w:vAlign w:val="center"/>
            <w:shd w:fill="F8F9FA" w:val="clear" w:color="auto"/>
          </w:tcPr>
          <w:p>
            <w:pPr>
              <w:jc w:val="left"/>
            </w:pPr>
            <w:r/>
            <w:r>
              <w:rPr>
                <w:rFonts w:ascii="Arial" w:hAnsi="Arial" w:eastAsia="Arial"/>
                <w:b w:val="0"/>
                <w:i w:val="0"/>
                <w:sz w:val="12"/>
              </w:rPr>
              <w:t>Estudio de casos múltiples</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Provee el modelo de digitalización del punto de venta minorista directamente aplicable al contexto de una empresa de calzado. El N.° de SKUs en canal online y la tasa de adopción de servicios digitales por clientes son indicadores del módulo de catálogo y ventas del sistema propuesto (Variable Independiente — E-commerce en retail de calzado).</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Digitalización del Retail</w:t>
            </w:r>
          </w:p>
        </w:tc>
        <w:tc>
          <w:tcPr>
            <w:tcW w:type="dxa" w:w="1267"/>
            <w:vMerge w:val="restart"/>
            <w:vAlign w:val="center"/>
            <w:shd w:fill="F4F9FD" w:val="clear" w:color="auto"/>
          </w:tcPr>
          <w:p>
            <w:pPr>
              <w:jc w:val="left"/>
            </w:pPr>
            <w:r/>
            <w:r>
              <w:rPr>
                <w:rFonts w:ascii="Arial" w:hAnsi="Arial" w:eastAsia="Arial"/>
                <w:b w:val="0"/>
                <w:i w:val="0"/>
                <w:sz w:val="11"/>
              </w:rPr>
              <w:t>Digitalización del Retail: constructo independiente conceptualizado por Hagberg, J.; Sundstrom, M. y Egels-Zandén, N. (2016).</w:t>
            </w:r>
          </w:p>
        </w:tc>
        <w:tc>
          <w:tcPr>
            <w:tcW w:type="dxa" w:w="1267"/>
            <w:vMerge w:val="restart"/>
            <w:vAlign w:val="center"/>
            <w:shd w:fill="F4F9FD" w:val="clear" w:color="auto"/>
          </w:tcPr>
          <w:p>
            <w:pPr>
              <w:jc w:val="left"/>
            </w:pPr>
            <w:r/>
            <w:r>
              <w:rPr>
                <w:rFonts w:ascii="Arial" w:hAnsi="Arial" w:eastAsia="Arial"/>
                <w:b w:val="0"/>
                <w:i w:val="0"/>
                <w:sz w:val="11"/>
              </w:rPr>
              <w:t>Medición operativa: Marco exploratorio conceptual; Análisis de tendencias tecnológicas (revisión de literatura); Estudio de casos de retail europeo; Entrevistas semiestructuradas a gerentes</w:t>
            </w:r>
          </w:p>
        </w:tc>
        <w:tc>
          <w:tcPr>
            <w:tcW w:type="dxa" w:w="1181"/>
            <w:vMerge w:val="restart"/>
            <w:vAlign w:val="center"/>
            <w:shd w:fill="D6E4F0" w:val="clear" w:color="auto"/>
          </w:tcPr>
          <w:p>
            <w:pPr>
              <w:jc w:val="center"/>
            </w:pPr>
            <w:r/>
            <w:r>
              <w:rPr>
                <w:rFonts w:ascii="Arial" w:hAnsi="Arial" w:eastAsia="Arial"/>
                <w:b/>
                <w:i w:val="0"/>
                <w:sz w:val="11"/>
              </w:rPr>
              <w:t>Adopción de tecnologías en el punto de venta</w:t>
            </w:r>
          </w:p>
        </w:tc>
        <w:tc>
          <w:tcPr>
            <w:tcW w:type="dxa" w:w="1944"/>
            <w:vAlign w:val="center"/>
            <w:shd w:fill="FFFFFF" w:val="clear" w:color="auto"/>
          </w:tcPr>
          <w:p>
            <w:pPr>
              <w:jc w:val="left"/>
            </w:pPr>
            <w:r/>
            <w:r>
              <w:rPr>
                <w:rFonts w:ascii="Arial" w:hAnsi="Arial" w:eastAsia="Arial"/>
                <w:b w:val="0"/>
                <w:i w:val="0"/>
                <w:sz w:val="11"/>
              </w:rPr>
              <w:t>N.° de tecnologías digitales adoptadas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 ↳ Sistema: catálogo productos + productoCodigos + panel ventas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Inversión en tecnología retail (% de ventas)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 ↳ Sistema: catálogo productos + productoCodigos + panel ventas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Nivel de madurez digital del punto de venta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 ↳ Sistema: catálogo productos + productoCodigos + panel ventas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Cambio en procesos y oferta retail</w:t>
            </w:r>
          </w:p>
        </w:tc>
        <w:tc>
          <w:tcPr>
            <w:tcW w:type="dxa" w:w="1944"/>
            <w:vAlign w:val="center"/>
            <w:shd w:fill="FFFFFF" w:val="clear" w:color="auto"/>
          </w:tcPr>
          <w:p>
            <w:pPr>
              <w:jc w:val="left"/>
            </w:pPr>
            <w:r/>
            <w:r>
              <w:rPr>
                <w:rFonts w:ascii="Arial" w:hAnsi="Arial" w:eastAsia="Arial"/>
                <w:b w:val="0"/>
                <w:i w:val="0"/>
                <w:sz w:val="11"/>
              </w:rPr>
              <w:t>% de procesos de caja automatizados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 ↳ Sistema: catálogo productos + productoCodigos + panel ventas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SKUs disponibles en canal online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 ↳ Sistema: catálogo productos + productoCodigos + panel ventas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servicios digitales nuevos ofrecidos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 ↳ Sistema: catálogo productos + productoCodigos + panel ventas</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Modelo de Negocio</w:t>
              <w:br/>
              <w:t>Minorista Transformado</w:t>
            </w:r>
          </w:p>
        </w:tc>
        <w:tc>
          <w:tcPr>
            <w:tcW w:type="dxa" w:w="1267"/>
            <w:vMerge w:val="restart"/>
            <w:vAlign w:val="center"/>
            <w:shd w:fill="FFF9EE" w:val="clear" w:color="auto"/>
          </w:tcPr>
          <w:p>
            <w:pPr>
              <w:jc w:val="left"/>
            </w:pPr>
            <w:r/>
            <w:r>
              <w:rPr>
                <w:rFonts w:ascii="Arial" w:hAnsi="Arial" w:eastAsia="Arial"/>
                <w:b w:val="0"/>
                <w:i w:val="0"/>
                <w:sz w:val="11"/>
              </w:rPr>
              <w:t>Modelo de Negocio Minorista Transformado: constructo dependiente/outcome del estudio Hagberg, J.; Sundstrom, M. y Egels-Zandén, N. (2016).</w:t>
            </w:r>
          </w:p>
        </w:tc>
        <w:tc>
          <w:tcPr>
            <w:tcW w:type="dxa" w:w="1267"/>
            <w:vMerge w:val="restart"/>
            <w:vAlign w:val="center"/>
            <w:shd w:fill="FFF9EE" w:val="clear" w:color="auto"/>
          </w:tcPr>
          <w:p>
            <w:pPr>
              <w:jc w:val="left"/>
            </w:pPr>
            <w:r/>
            <w:r>
              <w:rPr>
                <w:rFonts w:ascii="Arial" w:hAnsi="Arial" w:eastAsia="Arial"/>
                <w:b w:val="0"/>
                <w:i w:val="0"/>
                <w:sz w:val="11"/>
              </w:rPr>
              <w:t>Medición operativa: Marco exploratorio conceptual; Análisis de tendencias tecnológicas (revisión de literatura); Estudio de casos de retail europeo; Entrevistas semiestructuradas a gerentes</w:t>
            </w:r>
          </w:p>
        </w:tc>
        <w:tc>
          <w:tcPr>
            <w:tcW w:type="dxa" w:w="1181"/>
            <w:vMerge w:val="restart"/>
            <w:vAlign w:val="center"/>
            <w:shd w:fill="FFF5CC" w:val="clear" w:color="auto"/>
          </w:tcPr>
          <w:p>
            <w:pPr>
              <w:jc w:val="center"/>
            </w:pPr>
            <w:r/>
            <w:r>
              <w:rPr>
                <w:rFonts w:ascii="Arial" w:hAnsi="Arial" w:eastAsia="Arial"/>
                <w:b/>
                <w:i w:val="0"/>
                <w:sz w:val="11"/>
              </w:rPr>
              <w:t>Propuesta de valor digital</w:t>
            </w:r>
          </w:p>
        </w:tc>
        <w:tc>
          <w:tcPr>
            <w:tcW w:type="dxa" w:w="1944"/>
            <w:vAlign w:val="center"/>
            <w:shd w:fill="FFFFFF" w:val="clear" w:color="auto"/>
          </w:tcPr>
          <w:p>
            <w:pPr>
              <w:jc w:val="left"/>
            </w:pPr>
            <w:r/>
            <w:r>
              <w:rPr>
                <w:rFonts w:ascii="Arial" w:hAnsi="Arial" w:eastAsia="Arial"/>
                <w:b w:val="0"/>
                <w:i w:val="0"/>
                <w:sz w:val="11"/>
              </w:rPr>
              <w:t>Tasa de adopción de servicios digitales por clientes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Diferenciación percibida respecto a competidores (Likert)</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Experiencia del cliente en tienda</w:t>
            </w:r>
          </w:p>
        </w:tc>
        <w:tc>
          <w:tcPr>
            <w:tcW w:type="dxa" w:w="1944"/>
            <w:vAlign w:val="center"/>
            <w:shd w:fill="FFFFFF" w:val="clear" w:color="auto"/>
          </w:tcPr>
          <w:p>
            <w:pPr>
              <w:jc w:val="left"/>
            </w:pPr>
            <w:r/>
            <w:r>
              <w:rPr>
                <w:rFonts w:ascii="Arial" w:hAnsi="Arial" w:eastAsia="Arial"/>
                <w:b w:val="0"/>
                <w:i w:val="0"/>
                <w:sz w:val="11"/>
              </w:rPr>
              <w:t>Tiempo promedio de compra (minutos)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Satisfacción en punto de venta (CSAT)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conversión en tienda física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Marco exploratorio conceptual; Análisis de tendencias tecnológicas (revisión de literatura); Estudio de casos de retail europeo</w:t>
            </w:r>
          </w:p>
        </w:tc>
        <w:tc>
          <w:tcPr>
            <w:tcW w:type="dxa" w:w="1181"/>
            <w:vAlign w:val="center"/>
            <w:shd w:fill="FFFFFF" w:val="clear" w:color="auto"/>
          </w:tcPr>
          <w:p>
            <w:pPr>
              <w:jc w:val="left"/>
            </w:pPr>
            <w:r/>
            <w:r>
              <w:rPr>
                <w:rFonts w:ascii="Arial" w:hAnsi="Arial" w:eastAsia="Arial"/>
                <w:b w:val="0"/>
                <w:i w:val="0"/>
                <w:sz w:val="11"/>
              </w:rPr>
              <w:t>Entrevistas semiestructuradas a gerentes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Provee el modelo de digitalización del punto de venta minorista directamente aplicable al contexto de una empresa de calzado. El N.° de SKUs en canal online y la tasa de adopción de servicios digitales por clientes son indicadores del módulo de catálogo y ventas del sistema propuesto (Variable Independiente — E-commerce en retail de calzado).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SKUs publicados en canal online (tabla productos + productoCodigos); punto de venta digital con panel de ventas admin/staff y búsqueda por marca/código.</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https://doi.org/10.1108/ijrdm-09-2015-0140</w:t>
      </w:r>
    </w:p>
    <w:p>
      <w:pPr>
        <w:spacing w:before="200" w:after="80"/>
        <w:shd w:fill="2E75B6" w:val="clear" w:color="auto"/>
      </w:pPr>
      <w:r>
        <w:rPr>
          <w:rFonts w:ascii="Arial" w:hAnsi="Arial" w:eastAsia="Arial"/>
          <w:b/>
          <w:i w:val="0"/>
          <w:color w:val="FFFFFF"/>
          <w:sz w:val="22"/>
        </w:rPr>
        <w:t>EJE 2 — INTELIGENCIA ARTIFICIAL Y ANALÍTICA PARA TOMA DE DECISIONES</w:t>
      </w:r>
    </w:p>
    <w:p>
      <w:pPr>
        <w:spacing w:before="160" w:after="20"/>
      </w:pPr>
      <w:r>
        <w:rPr>
          <w:rFonts w:ascii="Arial" w:hAnsi="Arial" w:eastAsia="Arial"/>
          <w:b/>
          <w:i w:val="0"/>
          <w:sz w:val="18"/>
        </w:rPr>
        <w:t xml:space="preserve">Artículo [09] — </w:t>
      </w:r>
      <w:r>
        <w:rPr>
          <w:rFonts w:ascii="Arial" w:hAnsi="Arial" w:eastAsia="Arial"/>
          <w:b/>
          <w:i/>
          <w:sz w:val="18"/>
        </w:rPr>
        <w:t>Artificial intelligence for decision making in the era of Big Data</w:t>
      </w:r>
    </w:p>
    <w:p>
      <w:pPr>
        <w:spacing w:before="0" w:after="40"/>
      </w:pPr>
      <w:r>
        <w:rPr>
          <w:rFonts w:ascii="Arial" w:hAnsi="Arial" w:eastAsia="Arial"/>
          <w:b w:val="0"/>
          <w:i/>
          <w:sz w:val="16"/>
        </w:rPr>
        <w:t>Duan, Y.; Edwards, J.S. y Dwivedi, Y.K. (2019) — International Journal of Information Management · Q1 · DOI: 10.1016/j.ijinfomgt.2019.01.021</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IA para Toma de Decisiones con Big Data y Calidad de las Decisiones Empresariales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Establece el fundamento teórico del componente de IA para toma de decisiones en el sistema propuesto. Accuracy, Recall y F1-score son las métricas estándar de evaluación del módulo predictivo del IRE. El ROI de implementación de IA y la reducción del riesgo operativo son los KPIs de impacto gerencial del sistema en Calzatura Vilchez (Variable Dependiente — IRE)</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IA para Toma de</w:t>
              <w:br/>
              <w:t>Decisiones con Big Data</w:t>
            </w:r>
          </w:p>
        </w:tc>
        <w:tc>
          <w:tcPr>
            <w:tcW w:type="dxa" w:w="1267"/>
            <w:vMerge w:val="restart"/>
            <w:vAlign w:val="center"/>
            <w:shd w:fill="F4F9FD" w:val="clear" w:color="auto"/>
          </w:tcPr>
          <w:p>
            <w:pPr>
              <w:jc w:val="left"/>
            </w:pPr>
            <w:r/>
            <w:r>
              <w:rPr>
                <w:rFonts w:ascii="Arial" w:hAnsi="Arial" w:eastAsia="Arial"/>
                <w:b w:val="0"/>
                <w:i w:val="0"/>
                <w:sz w:val="11"/>
              </w:rPr>
              <w:t>IA para Toma de Decisiones con Big Data: constructo independiente conceptualizado por Duan, Y.; Edwards, J.S. y Dwivedi, Y.K. (2019).</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(PRISMA); Encuesta a tomadores de decisión; Benchmarking de algoritmos (Python/R); Análisis de tendencias (2010–2021)</w:t>
            </w:r>
          </w:p>
        </w:tc>
        <w:tc>
          <w:tcPr>
            <w:tcW w:type="dxa" w:w="1181"/>
            <w:vMerge w:val="restart"/>
            <w:vAlign w:val="center"/>
            <w:shd w:fill="D6E4F0" w:val="clear" w:color="auto"/>
          </w:tcPr>
          <w:p>
            <w:pPr>
              <w:jc w:val="center"/>
            </w:pPr>
            <w:r/>
            <w:r>
              <w:rPr>
                <w:rFonts w:ascii="Arial" w:hAnsi="Arial" w:eastAsia="Arial"/>
                <w:b/>
                <w:i w:val="0"/>
                <w:sz w:val="11"/>
              </w:rPr>
              <w:t>Capacidades de procesamiento de datos</w:t>
            </w:r>
          </w:p>
        </w:tc>
        <w:tc>
          <w:tcPr>
            <w:tcW w:type="dxa" w:w="1944"/>
            <w:vAlign w:val="center"/>
            <w:shd w:fill="FFFFFF" w:val="clear" w:color="auto"/>
          </w:tcPr>
          <w:p>
            <w:pPr>
              <w:jc w:val="left"/>
            </w:pPr>
            <w:r/>
            <w:r>
              <w:rPr>
                <w:rFonts w:ascii="Arial" w:hAnsi="Arial" w:eastAsia="Arial"/>
                <w:b w:val="0"/>
                <w:i w:val="0"/>
                <w:sz w:val="11"/>
              </w:rPr>
              <w:t>Volumen procesado (GB/día)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Velocidad de análisis (registros/segundo)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Variedad de fuentes de datos integradas (n.°)</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Algoritmos de IA aplicados</w:t>
            </w:r>
          </w:p>
        </w:tc>
        <w:tc>
          <w:tcPr>
            <w:tcW w:type="dxa" w:w="1944"/>
            <w:vAlign w:val="center"/>
            <w:shd w:fill="FFFFFF" w:val="clear" w:color="auto"/>
          </w:tcPr>
          <w:p>
            <w:pPr>
              <w:jc w:val="left"/>
            </w:pPr>
            <w:r/>
            <w:r>
              <w:rPr>
                <w:rFonts w:ascii="Arial" w:hAnsi="Arial" w:eastAsia="Arial"/>
                <w:b w:val="0"/>
                <w:i w:val="0"/>
                <w:sz w:val="11"/>
              </w:rPr>
              <w:t>Accuracy del modelo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Recall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F1-score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Integración empresarial de IA</w:t>
            </w:r>
          </w:p>
        </w:tc>
        <w:tc>
          <w:tcPr>
            <w:tcW w:type="dxa" w:w="1944"/>
            <w:vAlign w:val="center"/>
            <w:shd w:fill="FFFFFF" w:val="clear" w:color="auto"/>
          </w:tcPr>
          <w:p>
            <w:pPr>
              <w:jc w:val="left"/>
            </w:pPr>
            <w:r/>
            <w:r>
              <w:rPr>
                <w:rFonts w:ascii="Arial" w:hAnsi="Arial" w:eastAsia="Arial"/>
                <w:b w:val="0"/>
                <w:i w:val="0"/>
                <w:sz w:val="11"/>
              </w:rPr>
              <w:t>N.° de procesos asistidos por IA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adopción interna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 implementación de IA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 ↳ Sistema: ai-service/main.py — GET /api/predict/demand, /api/predict/combined</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Calidad de las Decisiones</w:t>
              <w:br/>
              <w:t>Empresariales</w:t>
            </w:r>
          </w:p>
        </w:tc>
        <w:tc>
          <w:tcPr>
            <w:tcW w:type="dxa" w:w="1267"/>
            <w:vMerge w:val="restart"/>
            <w:vAlign w:val="center"/>
            <w:shd w:fill="FFF9EE" w:val="clear" w:color="auto"/>
          </w:tcPr>
          <w:p>
            <w:pPr>
              <w:jc w:val="left"/>
            </w:pPr>
            <w:r/>
            <w:r>
              <w:rPr>
                <w:rFonts w:ascii="Arial" w:hAnsi="Arial" w:eastAsia="Arial"/>
                <w:b w:val="0"/>
                <w:i w:val="0"/>
                <w:sz w:val="11"/>
              </w:rPr>
              <w:t>Calidad de las Decisiones Empresariales: constructo dependiente/outcome del estudio Duan, Y.; Edwards, J.S. y Dwivedi, Y.K. (2019).</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(PRISMA); Encuesta a tomadores de decisión; Benchmarking de algoritmos (Python/R); Análisis de tendencias (2010–2021)</w:t>
            </w:r>
          </w:p>
        </w:tc>
        <w:tc>
          <w:tcPr>
            <w:tcW w:type="dxa" w:w="1181"/>
            <w:vMerge w:val="restart"/>
            <w:vAlign w:val="center"/>
            <w:shd w:fill="FFF5CC" w:val="clear" w:color="auto"/>
          </w:tcPr>
          <w:p>
            <w:pPr>
              <w:jc w:val="center"/>
            </w:pPr>
            <w:r/>
            <w:r>
              <w:rPr>
                <w:rFonts w:ascii="Arial" w:hAnsi="Arial" w:eastAsia="Arial"/>
                <w:b/>
                <w:i w:val="0"/>
                <w:sz w:val="11"/>
              </w:rPr>
              <w:t>Velocidad de decisión</w:t>
            </w:r>
          </w:p>
        </w:tc>
        <w:tc>
          <w:tcPr>
            <w:tcW w:type="dxa" w:w="1944"/>
            <w:vAlign w:val="center"/>
            <w:shd w:fill="FFFFFF" w:val="clear" w:color="auto"/>
          </w:tcPr>
          <w:p>
            <w:pPr>
              <w:jc w:val="left"/>
            </w:pPr>
            <w:r/>
            <w:r>
              <w:rPr>
                <w:rFonts w:ascii="Arial" w:hAnsi="Arial" w:eastAsia="Arial"/>
                <w:b w:val="0"/>
                <w:i w:val="0"/>
                <w:sz w:val="11"/>
              </w:rPr>
              <w:t>Tiempo de decisión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Ciclo análisis-acción reducido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Precisión decisional</w:t>
            </w:r>
          </w:p>
        </w:tc>
        <w:tc>
          <w:tcPr>
            <w:tcW w:type="dxa" w:w="1944"/>
            <w:vAlign w:val="center"/>
            <w:shd w:fill="FFFFFF" w:val="clear" w:color="auto"/>
          </w:tcPr>
          <w:p>
            <w:pPr>
              <w:jc w:val="left"/>
            </w:pPr>
            <w:r/>
            <w:r>
              <w:rPr>
                <w:rFonts w:ascii="Arial" w:hAnsi="Arial" w:eastAsia="Arial"/>
                <w:b w:val="0"/>
                <w:i w:val="0"/>
                <w:sz w:val="11"/>
              </w:rPr>
              <w:t>Tasa de error decisional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riesgo operativo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Ahorro por mejores decisiones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Encuesta a tomadores de decisión; Benchmarking de algoritmos (Python/R)</w:t>
            </w:r>
          </w:p>
        </w:tc>
        <w:tc>
          <w:tcPr>
            <w:tcW w:type="dxa" w:w="1181"/>
            <w:vAlign w:val="center"/>
            <w:shd w:fill="FFFFFF" w:val="clear" w:color="auto"/>
          </w:tcPr>
          <w:p>
            <w:pPr>
              <w:jc w:val="left"/>
            </w:pPr>
            <w:r/>
            <w:r>
              <w:rPr>
                <w:rFonts w:ascii="Arial" w:hAnsi="Arial" w:eastAsia="Arial"/>
                <w:b w:val="0"/>
                <w:i w:val="0"/>
                <w:sz w:val="11"/>
              </w:rPr>
              <w:t>Análisis de tendencias (2010–2021)</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Establece el fundamento teórico del componente de IA para toma de decisiones en el sistema propuesto. Accuracy, Recall y F1-score son las métricas estándar de evaluación del módulo predictivo del IRE. El ROI de implementación de IA y la reducción del riesgo operativo son los KPIs de impacto gerencial del sistema en Calzatura Vilchez (Variable Dependiente —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Servicio IA FastAPI (ai-service/main.py) con endpoints /api/predict/demand y /api/predict/combined; métricas MAE/accuracy en modelo_estado (Supabase).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https://doi.org/10.1016/j.ijinfomgt.2019.01.021</w:t>
      </w:r>
    </w:p>
    <w:p>
      <w:pPr>
        <w:spacing w:before="160" w:after="20"/>
      </w:pPr>
      <w:r>
        <w:rPr>
          <w:rFonts w:ascii="Arial" w:hAnsi="Arial" w:eastAsia="Arial"/>
          <w:b/>
          <w:i w:val="0"/>
          <w:sz w:val="18"/>
        </w:rPr>
        <w:t xml:space="preserve">Artículo [10] — </w:t>
      </w:r>
      <w:r>
        <w:rPr>
          <w:rFonts w:ascii="Arial" w:hAnsi="Arial" w:eastAsia="Arial"/>
          <w:b/>
          <w:i/>
          <w:sz w:val="18"/>
        </w:rPr>
        <w:t>How artificial intelligence will change the future of marketing</w:t>
      </w:r>
    </w:p>
    <w:p>
      <w:pPr>
        <w:spacing w:before="0" w:after="40"/>
      </w:pPr>
      <w:r>
        <w:rPr>
          <w:rFonts w:ascii="Arial" w:hAnsi="Arial" w:eastAsia="Arial"/>
          <w:b w:val="0"/>
          <w:i/>
          <w:sz w:val="16"/>
        </w:rPr>
        <w:t>Davenport, T. et al. (2020) — Journal of the Academy of Marketing Science · Q1 · JIF 18.53</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Inteligencia Artificial Aplicada al Marketing y Efectividad del Marketing Digital en el contexto del estudio original.</w:t>
            </w:r>
          </w:p>
        </w:tc>
        <w:tc>
          <w:tcPr>
            <w:tcW w:type="dxa" w:w="1512"/>
            <w:vAlign w:val="center"/>
            <w:shd w:fill="F8F9FA" w:val="clear" w:color="auto"/>
          </w:tcPr>
          <w:p>
            <w:pPr>
              <w:jc w:val="left"/>
            </w:pPr>
            <w:r/>
            <w:r>
              <w:rPr>
                <w:rFonts w:ascii="Arial" w:hAnsi="Arial" w:eastAsia="Arial"/>
                <w:b w:val="0"/>
                <w:i w:val="0"/>
                <w:sz w:val="12"/>
              </w:rPr>
              <w:t>Mixto: entrevista + análisis documental</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Justifica el uso de IA para personalización y automatización en el sistema de e-commerce propuesto. Las métricas de ROI de campañas con IA y tasa de conversión evalúan el impacto comercial del módulo IA como soporte a decisiones de ventas; complementa el análisis del subíndice de ingresos del IRE (Variable Independiente — Módulo IA comercial).</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Inteligencia Artificial</w:t>
              <w:br/>
              <w:t>Aplicada al Marketing</w:t>
            </w:r>
          </w:p>
        </w:tc>
        <w:tc>
          <w:tcPr>
            <w:tcW w:type="dxa" w:w="1267"/>
            <w:vMerge w:val="restart"/>
            <w:vAlign w:val="center"/>
            <w:shd w:fill="F4F9FD" w:val="clear" w:color="auto"/>
          </w:tcPr>
          <w:p>
            <w:pPr>
              <w:jc w:val="left"/>
            </w:pPr>
            <w:r/>
            <w:r>
              <w:rPr>
                <w:rFonts w:ascii="Arial" w:hAnsi="Arial" w:eastAsia="Arial"/>
                <w:b w:val="0"/>
                <w:i w:val="0"/>
                <w:sz w:val="11"/>
              </w:rPr>
              <w:t>Inteligencia Artificial Aplicada al Marketing: constructo independiente conceptualizado por Davenport, T. et al. (2020).</w:t>
            </w:r>
          </w:p>
        </w:tc>
        <w:tc>
          <w:tcPr>
            <w:tcW w:type="dxa" w:w="1267"/>
            <w:vMerge w:val="restart"/>
            <w:vAlign w:val="center"/>
            <w:shd w:fill="F4F9FD" w:val="clear" w:color="auto"/>
          </w:tcPr>
          <w:p>
            <w:pPr>
              <w:jc w:val="left"/>
            </w:pPr>
            <w:r/>
            <w:r>
              <w:rPr>
                <w:rFonts w:ascii="Arial" w:hAnsi="Arial" w:eastAsia="Arial"/>
                <w:b w:val="0"/>
                <w:i w:val="0"/>
                <w:sz w:val="11"/>
              </w:rPr>
              <w:t>Medición operativa: Revisión de literatura prospectiva; Análisis Delphi (rondas de expertos); Entrevistas a directores de marketing (n=12); Análisis de plataformas IA comerciales</w:t>
            </w:r>
          </w:p>
        </w:tc>
        <w:tc>
          <w:tcPr>
            <w:tcW w:type="dxa" w:w="1181"/>
            <w:vMerge w:val="restart"/>
            <w:vAlign w:val="center"/>
            <w:shd w:fill="D6E4F0" w:val="clear" w:color="auto"/>
          </w:tcPr>
          <w:p>
            <w:pPr>
              <w:jc w:val="center"/>
            </w:pPr>
            <w:r/>
            <w:r>
              <w:rPr>
                <w:rFonts w:ascii="Arial" w:hAnsi="Arial" w:eastAsia="Arial"/>
                <w:b/>
                <w:i w:val="0"/>
                <w:sz w:val="11"/>
              </w:rPr>
              <w:t>Personalización automática con IA</w:t>
            </w:r>
          </w:p>
        </w:tc>
        <w:tc>
          <w:tcPr>
            <w:tcW w:type="dxa" w:w="1944"/>
            <w:vAlign w:val="center"/>
            <w:shd w:fill="FFFFFF" w:val="clear" w:color="auto"/>
          </w:tcPr>
          <w:p>
            <w:pPr>
              <w:jc w:val="left"/>
            </w:pPr>
            <w:r/>
            <w:r>
              <w:rPr>
                <w:rFonts w:ascii="Arial" w:hAnsi="Arial" w:eastAsia="Arial"/>
                <w:b w:val="0"/>
                <w:i w:val="0"/>
                <w:sz w:val="11"/>
              </w:rPr>
              <w:t>Tasa de personalización de contenidos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 ↳ Sistema: panel ejecutivo admin + predicciones IA consumidas vía BFF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Relevancia de recomendaciones (CTR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 ↳ Sistema: panel ejecutivo admin + predicciones IA consumidas vía BFF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generación de recomendación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 ↳ Sistema: panel ejecutivo admin + predicciones IA consumidas vía BFF</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Automatización de procesos de marketing</w:t>
            </w:r>
          </w:p>
        </w:tc>
        <w:tc>
          <w:tcPr>
            <w:tcW w:type="dxa" w:w="1944"/>
            <w:vAlign w:val="center"/>
            <w:shd w:fill="FFFFFF" w:val="clear" w:color="auto"/>
          </w:tcPr>
          <w:p>
            <w:pPr>
              <w:jc w:val="left"/>
            </w:pPr>
            <w:r/>
            <w:r>
              <w:rPr>
                <w:rFonts w:ascii="Arial" w:hAnsi="Arial" w:eastAsia="Arial"/>
                <w:b w:val="0"/>
                <w:i w:val="0"/>
                <w:sz w:val="11"/>
              </w:rPr>
              <w:t>N.° de campañas automatizadas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 ↳ Sistema: panel ejecutivo admin + predicciones IA consumidas vía BFF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tiempo operativo de marketing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 ↳ Sistema: panel ejecutivo admin + predicciones IA consumidas vía BFF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 campañas basadas en IA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 ↳ Sistema: panel ejecutivo admin + predicciones IA consumidas vía BFF</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Efectividad del</w:t>
              <w:br/>
              <w:t>Marketing Digital</w:t>
            </w:r>
          </w:p>
        </w:tc>
        <w:tc>
          <w:tcPr>
            <w:tcW w:type="dxa" w:w="1267"/>
            <w:vMerge w:val="restart"/>
            <w:vAlign w:val="center"/>
            <w:shd w:fill="FFF9EE" w:val="clear" w:color="auto"/>
          </w:tcPr>
          <w:p>
            <w:pPr>
              <w:jc w:val="left"/>
            </w:pPr>
            <w:r/>
            <w:r>
              <w:rPr>
                <w:rFonts w:ascii="Arial" w:hAnsi="Arial" w:eastAsia="Arial"/>
                <w:b w:val="0"/>
                <w:i w:val="0"/>
                <w:sz w:val="11"/>
              </w:rPr>
              <w:t>Efectividad del Marketing Digital: constructo dependiente/outcome del estudio Davenport, T. et al. (2020).</w:t>
            </w:r>
          </w:p>
        </w:tc>
        <w:tc>
          <w:tcPr>
            <w:tcW w:type="dxa" w:w="1267"/>
            <w:vMerge w:val="restart"/>
            <w:vAlign w:val="center"/>
            <w:shd w:fill="FFF9EE" w:val="clear" w:color="auto"/>
          </w:tcPr>
          <w:p>
            <w:pPr>
              <w:jc w:val="left"/>
            </w:pPr>
            <w:r/>
            <w:r>
              <w:rPr>
                <w:rFonts w:ascii="Arial" w:hAnsi="Arial" w:eastAsia="Arial"/>
                <w:b w:val="0"/>
                <w:i w:val="0"/>
                <w:sz w:val="11"/>
              </w:rPr>
              <w:t>Medición operativa: Revisión de literatura prospectiva; Análisis Delphi (rondas de expertos); Entrevistas a directores de marketing (n=12); Análisis de plataformas IA comerciales</w:t>
            </w:r>
          </w:p>
        </w:tc>
        <w:tc>
          <w:tcPr>
            <w:tcW w:type="dxa" w:w="1181"/>
            <w:vMerge w:val="restart"/>
            <w:vAlign w:val="center"/>
            <w:shd w:fill="FFF5CC" w:val="clear" w:color="auto"/>
          </w:tcPr>
          <w:p>
            <w:pPr>
              <w:jc w:val="center"/>
            </w:pPr>
            <w:r/>
            <w:r>
              <w:rPr>
                <w:rFonts w:ascii="Arial" w:hAnsi="Arial" w:eastAsia="Arial"/>
                <w:b/>
                <w:i w:val="0"/>
                <w:sz w:val="11"/>
              </w:rPr>
              <w:t>Desempeño de campañas</w:t>
            </w:r>
          </w:p>
        </w:tc>
        <w:tc>
          <w:tcPr>
            <w:tcW w:type="dxa" w:w="1944"/>
            <w:vAlign w:val="center"/>
            <w:shd w:fill="FFFFFF" w:val="clear" w:color="auto"/>
          </w:tcPr>
          <w:p>
            <w:pPr>
              <w:jc w:val="left"/>
            </w:pPr>
            <w:r/>
            <w:r>
              <w:rPr>
                <w:rFonts w:ascii="Arial" w:hAnsi="Arial" w:eastAsia="Arial"/>
                <w:b w:val="0"/>
                <w:i w:val="0"/>
                <w:sz w:val="11"/>
              </w:rPr>
              <w:t>Tasa de conversión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CAC — Costo de adquisición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ROAS — Retorno en gasto publicitario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Experiencia y retención del cliente</w:t>
            </w:r>
          </w:p>
        </w:tc>
        <w:tc>
          <w:tcPr>
            <w:tcW w:type="dxa" w:w="1944"/>
            <w:vAlign w:val="center"/>
            <w:shd w:fill="FFFFFF" w:val="clear" w:color="auto"/>
          </w:tcPr>
          <w:p>
            <w:pPr>
              <w:jc w:val="left"/>
            </w:pPr>
            <w:r/>
            <w:r>
              <w:rPr>
                <w:rFonts w:ascii="Arial" w:hAnsi="Arial" w:eastAsia="Arial"/>
                <w:b w:val="0"/>
                <w:i w:val="0"/>
                <w:sz w:val="11"/>
              </w:rPr>
              <w:t>NPS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Satisfacción con recomendaciones (Likert)</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retención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prospectiva; Análisis Delphi (rondas de expertos); Entrevistas a directores de marketing (n=12)</w:t>
            </w:r>
          </w:p>
        </w:tc>
        <w:tc>
          <w:tcPr>
            <w:tcW w:type="dxa" w:w="1181"/>
            <w:vAlign w:val="center"/>
            <w:shd w:fill="FFFFFF" w:val="clear" w:color="auto"/>
          </w:tcPr>
          <w:p>
            <w:pPr>
              <w:jc w:val="left"/>
            </w:pPr>
            <w:r/>
            <w:r>
              <w:rPr>
                <w:rFonts w:ascii="Arial" w:hAnsi="Arial" w:eastAsia="Arial"/>
                <w:b w:val="0"/>
                <w:i w:val="0"/>
                <w:sz w:val="11"/>
              </w:rPr>
              <w:t>Análisis de plataformas IA comerciales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Justifica el uso de IA para personalización y automatización en el sistema de e-commerce propuesto. Las métricas de ROI de campañas con IA y tasa de conversión evalúan el impacto comercial del módulo IA como soporte a decisiones de ventas; complementa el análisis del subíndice de ingresos del IRE (Variable Independiente — Módulo IA comercial).</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Panel ejecutivo admin consume predicciones IA; recomendaciones de stock y demanda visibles en dashboard web (domains/administradores).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https://doi.org/10.1007/s11747-019-00696-0</w:t>
      </w:r>
    </w:p>
    <w:p>
      <w:pPr>
        <w:spacing w:before="160" w:after="20"/>
      </w:pPr>
      <w:r>
        <w:rPr>
          <w:rFonts w:ascii="Arial" w:hAnsi="Arial" w:eastAsia="Arial"/>
          <w:b/>
          <w:i w:val="0"/>
          <w:sz w:val="18"/>
        </w:rPr>
        <w:t xml:space="preserve">Artículo [11] — </w:t>
      </w:r>
      <w:r>
        <w:rPr>
          <w:rFonts w:ascii="Arial" w:hAnsi="Arial" w:eastAsia="Arial"/>
          <w:b/>
          <w:i/>
          <w:sz w:val="18"/>
        </w:rPr>
        <w:t>Organizational decision-making structures in the age of artificial intelligence</w:t>
      </w:r>
    </w:p>
    <w:p>
      <w:pPr>
        <w:spacing w:before="0" w:after="40"/>
      </w:pPr>
      <w:r>
        <w:rPr>
          <w:rFonts w:ascii="Arial" w:hAnsi="Arial" w:eastAsia="Arial"/>
          <w:b w:val="0"/>
          <w:i/>
          <w:sz w:val="16"/>
        </w:rPr>
        <w:t>Shrestha, Y.R.; Ben-Menahem, S.M. y von Krogh, G. (2019) — California Management Review · Q1 · DOI: 10.1177/0008125619862257</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Integración de IA en Estructuras de Decisión Organizacional y Desempeño Organizacional con IA en el contexto del estudio original.</w:t>
            </w:r>
          </w:p>
        </w:tc>
        <w:tc>
          <w:tcPr>
            <w:tcW w:type="dxa" w:w="1512"/>
            <w:vAlign w:val="center"/>
            <w:shd w:fill="F8F9FA" w:val="clear" w:color="auto"/>
          </w:tcPr>
          <w:p>
            <w:pPr>
              <w:jc w:val="left"/>
            </w:pPr>
            <w:r/>
            <w:r>
              <w:rPr>
                <w:rFonts w:ascii="Arial" w:hAnsi="Arial" w:eastAsia="Arial"/>
                <w:b w:val="0"/>
                <w:i w:val="0"/>
                <w:sz w:val="12"/>
              </w:rPr>
              <w:t>Estudio de casos múltiples</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 xml:space="preserve">ARTÍCULO NÚCLEO. Fundamenta la integración de IA como apoyo a las decisiones gerenciales operativas de Calzatura Vilchez. La reducción de riesgo operativo y el ahorro por mejores decisiones son KPIs directamente vinculados al impacto del IRE sobre la gestión empresarial. NOTA: La revista fue renombrada de 'Academy of Management Executive' a 'Academy of Management Perspectives' </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Integración de IA en</w:t>
              <w:br/>
              <w:t>Estructuras de Decisión</w:t>
              <w:br/>
              <w:t>Organizacional</w:t>
            </w:r>
          </w:p>
        </w:tc>
        <w:tc>
          <w:tcPr>
            <w:tcW w:type="dxa" w:w="1267"/>
            <w:vMerge w:val="restart"/>
            <w:vAlign w:val="center"/>
            <w:shd w:fill="F4F9FD" w:val="clear" w:color="auto"/>
          </w:tcPr>
          <w:p>
            <w:pPr>
              <w:jc w:val="left"/>
            </w:pPr>
            <w:r/>
            <w:r>
              <w:rPr>
                <w:rFonts w:ascii="Arial" w:hAnsi="Arial" w:eastAsia="Arial"/>
                <w:b w:val="0"/>
                <w:i w:val="0"/>
                <w:sz w:val="11"/>
              </w:rPr>
              <w:t>Integración de IA en Estructuras de Decisión Organizacional: constructo independiente conceptualizado por Shrestha, Y.R.; Ben-Menahem, S.M. y von Krogh, G. (2019).</w:t>
            </w:r>
          </w:p>
        </w:tc>
        <w:tc>
          <w:tcPr>
            <w:tcW w:type="dxa" w:w="1267"/>
            <w:vMerge w:val="restart"/>
            <w:vAlign w:val="center"/>
            <w:shd w:fill="F4F9FD" w:val="clear" w:color="auto"/>
          </w:tcPr>
          <w:p>
            <w:pPr>
              <w:jc w:val="left"/>
            </w:pPr>
            <w:r/>
            <w:r>
              <w:rPr>
                <w:rFonts w:ascii="Arial" w:hAnsi="Arial" w:eastAsia="Arial"/>
                <w:b w:val="0"/>
                <w:i w:val="0"/>
                <w:sz w:val="11"/>
              </w:rPr>
              <w:t>Medición operativa: Revisión conceptual y teórica; Análisis de casos de empresas con IA (n=9); Teoría fundamentada en datos; Entrevistas semiestructuradas a altos directivos</w:t>
            </w:r>
          </w:p>
        </w:tc>
        <w:tc>
          <w:tcPr>
            <w:tcW w:type="dxa" w:w="1181"/>
            <w:vMerge w:val="restart"/>
            <w:vAlign w:val="center"/>
            <w:shd w:fill="D6E4F0" w:val="clear" w:color="auto"/>
          </w:tcPr>
          <w:p>
            <w:pPr>
              <w:jc w:val="center"/>
            </w:pPr>
            <w:r/>
            <w:r>
              <w:rPr>
                <w:rFonts w:ascii="Arial" w:hAnsi="Arial" w:eastAsia="Arial"/>
                <w:b/>
                <w:i w:val="0"/>
                <w:sz w:val="11"/>
              </w:rPr>
              <w:t>Nivel de automatización decisional</w:t>
            </w:r>
          </w:p>
        </w:tc>
        <w:tc>
          <w:tcPr>
            <w:tcW w:type="dxa" w:w="1944"/>
            <w:vAlign w:val="center"/>
            <w:shd w:fill="FFFFFF" w:val="clear" w:color="auto"/>
          </w:tcPr>
          <w:p>
            <w:pPr>
              <w:jc w:val="left"/>
            </w:pPr>
            <w:r/>
            <w:r>
              <w:rPr>
                <w:rFonts w:ascii="Arial" w:hAnsi="Arial" w:eastAsia="Arial"/>
                <w:b w:val="0"/>
                <w:i w:val="0"/>
                <w:sz w:val="11"/>
              </w:rPr>
              <w:t>% de decisiones automatizadas en procesos clave</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 ↳ Sistema: models/risk.py — compute_ire(), niveles y dimensiones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Grado de autonomía de agentes IA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 ↳ Sistema: models/risk.py — compute_ire(), niveles y dimensiones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áreas funcionales con IA integrada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 ↳ Sistema: models/risk.py — compute_ire(), niveles y dimensiones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Rediseño organizacional para IA</w:t>
            </w:r>
          </w:p>
        </w:tc>
        <w:tc>
          <w:tcPr>
            <w:tcW w:type="dxa" w:w="1944"/>
            <w:vAlign w:val="center"/>
            <w:shd w:fill="FFFFFF" w:val="clear" w:color="auto"/>
          </w:tcPr>
          <w:p>
            <w:pPr>
              <w:jc w:val="left"/>
            </w:pPr>
            <w:r/>
            <w:r>
              <w:rPr>
                <w:rFonts w:ascii="Arial" w:hAnsi="Arial" w:eastAsia="Arial"/>
                <w:b w:val="0"/>
                <w:i w:val="0"/>
                <w:sz w:val="11"/>
              </w:rPr>
              <w:t>N.° de roles modificados por IA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 ↳ Sistema: models/risk.py — compute_ire(), niveles y dimensiones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capas jerárquicas de aprobación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 ↳ Sistema: models/risk.py — compute_ire(), niveles y dimensiones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promedio de aprobación reducido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 ↳ Sistema: models/risk.py — compute_ire(), niveles y dimensiones</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w:t>
              <w:br/>
              <w:t>Organizacional con IA</w:t>
            </w:r>
          </w:p>
        </w:tc>
        <w:tc>
          <w:tcPr>
            <w:tcW w:type="dxa" w:w="1267"/>
            <w:vMerge w:val="restart"/>
            <w:vAlign w:val="center"/>
            <w:shd w:fill="FFF9EE" w:val="clear" w:color="auto"/>
          </w:tcPr>
          <w:p>
            <w:pPr>
              <w:jc w:val="left"/>
            </w:pPr>
            <w:r/>
            <w:r>
              <w:rPr>
                <w:rFonts w:ascii="Arial" w:hAnsi="Arial" w:eastAsia="Arial"/>
                <w:b w:val="0"/>
                <w:i w:val="0"/>
                <w:sz w:val="11"/>
              </w:rPr>
              <w:t>Desempeño Organizacional con IA: constructo dependiente/outcome del estudio Shrestha, Y.R.; Ben-Menahem, S.M. y von Krogh, G. (2019).</w:t>
            </w:r>
          </w:p>
        </w:tc>
        <w:tc>
          <w:tcPr>
            <w:tcW w:type="dxa" w:w="1267"/>
            <w:vMerge w:val="restart"/>
            <w:vAlign w:val="center"/>
            <w:shd w:fill="FFF9EE" w:val="clear" w:color="auto"/>
          </w:tcPr>
          <w:p>
            <w:pPr>
              <w:jc w:val="left"/>
            </w:pPr>
            <w:r/>
            <w:r>
              <w:rPr>
                <w:rFonts w:ascii="Arial" w:hAnsi="Arial" w:eastAsia="Arial"/>
                <w:b w:val="0"/>
                <w:i w:val="0"/>
                <w:sz w:val="11"/>
              </w:rPr>
              <w:t>Medición operativa: Revisión conceptual y teórica; Análisis de casos de empresas con IA (n=9); Teoría fundamentada en datos; Entrevistas semiestructuradas a altos directivos</w:t>
            </w:r>
          </w:p>
        </w:tc>
        <w:tc>
          <w:tcPr>
            <w:tcW w:type="dxa" w:w="1181"/>
            <w:vMerge w:val="restart"/>
            <w:vAlign w:val="center"/>
            <w:shd w:fill="FFF5CC" w:val="clear" w:color="auto"/>
          </w:tcPr>
          <w:p>
            <w:pPr>
              <w:jc w:val="center"/>
            </w:pPr>
            <w:r/>
            <w:r>
              <w:rPr>
                <w:rFonts w:ascii="Arial" w:hAnsi="Arial" w:eastAsia="Arial"/>
                <w:b/>
                <w:i w:val="0"/>
                <w:sz w:val="11"/>
              </w:rPr>
              <w:t>Agilidad organizacional</w:t>
            </w:r>
          </w:p>
        </w:tc>
        <w:tc>
          <w:tcPr>
            <w:tcW w:type="dxa" w:w="1944"/>
            <w:vAlign w:val="center"/>
            <w:shd w:fill="FFFFFF" w:val="clear" w:color="auto"/>
          </w:tcPr>
          <w:p>
            <w:pPr>
              <w:jc w:val="left"/>
            </w:pPr>
            <w:r/>
            <w:r>
              <w:rPr>
                <w:rFonts w:ascii="Arial" w:hAnsi="Arial" w:eastAsia="Arial"/>
                <w:b w:val="0"/>
                <w:i w:val="0"/>
                <w:sz w:val="11"/>
              </w:rPr>
              <w:t>Tiempo de respuesta a cambios del mercado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adaptación a nuevas condiciones (encuesta)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Calidad de las decisiones</w:t>
            </w:r>
          </w:p>
        </w:tc>
        <w:tc>
          <w:tcPr>
            <w:tcW w:type="dxa" w:w="1944"/>
            <w:vAlign w:val="center"/>
            <w:shd w:fill="FFFFFF" w:val="clear" w:color="auto"/>
          </w:tcPr>
          <w:p>
            <w:pPr>
              <w:jc w:val="left"/>
            </w:pPr>
            <w:r/>
            <w:r>
              <w:rPr>
                <w:rFonts w:ascii="Arial" w:hAnsi="Arial" w:eastAsia="Arial"/>
                <w:b w:val="0"/>
                <w:i w:val="0"/>
                <w:sz w:val="11"/>
              </w:rPr>
              <w:t>Tasa de decisiones correctas evaluadas ex-post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sesgos cognitivos (escala Likert)</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conceptual y teórica; Análisis de casos de empresas con IA (n=9); Teoría fundamentada en datos</w:t>
            </w:r>
          </w:p>
        </w:tc>
        <w:tc>
          <w:tcPr>
            <w:tcW w:type="dxa" w:w="1181"/>
            <w:vAlign w:val="center"/>
            <w:shd w:fill="FFFFFF" w:val="clear" w:color="auto"/>
          </w:tcPr>
          <w:p>
            <w:pPr>
              <w:jc w:val="left"/>
            </w:pPr>
            <w:r/>
            <w:r>
              <w:rPr>
                <w:rFonts w:ascii="Arial" w:hAnsi="Arial" w:eastAsia="Arial"/>
                <w:b w:val="0"/>
                <w:i w:val="0"/>
                <w:sz w:val="11"/>
              </w:rPr>
              <w:t>Entrevistas semiestructuradas a altos directivos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Fundamenta la integración de IA como apoyo a las decisiones gerenciales operativas de Calzatura Vilchez. La reducción de riesgo operativo y el ahorro por mejores decisiones son KPIs directamente vinculados al impacto del IRE sobre la gestión empresarial. NOTA: La revista fue renombrada de 'Academy of Management Executive' a 'Academy of Management Perspectives' en 2014 (Variable Dependiente — Impacto del IRE en decisiones gerenciales).</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IRE (compute_ire en models/risk.py) asiste decisiones gerenciales: alertas de stock, riesgo por dimensión y nivel Bajo/Moderado/Alto/Crítico.</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https://doi.org/10.1177/0008125619862257</w:t>
      </w:r>
    </w:p>
    <w:p>
      <w:pPr>
        <w:spacing w:before="160" w:after="20"/>
      </w:pPr>
      <w:r>
        <w:rPr>
          <w:rFonts w:ascii="Arial" w:hAnsi="Arial" w:eastAsia="Arial"/>
          <w:b/>
          <w:i w:val="0"/>
          <w:sz w:val="18"/>
        </w:rPr>
        <w:t xml:space="preserve">Artículo [12] — </w:t>
      </w:r>
      <w:r>
        <w:rPr>
          <w:rFonts w:ascii="Arial" w:hAnsi="Arial" w:eastAsia="Arial"/>
          <w:b/>
          <w:i/>
          <w:sz w:val="18"/>
        </w:rPr>
        <w:t>Big data analytics and firm performance: Effects of dynamic capabilities</w:t>
      </w:r>
    </w:p>
    <w:p>
      <w:pPr>
        <w:spacing w:before="0" w:after="40"/>
      </w:pPr>
      <w:r>
        <w:rPr>
          <w:rFonts w:ascii="Arial" w:hAnsi="Arial" w:eastAsia="Arial"/>
          <w:b w:val="0"/>
          <w:i/>
          <w:sz w:val="16"/>
        </w:rPr>
        <w:t>Amba, S.F. et al. (2017) — Journal of Business Research · Q1 · DOI: 10.1016/j.jbusres.2016.08.009</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Analítica de Big Data y Desempeño de la Empresa en el contexto del estudio original.</w:t>
            </w:r>
          </w:p>
        </w:tc>
        <w:tc>
          <w:tcPr>
            <w:tcW w:type="dxa" w:w="1512"/>
            <w:vAlign w:val="center"/>
            <w:shd w:fill="F8F9FA" w:val="clear" w:color="auto"/>
          </w:tcPr>
          <w:p>
            <w:pPr>
              <w:jc w:val="left"/>
            </w:pPr>
            <w:r/>
            <w:r>
              <w:rPr>
                <w:rFonts w:ascii="Arial" w:hAnsi="Arial" w:eastAsia="Arial"/>
                <w:b w:val="0"/>
                <w:i w:val="0"/>
                <w:sz w:val="12"/>
              </w:rPr>
              <w:t>Encuesta cuantitativa</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Métricas reportadas: CRONBACH</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Valida empíricamente la relación entre analítica de Big Data y desempeño empresarial. La exactitud promedio de modelos y la reducción de costos operativos son métricas de calidad y valor del sistema propuesto. Justifica que la inversión en analítica de datos de Calzatura Vilchez generará mejoras medibles en su desempeño operativo y estratégico (Variable Dependi</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Analítica de Big Data</w:t>
            </w:r>
          </w:p>
        </w:tc>
        <w:tc>
          <w:tcPr>
            <w:tcW w:type="dxa" w:w="1267"/>
            <w:vMerge w:val="restart"/>
            <w:vAlign w:val="center"/>
            <w:shd w:fill="F4F9FD" w:val="clear" w:color="auto"/>
          </w:tcPr>
          <w:p>
            <w:pPr>
              <w:jc w:val="left"/>
            </w:pPr>
            <w:r/>
            <w:r>
              <w:rPr>
                <w:rFonts w:ascii="Arial" w:hAnsi="Arial" w:eastAsia="Arial"/>
                <w:b w:val="0"/>
                <w:i w:val="0"/>
                <w:sz w:val="11"/>
              </w:rPr>
              <w:t>Analítica de Big Data: constructo independiente conceptualizado por Amba, S.F. et al. (2017).</w:t>
            </w:r>
          </w:p>
        </w:tc>
        <w:tc>
          <w:tcPr>
            <w:tcW w:type="dxa" w:w="1267"/>
            <w:vMerge w:val="restart"/>
            <w:vAlign w:val="center"/>
            <w:shd w:fill="F4F9FD" w:val="clear" w:color="auto"/>
          </w:tcPr>
          <w:p>
            <w:pPr>
              <w:jc w:val="left"/>
            </w:pPr>
            <w:r/>
            <w:r>
              <w:rPr>
                <w:rFonts w:ascii="Arial" w:hAnsi="Arial" w:eastAsia="Arial"/>
                <w:b w:val="0"/>
                <w:i w:val="0"/>
                <w:sz w:val="11"/>
              </w:rPr>
              <w:t>Medición operativa: Encuesta cuantitativa (n=302); PLS-SEM (SmartPLS 3); SPSS 24 para análisis factorial; Prueba de confiabilidad (α de Cronbach &gt; 0.70)</w:t>
            </w:r>
          </w:p>
        </w:tc>
        <w:tc>
          <w:tcPr>
            <w:tcW w:type="dxa" w:w="1181"/>
            <w:vMerge w:val="restart"/>
            <w:vAlign w:val="center"/>
            <w:shd w:fill="D6E4F0" w:val="clear" w:color="auto"/>
          </w:tcPr>
          <w:p>
            <w:pPr>
              <w:jc w:val="center"/>
            </w:pPr>
            <w:r/>
            <w:r>
              <w:rPr>
                <w:rFonts w:ascii="Arial" w:hAnsi="Arial" w:eastAsia="Arial"/>
                <w:b/>
                <w:i w:val="0"/>
                <w:sz w:val="11"/>
              </w:rPr>
              <w:t>Infraestructura de datos</w:t>
            </w:r>
          </w:p>
        </w:tc>
        <w:tc>
          <w:tcPr>
            <w:tcW w:type="dxa" w:w="1944"/>
            <w:vAlign w:val="center"/>
            <w:shd w:fill="FFFFFF" w:val="clear" w:color="auto"/>
          </w:tcPr>
          <w:p>
            <w:pPr>
              <w:jc w:val="left"/>
            </w:pPr>
            <w:r/>
            <w:r>
              <w:rPr>
                <w:rFonts w:ascii="Arial" w:hAnsi="Arial" w:eastAsia="Arial"/>
                <w:b w:val="0"/>
                <w:i w:val="0"/>
                <w:sz w:val="11"/>
              </w:rPr>
              <w:t>Capacidad de almacenamiento (TB)</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 ↳ Sistema: services/supabase_client.py + models/demand.py (RF)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Velocidad de procesamiento (Mbps)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 ↳ Sistema: services/supabase_client.py + models/demand.py (RF)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fuentes de datos integradas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 ↳ Sistema: services/supabase_client.py + models/demand.py (RF)</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Capacidades analíticas dinámicas</w:t>
            </w:r>
          </w:p>
        </w:tc>
        <w:tc>
          <w:tcPr>
            <w:tcW w:type="dxa" w:w="1944"/>
            <w:vAlign w:val="center"/>
            <w:shd w:fill="FFFFFF" w:val="clear" w:color="auto"/>
          </w:tcPr>
          <w:p>
            <w:pPr>
              <w:jc w:val="left"/>
            </w:pPr>
            <w:r/>
            <w:r>
              <w:rPr>
                <w:rFonts w:ascii="Arial" w:hAnsi="Arial" w:eastAsia="Arial"/>
                <w:b w:val="0"/>
                <w:i w:val="0"/>
                <w:sz w:val="11"/>
              </w:rPr>
              <w:t>N.° de modelos predictivos en producción</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 ↳ Sistema: services/supabase_client.py + models/demand.py (RF)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Cobertura analítica (% de procesos cubiertos)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 ↳ Sistema: services/supabase_client.py + models/demand.py (RF)</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Exactitud promedio de modelos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 ↳ Sistema: services/supabase_client.py + models/demand.py (RF)</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de la Empresa</w:t>
            </w:r>
          </w:p>
        </w:tc>
        <w:tc>
          <w:tcPr>
            <w:tcW w:type="dxa" w:w="1267"/>
            <w:vMerge w:val="restart"/>
            <w:vAlign w:val="center"/>
            <w:shd w:fill="FFF9EE" w:val="clear" w:color="auto"/>
          </w:tcPr>
          <w:p>
            <w:pPr>
              <w:jc w:val="left"/>
            </w:pPr>
            <w:r/>
            <w:r>
              <w:rPr>
                <w:rFonts w:ascii="Arial" w:hAnsi="Arial" w:eastAsia="Arial"/>
                <w:b w:val="0"/>
                <w:i w:val="0"/>
                <w:sz w:val="11"/>
              </w:rPr>
              <w:t>Desempeño de la Empresa: constructo dependiente/outcome del estudio Amba, S.F. et al. (2017).</w:t>
            </w:r>
          </w:p>
        </w:tc>
        <w:tc>
          <w:tcPr>
            <w:tcW w:type="dxa" w:w="1267"/>
            <w:vMerge w:val="restart"/>
            <w:vAlign w:val="center"/>
            <w:shd w:fill="FFF9EE" w:val="clear" w:color="auto"/>
          </w:tcPr>
          <w:p>
            <w:pPr>
              <w:jc w:val="left"/>
            </w:pPr>
            <w:r/>
            <w:r>
              <w:rPr>
                <w:rFonts w:ascii="Arial" w:hAnsi="Arial" w:eastAsia="Arial"/>
                <w:b w:val="0"/>
                <w:i w:val="0"/>
                <w:sz w:val="11"/>
              </w:rPr>
              <w:t>Medición operativa: Encuesta cuantitativa (n=302); PLS-SEM (SmartPLS 3); SPSS 24 para análisis factorial; Prueba de confiabilidad (α de Cronbach &gt; 0.70)</w:t>
            </w:r>
          </w:p>
        </w:tc>
        <w:tc>
          <w:tcPr>
            <w:tcW w:type="dxa" w:w="1181"/>
            <w:vMerge w:val="restart"/>
            <w:vAlign w:val="center"/>
            <w:shd w:fill="FFF5CC" w:val="clear" w:color="auto"/>
          </w:tcPr>
          <w:p>
            <w:pPr>
              <w:jc w:val="center"/>
            </w:pPr>
            <w:r/>
            <w:r>
              <w:rPr>
                <w:rFonts w:ascii="Arial" w:hAnsi="Arial" w:eastAsia="Arial"/>
                <w:b/>
                <w:i w:val="0"/>
                <w:sz w:val="11"/>
              </w:rPr>
              <w:t>Desempeño operativo</w:t>
            </w:r>
          </w:p>
        </w:tc>
        <w:tc>
          <w:tcPr>
            <w:tcW w:type="dxa" w:w="1944"/>
            <w:vAlign w:val="center"/>
            <w:shd w:fill="FFFFFF" w:val="clear" w:color="auto"/>
          </w:tcPr>
          <w:p>
            <w:pPr>
              <w:jc w:val="left"/>
            </w:pPr>
            <w:r/>
            <w:r>
              <w:rPr>
                <w:rFonts w:ascii="Arial" w:hAnsi="Arial" w:eastAsia="Arial"/>
                <w:b w:val="0"/>
                <w:i w:val="0"/>
                <w:sz w:val="11"/>
              </w:rPr>
              <w:t>Eficiencia de procesos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costos operativos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ciclo reducido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Desempeño estratégico</w:t>
            </w:r>
          </w:p>
        </w:tc>
        <w:tc>
          <w:tcPr>
            <w:tcW w:type="dxa" w:w="1944"/>
            <w:vAlign w:val="center"/>
            <w:shd w:fill="FFFFFF" w:val="clear" w:color="auto"/>
          </w:tcPr>
          <w:p>
            <w:pPr>
              <w:jc w:val="left"/>
            </w:pPr>
            <w:r/>
            <w:r>
              <w:rPr>
                <w:rFonts w:ascii="Arial" w:hAnsi="Arial" w:eastAsia="Arial"/>
                <w:b w:val="0"/>
                <w:i w:val="0"/>
                <w:sz w:val="11"/>
              </w:rPr>
              <w:t>Crecimiento de ingresos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Cuota de mercado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 inversión en tecnología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cuantitativa (n=302); PLS-SEM (SmartPLS 3); SPSS 24 para análisis factorial</w:t>
            </w:r>
          </w:p>
        </w:tc>
        <w:tc>
          <w:tcPr>
            <w:tcW w:type="dxa" w:w="1181"/>
            <w:vAlign w:val="center"/>
            <w:shd w:fill="FFFFFF" w:val="clear" w:color="auto"/>
          </w:tcPr>
          <w:p>
            <w:pPr>
              <w:jc w:val="left"/>
            </w:pPr>
            <w:r/>
            <w:r>
              <w:rPr>
                <w:rFonts w:ascii="Arial" w:hAnsi="Arial" w:eastAsia="Arial"/>
                <w:b w:val="0"/>
                <w:i w:val="0"/>
                <w:sz w:val="11"/>
              </w:rPr>
              <w:t>Prueba de confiabilidad (α de Cronbach &gt; 0.70)</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Valida empíricamente la relación entre analítica de Big Data y desempeño empresarial. La exactitud promedio de modelos y la reducción de costos operativos son métricas de calidad y valor del sistema propuesto. Justifica que la inversión en analítica de datos de Calzatura Vilchez generará mejoras medibles en su desempeño operativo y estratégico (Variable Dependiente — Desempeño empresarial con IA).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Pipeline analítico unifica ventasDiarias + pedidos pagados (services/supabase_client.py); modelo RandomForestRegressor en models/demand.py.</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https://doi.org/10.1016/j.jbusres.2016.08.009</w:t>
      </w:r>
    </w:p>
    <w:p>
      <w:pPr>
        <w:spacing w:before="160" w:after="20"/>
      </w:pPr>
      <w:r>
        <w:rPr>
          <w:rFonts w:ascii="Arial" w:hAnsi="Arial" w:eastAsia="Arial"/>
          <w:b/>
          <w:i w:val="0"/>
          <w:sz w:val="18"/>
        </w:rPr>
        <w:t xml:space="preserve">Artículo [13] — </w:t>
      </w:r>
      <w:r>
        <w:rPr>
          <w:rFonts w:ascii="Arial" w:hAnsi="Arial" w:eastAsia="Arial"/>
          <w:b/>
          <w:i/>
          <w:sz w:val="18"/>
        </w:rPr>
        <w:t>Statistical and Machine Learning forecasting methods: Concerns and ways forward</w:t>
      </w:r>
    </w:p>
    <w:p>
      <w:pPr>
        <w:spacing w:before="0" w:after="40"/>
      </w:pPr>
      <w:r>
        <w:rPr>
          <w:rFonts w:ascii="Arial" w:hAnsi="Arial" w:eastAsia="Arial"/>
          <w:b w:val="0"/>
          <w:i/>
          <w:sz w:val="16"/>
        </w:rPr>
        <w:t>Makridakis, S.; Spiliotis, E. y Assimakopoulos, V. (2018) — PLOS ONE · Q1 · JIF 3.75</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Método de Pronóstico (Estadístico vs. Machine Learning) y Precisión del Pronóstico de Demanda en el contexto del estudio original.</w:t>
            </w:r>
          </w:p>
        </w:tc>
        <w:tc>
          <w:tcPr>
            <w:tcW w:type="dxa" w:w="1512"/>
            <w:vAlign w:val="center"/>
            <w:shd w:fill="F8F9FA" w:val="clear" w:color="auto"/>
          </w:tcPr>
          <w:p>
            <w:pPr>
              <w:jc w:val="left"/>
            </w:pPr>
            <w:r/>
            <w:r>
              <w:rPr>
                <w:rFonts w:ascii="Arial" w:hAnsi="Arial" w:eastAsia="Arial"/>
                <w:b w:val="0"/>
                <w:i w:val="0"/>
                <w:sz w:val="12"/>
              </w:rPr>
              <w:t>Modelado computacional (ML/DL) + datos secundarios</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Métricas reportadas: MAE, RMSE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Establece MAE, MASE, RMSE y sMAPE como las métricas estándar para evaluar la precisión del módulo predictivo del IRE. Demuestra que los modelos ML superan a los métodos estadísticos clásicos en series temporales complejas, justificando la elección de Random Forest frente a ARIMA en el sistema propuesto (Variable Dependiente — Precisión del IRE).</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Método de Pronóstico</w:t>
              <w:br/>
              <w:t>(Estadístico vs. Machine</w:t>
              <w:br/>
              <w:t>Learning)</w:t>
            </w:r>
          </w:p>
        </w:tc>
        <w:tc>
          <w:tcPr>
            <w:tcW w:type="dxa" w:w="1267"/>
            <w:vMerge w:val="restart"/>
            <w:vAlign w:val="center"/>
            <w:shd w:fill="F4F9FD" w:val="clear" w:color="auto"/>
          </w:tcPr>
          <w:p>
            <w:pPr>
              <w:jc w:val="left"/>
            </w:pPr>
            <w:r/>
            <w:r>
              <w:rPr>
                <w:rFonts w:ascii="Arial" w:hAnsi="Arial" w:eastAsia="Arial"/>
                <w:b w:val="0"/>
                <w:i w:val="0"/>
                <w:sz w:val="11"/>
              </w:rPr>
              <w:t>Método de Pronóstico (Estadístico vs. Machine Learning): constructo independiente conceptualizado por Makridakis, S.; Spiliotis, E. y Assimakopoulos, V. (2018).</w:t>
            </w:r>
          </w:p>
        </w:tc>
        <w:tc>
          <w:tcPr>
            <w:tcW w:type="dxa" w:w="1267"/>
            <w:vMerge w:val="restart"/>
            <w:vAlign w:val="center"/>
            <w:shd w:fill="F4F9FD" w:val="clear" w:color="auto"/>
          </w:tcPr>
          <w:p>
            <w:pPr>
              <w:jc w:val="left"/>
            </w:pPr>
            <w:r/>
            <w:r>
              <w:rPr>
                <w:rFonts w:ascii="Arial" w:hAnsi="Arial" w:eastAsia="Arial"/>
                <w:b w:val="0"/>
                <w:i w:val="0"/>
                <w:sz w:val="11"/>
              </w:rPr>
              <w:t>Medición operativa: Competencia M4 (100.000 series temporales heterogéneas); Python (statsmodels, scikit-learn); R (forecast, M4comp2018); Benchmarking estadístico comparativo</w:t>
            </w:r>
          </w:p>
        </w:tc>
        <w:tc>
          <w:tcPr>
            <w:tcW w:type="dxa" w:w="1181"/>
            <w:vMerge w:val="restart"/>
            <w:vAlign w:val="center"/>
            <w:shd w:fill="D6E4F0" w:val="clear" w:color="auto"/>
          </w:tcPr>
          <w:p>
            <w:pPr>
              <w:jc w:val="center"/>
            </w:pPr>
            <w:r/>
            <w:r>
              <w:rPr>
                <w:rFonts w:ascii="Arial" w:hAnsi="Arial" w:eastAsia="Arial"/>
                <w:b/>
                <w:i w:val="0"/>
                <w:sz w:val="11"/>
              </w:rPr>
              <w:t>Modelos estadísticos clásicos</w:t>
            </w:r>
          </w:p>
        </w:tc>
        <w:tc>
          <w:tcPr>
            <w:tcW w:type="dxa" w:w="1944"/>
            <w:vAlign w:val="center"/>
            <w:shd w:fill="FFFFFF" w:val="clear" w:color="auto"/>
          </w:tcPr>
          <w:p>
            <w:pPr>
              <w:jc w:val="left"/>
            </w:pPr>
            <w:r/>
            <w:r>
              <w:rPr>
                <w:rFonts w:ascii="Arial" w:hAnsi="Arial" w:eastAsia="Arial"/>
                <w:b w:val="0"/>
                <w:i w:val="0"/>
                <w:sz w:val="11"/>
              </w:rPr>
              <w:t>MAE — Error Absoluto Medio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MASE — Error Absoluto Escalado Medio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sMAPE — Error Porcentual Absoluto Simétrico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Modelos de Machine Learning evaluados</w:t>
            </w:r>
          </w:p>
        </w:tc>
        <w:tc>
          <w:tcPr>
            <w:tcW w:type="dxa" w:w="1944"/>
            <w:vAlign w:val="center"/>
            <w:shd w:fill="FFFFFF" w:val="clear" w:color="auto"/>
          </w:tcPr>
          <w:p>
            <w:pPr>
              <w:jc w:val="left"/>
            </w:pPr>
            <w:r/>
            <w:r>
              <w:rPr>
                <w:rFonts w:ascii="Arial" w:hAnsi="Arial" w:eastAsia="Arial"/>
                <w:b w:val="0"/>
                <w:i w:val="0"/>
                <w:sz w:val="11"/>
              </w:rPr>
              <w:t>RMSE — Raíz del Error Cuadrático Medio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entrenamiento (segundos)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Complejidad computacional (notación Big-O)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Configuración y ajuste del modelo</w:t>
            </w:r>
          </w:p>
        </w:tc>
        <w:tc>
          <w:tcPr>
            <w:tcW w:type="dxa" w:w="1944"/>
            <w:vAlign w:val="center"/>
            <w:shd w:fill="FFFFFF" w:val="clear" w:color="auto"/>
          </w:tcPr>
          <w:p>
            <w:pPr>
              <w:jc w:val="left"/>
            </w:pPr>
            <w:r/>
            <w:r>
              <w:rPr>
                <w:rFonts w:ascii="Arial" w:hAnsi="Arial" w:eastAsia="Arial"/>
                <w:b w:val="0"/>
                <w:i w:val="0"/>
                <w:sz w:val="11"/>
              </w:rPr>
              <w:t>N.° de hiperparámetros optimizados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Tamaño del conjunto de entrenamiento (registros)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Horizonte de predicción (períodos futuros)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 ↳ Sistema: métricas MAE/RMSE en entrenamiento; docs/06-ia/modelo-ia.md</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Precisión del Pronóstico</w:t>
              <w:br/>
              <w:t>de Demanda</w:t>
            </w:r>
          </w:p>
        </w:tc>
        <w:tc>
          <w:tcPr>
            <w:tcW w:type="dxa" w:w="1267"/>
            <w:vMerge w:val="restart"/>
            <w:vAlign w:val="center"/>
            <w:shd w:fill="FFF9EE" w:val="clear" w:color="auto"/>
          </w:tcPr>
          <w:p>
            <w:pPr>
              <w:jc w:val="left"/>
            </w:pPr>
            <w:r/>
            <w:r>
              <w:rPr>
                <w:rFonts w:ascii="Arial" w:hAnsi="Arial" w:eastAsia="Arial"/>
                <w:b w:val="0"/>
                <w:i w:val="0"/>
                <w:sz w:val="11"/>
              </w:rPr>
              <w:t>Precisión del Pronóstico de Demanda: constructo dependiente/outcome del estudio Makridakis, S.; Spiliotis, E. y Assimakopoulos, V. (2018).</w:t>
            </w:r>
          </w:p>
        </w:tc>
        <w:tc>
          <w:tcPr>
            <w:tcW w:type="dxa" w:w="1267"/>
            <w:vMerge w:val="restart"/>
            <w:vAlign w:val="center"/>
            <w:shd w:fill="FFF9EE" w:val="clear" w:color="auto"/>
          </w:tcPr>
          <w:p>
            <w:pPr>
              <w:jc w:val="left"/>
            </w:pPr>
            <w:r/>
            <w:r>
              <w:rPr>
                <w:rFonts w:ascii="Arial" w:hAnsi="Arial" w:eastAsia="Arial"/>
                <w:b w:val="0"/>
                <w:i w:val="0"/>
                <w:sz w:val="11"/>
              </w:rPr>
              <w:t>Medición operativa: Competencia M4 (100.000 series temporales heterogéneas); Python (statsmodels, scikit-learn); R (forecast, M4comp2018); Benchmarking estadístico comparativo</w:t>
            </w:r>
          </w:p>
        </w:tc>
        <w:tc>
          <w:tcPr>
            <w:tcW w:type="dxa" w:w="1181"/>
            <w:vMerge w:val="restart"/>
            <w:vAlign w:val="center"/>
            <w:shd w:fill="FFF5CC" w:val="clear" w:color="auto"/>
          </w:tcPr>
          <w:p>
            <w:pPr>
              <w:jc w:val="center"/>
            </w:pPr>
            <w:r/>
            <w:r>
              <w:rPr>
                <w:rFonts w:ascii="Arial" w:hAnsi="Arial" w:eastAsia="Arial"/>
                <w:b/>
                <w:i w:val="0"/>
                <w:sz w:val="11"/>
              </w:rPr>
              <w:t>Exactitud del pronóstico</w:t>
            </w:r>
          </w:p>
        </w:tc>
        <w:tc>
          <w:tcPr>
            <w:tcW w:type="dxa" w:w="1944"/>
            <w:vAlign w:val="center"/>
            <w:shd w:fill="FFFFFF" w:val="clear" w:color="auto"/>
          </w:tcPr>
          <w:p>
            <w:pPr>
              <w:jc w:val="left"/>
            </w:pPr>
            <w:r/>
            <w:r>
              <w:rPr>
                <w:rFonts w:ascii="Arial" w:hAnsi="Arial" w:eastAsia="Arial"/>
                <w:b w:val="0"/>
                <w:i w:val="0"/>
                <w:sz w:val="11"/>
              </w:rPr>
              <w:t>sMAPE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MASE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OWA — Overall Weighted Average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Estabilidad y robustez del modelo</w:t>
            </w:r>
          </w:p>
        </w:tc>
        <w:tc>
          <w:tcPr>
            <w:tcW w:type="dxa" w:w="1944"/>
            <w:vAlign w:val="center"/>
            <w:shd w:fill="FFFFFF" w:val="clear" w:color="auto"/>
          </w:tcPr>
          <w:p>
            <w:pPr>
              <w:jc w:val="left"/>
            </w:pPr>
            <w:r/>
            <w:r>
              <w:rPr>
                <w:rFonts w:ascii="Arial" w:hAnsi="Arial" w:eastAsia="Arial"/>
                <w:b w:val="0"/>
                <w:i w:val="0"/>
                <w:sz w:val="11"/>
              </w:rPr>
              <w:t>Varianza del error entre horizontes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Sesgo del modelo (bias)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Consistencia de resultados entre series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Competencia M4 (100.000 series temporales heterogéneas); Python (statsmodels, scikit-learn); R (forecast, M4comp2018)</w:t>
            </w:r>
          </w:p>
        </w:tc>
        <w:tc>
          <w:tcPr>
            <w:tcW w:type="dxa" w:w="1181"/>
            <w:vAlign w:val="center"/>
            <w:shd w:fill="FFFFFF" w:val="clear" w:color="auto"/>
          </w:tcPr>
          <w:p>
            <w:pPr>
              <w:jc w:val="left"/>
            </w:pPr>
            <w:r/>
            <w:r>
              <w:rPr>
                <w:rFonts w:ascii="Arial" w:hAnsi="Arial" w:eastAsia="Arial"/>
                <w:b w:val="0"/>
                <w:i w:val="0"/>
                <w:sz w:val="11"/>
              </w:rPr>
              <w:t>Benchmarking estadístico comparativo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Establece MAE, MASE, RMSE y sMAPE como las métricas estándar para evaluar la precisión del módulo predictivo del IRE. Demuestra que los modelos ML superan a los métodos estadísticos clásicos en series temporales complejas, justificando la elección de Random Forest frente a ARIMA en el sistema propuesto (Variable Dependiente — Precisión del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Evaluación con MAE/RMSE en predicción de demanda; comparativa RF vs. métodos clásicos documentada en docs/06-ia/modelo-ia.md.</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https://doi.org/10.1371/journal.pone.0194889</w:t>
      </w:r>
    </w:p>
    <w:p>
      <w:pPr>
        <w:spacing w:before="160" w:after="20"/>
      </w:pPr>
      <w:r>
        <w:rPr>
          <w:rFonts w:ascii="Arial" w:hAnsi="Arial" w:eastAsia="Arial"/>
          <w:b/>
          <w:i w:val="0"/>
          <w:sz w:val="18"/>
        </w:rPr>
        <w:t xml:space="preserve">Artículo [14] — </w:t>
      </w:r>
      <w:r>
        <w:rPr>
          <w:rFonts w:ascii="Arial" w:hAnsi="Arial" w:eastAsia="Arial"/>
          <w:b/>
          <w:i/>
          <w:sz w:val="18"/>
        </w:rPr>
        <w:t>Retail forecasting: Research and practice</w:t>
      </w:r>
    </w:p>
    <w:p>
      <w:pPr>
        <w:spacing w:before="0" w:after="40"/>
      </w:pPr>
      <w:r>
        <w:rPr>
          <w:rFonts w:ascii="Arial" w:hAnsi="Arial" w:eastAsia="Arial"/>
          <w:b w:val="0"/>
          <w:i/>
          <w:sz w:val="16"/>
        </w:rPr>
        <w:t>Fildes, R.; Ma, S. y Kolassa, S. (2019) — International Journal of Forecasting · Q1 · JIF 7.22</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Modelos de Predicción de Demanda en Retail y Precisión del Pronóstico de Ventas Retail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Fundamenta el pronóstico de demanda en retail como componente central del subíndice de riesgo de demanda (25% del IRE). El nivel de quiebre de stock evitado y el exceso de inventario reducido son los KPIs operativos directamente medibles en Calzatura Vilchez. El contexto de datos de punto de venta es equivalente al historial de ventas disponible en el sistema (</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Modelos de Predicción de</w:t>
              <w:br/>
              <w:t>Demanda en Retail</w:t>
            </w:r>
          </w:p>
        </w:tc>
        <w:tc>
          <w:tcPr>
            <w:tcW w:type="dxa" w:w="1267"/>
            <w:vMerge w:val="restart"/>
            <w:vAlign w:val="center"/>
            <w:shd w:fill="F4F9FD" w:val="clear" w:color="auto"/>
          </w:tcPr>
          <w:p>
            <w:pPr>
              <w:jc w:val="left"/>
            </w:pPr>
            <w:r/>
            <w:r>
              <w:rPr>
                <w:rFonts w:ascii="Arial" w:hAnsi="Arial" w:eastAsia="Arial"/>
                <w:b w:val="0"/>
                <w:i w:val="0"/>
                <w:sz w:val="11"/>
              </w:rPr>
              <w:t>Modelos de Predicción de Demanda en Retail: constructo independiente conceptualizado por Fildes, R.; Ma, S. y Kolassa, S. (2019).</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de literatura (Scopus/WoS); Análisis empírico de datos de punto de venta (POS); Benchmarking de modelos (ARIMA, RF, XGBoost); Python / R para implementación</w:t>
            </w:r>
          </w:p>
        </w:tc>
        <w:tc>
          <w:tcPr>
            <w:tcW w:type="dxa" w:w="1181"/>
            <w:vMerge w:val="restart"/>
            <w:vAlign w:val="center"/>
            <w:shd w:fill="D6E4F0" w:val="clear" w:color="auto"/>
          </w:tcPr>
          <w:p>
            <w:pPr>
              <w:jc w:val="center"/>
            </w:pPr>
            <w:r/>
            <w:r>
              <w:rPr>
                <w:rFonts w:ascii="Arial" w:hAnsi="Arial" w:eastAsia="Arial"/>
                <w:b/>
                <w:i w:val="0"/>
                <w:sz w:val="11"/>
              </w:rPr>
              <w:t>Factores que determinan la demanda retail</w:t>
            </w:r>
          </w:p>
        </w:tc>
        <w:tc>
          <w:tcPr>
            <w:tcW w:type="dxa" w:w="1944"/>
            <w:vAlign w:val="center"/>
            <w:shd w:fill="FFFFFF" w:val="clear" w:color="auto"/>
          </w:tcPr>
          <w:p>
            <w:pPr>
              <w:jc w:val="left"/>
            </w:pPr>
            <w:r/>
            <w:r>
              <w:rPr>
                <w:rFonts w:ascii="Arial" w:hAnsi="Arial" w:eastAsia="Arial"/>
                <w:b w:val="0"/>
                <w:i w:val="0"/>
                <w:sz w:val="11"/>
              </w:rPr>
              <w:t>Precio por unidad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 ↳ Sistema: predict_demand() + gráfico semanal en panel admin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Efecto de promociones (% de incremento de demanda)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 ↳ Sistema: predict_demand() + gráfico semanal en panel admin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Estacionalidad y efecto de calendario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 ↳ Sistema: predict_demand() + gráfico semanal en panel admin</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Configuración del modelo predictivo</w:t>
            </w:r>
          </w:p>
        </w:tc>
        <w:tc>
          <w:tcPr>
            <w:tcW w:type="dxa" w:w="1944"/>
            <w:vAlign w:val="center"/>
            <w:shd w:fill="FFFFFF" w:val="clear" w:color="auto"/>
          </w:tcPr>
          <w:p>
            <w:pPr>
              <w:jc w:val="left"/>
            </w:pPr>
            <w:r/>
            <w:r>
              <w:rPr>
                <w:rFonts w:ascii="Arial" w:hAnsi="Arial" w:eastAsia="Arial"/>
                <w:b w:val="0"/>
                <w:i w:val="0"/>
                <w:sz w:val="11"/>
              </w:rPr>
              <w:t>Horizonte de pronóstico (semanas)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 ↳ Sistema: predict_demand() + gráfico semanal en panel admin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Granularidad del modelo (SKU-tienda)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 ↳ Sistema: predict_demand() + gráfico semanal en panel admin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Datos históricos mínimos requeridos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 ↳ Sistema: predict_demand() + gráfico semanal en panel admin</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Precisión del Pronóstico</w:t>
              <w:br/>
              <w:t>de Ventas Retail</w:t>
            </w:r>
          </w:p>
        </w:tc>
        <w:tc>
          <w:tcPr>
            <w:tcW w:type="dxa" w:w="1267"/>
            <w:vMerge w:val="restart"/>
            <w:vAlign w:val="center"/>
            <w:shd w:fill="FFF9EE" w:val="clear" w:color="auto"/>
          </w:tcPr>
          <w:p>
            <w:pPr>
              <w:jc w:val="left"/>
            </w:pPr>
            <w:r/>
            <w:r>
              <w:rPr>
                <w:rFonts w:ascii="Arial" w:hAnsi="Arial" w:eastAsia="Arial"/>
                <w:b w:val="0"/>
                <w:i w:val="0"/>
                <w:sz w:val="11"/>
              </w:rPr>
              <w:t>Precisión del Pronóstico de Ventas Retail: constructo dependiente/outcome del estudio Fildes, R.; Ma, S. y Kolassa, S. (2019).</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de literatura (Scopus/WoS); Análisis empírico de datos de punto de venta (POS); Benchmarking de modelos (ARIMA, RF, XGBoost); Python / R para implementación</w:t>
            </w:r>
          </w:p>
        </w:tc>
        <w:tc>
          <w:tcPr>
            <w:tcW w:type="dxa" w:w="1181"/>
            <w:vMerge w:val="restart"/>
            <w:vAlign w:val="center"/>
            <w:shd w:fill="FFF5CC" w:val="clear" w:color="auto"/>
          </w:tcPr>
          <w:p>
            <w:pPr>
              <w:jc w:val="center"/>
            </w:pPr>
            <w:r/>
            <w:r>
              <w:rPr>
                <w:rFonts w:ascii="Arial" w:hAnsi="Arial" w:eastAsia="Arial"/>
                <w:b/>
                <w:i w:val="0"/>
                <w:sz w:val="11"/>
              </w:rPr>
              <w:t>Error de pronóstico</w:t>
            </w:r>
          </w:p>
        </w:tc>
        <w:tc>
          <w:tcPr>
            <w:tcW w:type="dxa" w:w="1944"/>
            <w:vAlign w:val="center"/>
            <w:shd w:fill="FFFFFF" w:val="clear" w:color="auto"/>
          </w:tcPr>
          <w:p>
            <w:pPr>
              <w:jc w:val="left"/>
            </w:pPr>
            <w:r/>
            <w:r>
              <w:rPr>
                <w:rFonts w:ascii="Arial" w:hAnsi="Arial" w:eastAsia="Arial"/>
                <w:b w:val="0"/>
                <w:i w:val="0"/>
                <w:sz w:val="11"/>
              </w:rPr>
              <w:t>MASE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RMSE</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Sesgo del pronóstico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Impacto en gestión de inventario</w:t>
            </w:r>
          </w:p>
        </w:tc>
        <w:tc>
          <w:tcPr>
            <w:tcW w:type="dxa" w:w="1944"/>
            <w:vAlign w:val="center"/>
            <w:shd w:fill="FFFFFF" w:val="clear" w:color="auto"/>
          </w:tcPr>
          <w:p>
            <w:pPr>
              <w:jc w:val="left"/>
            </w:pPr>
            <w:r/>
            <w:r>
              <w:rPr>
                <w:rFonts w:ascii="Arial" w:hAnsi="Arial" w:eastAsia="Arial"/>
                <w:b w:val="0"/>
                <w:i w:val="0"/>
                <w:sz w:val="11"/>
              </w:rPr>
              <w:t>Nivel de quiebre de stock evitado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Exceso de inventario reducido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Costo del error de pronóstico (S/./período)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(Scopus/WoS); Análisis empírico de datos de punto de venta (POS); Benchmarking de modelos (ARIMA, RF, XGBoost)</w:t>
            </w:r>
          </w:p>
        </w:tc>
        <w:tc>
          <w:tcPr>
            <w:tcW w:type="dxa" w:w="1181"/>
            <w:vAlign w:val="center"/>
            <w:shd w:fill="FFFFFF" w:val="clear" w:color="auto"/>
          </w:tcPr>
          <w:p>
            <w:pPr>
              <w:jc w:val="left"/>
            </w:pPr>
            <w:r/>
            <w:r>
              <w:rPr>
                <w:rFonts w:ascii="Arial" w:hAnsi="Arial" w:eastAsia="Arial"/>
                <w:b w:val="0"/>
                <w:i w:val="0"/>
                <w:sz w:val="11"/>
              </w:rPr>
              <w:t>Python / R para implementación</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Fundamenta el pronóstico de demanda en retail como componente central del subíndice de riesgo de demanda (25% del IRE). El nivel de quiebre de stock evitado y el exceso de inventario reducido son los KPIs operativos directamente medibles en Calzatura Vilchez. El contexto de datos de punto de venta es equivalente al historial de ventas disponible en el sistema (Variable Dependiente — Subíndice de riesgo de demanda/stock del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Forecast por producto con horizonte configurable; gráfico semanal de demanda en panel admin; datos históricos desde Supabase.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https://doi.org/10.1016/j.ijforecast.2019.06.004</w:t>
      </w:r>
    </w:p>
    <w:p>
      <w:pPr>
        <w:spacing w:before="160" w:after="20"/>
      </w:pPr>
      <w:r>
        <w:rPr>
          <w:rFonts w:ascii="Arial" w:hAnsi="Arial" w:eastAsia="Arial"/>
          <w:b/>
          <w:i w:val="0"/>
          <w:sz w:val="18"/>
        </w:rPr>
        <w:t xml:space="preserve">Artículo [15] — </w:t>
      </w:r>
      <w:r>
        <w:rPr>
          <w:rFonts w:ascii="Arial" w:hAnsi="Arial" w:eastAsia="Arial"/>
          <w:b/>
          <w:i/>
          <w:sz w:val="18"/>
        </w:rPr>
        <w:t>Waiting for a sales renaissance in the fourth industrial revolution: Machine learning and selling</w:t>
      </w:r>
    </w:p>
    <w:p>
      <w:pPr>
        <w:spacing w:before="0" w:after="40"/>
      </w:pPr>
      <w:r>
        <w:rPr>
          <w:rFonts w:ascii="Arial" w:hAnsi="Arial" w:eastAsia="Arial"/>
          <w:b w:val="0"/>
          <w:i/>
          <w:sz w:val="16"/>
        </w:rPr>
        <w:t>Syam, N. y Sharma, A. (2018) — Industrial Marketing Management · Q1 · JIF 8.49</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IA y Automatización Aplicadas a Ventas y Desempeño de la Fuerza de Ventas en el contexto del estudio original.</w:t>
            </w:r>
          </w:p>
        </w:tc>
        <w:tc>
          <w:tcPr>
            <w:tcW w:type="dxa" w:w="1512"/>
            <w:vAlign w:val="center"/>
            <w:shd w:fill="F8F9FA" w:val="clear" w:color="auto"/>
          </w:tcPr>
          <w:p>
            <w:pPr>
              <w:jc w:val="left"/>
            </w:pPr>
            <w:r/>
            <w:r>
              <w:rPr>
                <w:rFonts w:ascii="Arial" w:hAnsi="Arial" w:eastAsia="Arial"/>
                <w:b w:val="0"/>
                <w:i w:val="0"/>
                <w:sz w:val="12"/>
              </w:rPr>
              <w:t>Mixto: entrevista + análisis documental</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Sustenta la automatización del proceso de ventas con IA como mejora de productividad comercial en Calzatura Vilchez. La mejora en tasa de cierre de ventas y la reducción del tiempo de ciclo respaldan los beneficios esperados del módulo de gestión de ventas del sistema; son indicadores comparables con el subíndice de ingresos del IRE (Variable Independiente — Módulo de ventas IA</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IA y Automatización</w:t>
              <w:br/>
              <w:t>Aplicadas a Ventas</w:t>
            </w:r>
          </w:p>
        </w:tc>
        <w:tc>
          <w:tcPr>
            <w:tcW w:type="dxa" w:w="1267"/>
            <w:vMerge w:val="restart"/>
            <w:vAlign w:val="center"/>
            <w:shd w:fill="F4F9FD" w:val="clear" w:color="auto"/>
          </w:tcPr>
          <w:p>
            <w:pPr>
              <w:jc w:val="left"/>
            </w:pPr>
            <w:r/>
            <w:r>
              <w:rPr>
                <w:rFonts w:ascii="Arial" w:hAnsi="Arial" w:eastAsia="Arial"/>
                <w:b w:val="0"/>
                <w:i w:val="0"/>
                <w:sz w:val="11"/>
              </w:rPr>
              <w:t>IA y Automatización Aplicadas a Ventas: constructo independiente conceptualizado por Syam, N. y Sharma, A. (2018).</w:t>
            </w:r>
          </w:p>
        </w:tc>
        <w:tc>
          <w:tcPr>
            <w:tcW w:type="dxa" w:w="1267"/>
            <w:vMerge w:val="restart"/>
            <w:vAlign w:val="center"/>
            <w:shd w:fill="F4F9FD" w:val="clear" w:color="auto"/>
          </w:tcPr>
          <w:p>
            <w:pPr>
              <w:jc w:val="left"/>
            </w:pPr>
            <w:r/>
            <w:r>
              <w:rPr>
                <w:rFonts w:ascii="Arial" w:hAnsi="Arial" w:eastAsia="Arial"/>
                <w:b w:val="0"/>
                <w:i w:val="0"/>
                <w:sz w:val="11"/>
              </w:rPr>
              <w:t>Medición operativa: Revisión teórica-prospectiva de literatura; Análisis de tendencias industriales; Entrevistas a directores comerciales (n=15); Análisis de plataformas CRM con IA (Salesforce, HubSpot)</w:t>
            </w:r>
          </w:p>
        </w:tc>
        <w:tc>
          <w:tcPr>
            <w:tcW w:type="dxa" w:w="1181"/>
            <w:vMerge w:val="restart"/>
            <w:vAlign w:val="center"/>
            <w:shd w:fill="D6E4F0" w:val="clear" w:color="auto"/>
          </w:tcPr>
          <w:p>
            <w:pPr>
              <w:jc w:val="center"/>
            </w:pPr>
            <w:r/>
            <w:r>
              <w:rPr>
                <w:rFonts w:ascii="Arial" w:hAnsi="Arial" w:eastAsia="Arial"/>
                <w:b/>
                <w:i w:val="0"/>
                <w:sz w:val="11"/>
              </w:rPr>
              <w:t>Automatización del proceso de ventas</w:t>
            </w:r>
          </w:p>
        </w:tc>
        <w:tc>
          <w:tcPr>
            <w:tcW w:type="dxa" w:w="1944"/>
            <w:vAlign w:val="center"/>
            <w:shd w:fill="FFFFFF" w:val="clear" w:color="auto"/>
          </w:tcPr>
          <w:p>
            <w:pPr>
              <w:jc w:val="left"/>
            </w:pPr>
            <w:r/>
            <w:r>
              <w:rPr>
                <w:rFonts w:ascii="Arial" w:hAnsi="Arial" w:eastAsia="Arial"/>
                <w:b w:val="0"/>
                <w:i w:val="0"/>
                <w:sz w:val="11"/>
              </w:rPr>
              <w:t>% de tareas de ventas automatizadas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 ↳ Sistema: BFF lookupDni.cjs + panel_sales_page.dart + sales_register_logic.dart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ahorrado por vendedor (horas/semana)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 ↳ Sistema: BFF lookupDni.cjs + panel_sales_page.dart + sales_register_logic.dart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interacciones con clientes automatizadas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 ↳ Sistema: BFF lookupDni.cjs + panel_sales_page.dart + sales_register_logic.dart</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Augmentación del vendedor con IA</w:t>
            </w:r>
          </w:p>
        </w:tc>
        <w:tc>
          <w:tcPr>
            <w:tcW w:type="dxa" w:w="1944"/>
            <w:vAlign w:val="center"/>
            <w:shd w:fill="FFFFFF" w:val="clear" w:color="auto"/>
          </w:tcPr>
          <w:p>
            <w:pPr>
              <w:jc w:val="left"/>
            </w:pPr>
            <w:r/>
            <w:r>
              <w:rPr>
                <w:rFonts w:ascii="Arial" w:hAnsi="Arial" w:eastAsia="Arial"/>
                <w:b w:val="0"/>
                <w:i w:val="0"/>
                <w:sz w:val="11"/>
              </w:rPr>
              <w:t>Tasa de adopción de herramientas IA por fuerza de ventas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 ↳ Sistema: BFF lookupDni.cjs + panel_sales_page.dart + sales_register_logic.dart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en tasa de cierre de ventas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 ↳ Sistema: BFF lookupDni.cjs + panel_sales_page.dart + sales_register_logic.dart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insights accionables generados por el sistema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 ↳ Sistema: BFF lookupDni.cjs + panel_sales_page.dart + sales_register_logic.dart</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de la Fuerza</w:t>
              <w:br/>
              <w:t>de Ventas</w:t>
            </w:r>
          </w:p>
        </w:tc>
        <w:tc>
          <w:tcPr>
            <w:tcW w:type="dxa" w:w="1267"/>
            <w:vMerge w:val="restart"/>
            <w:vAlign w:val="center"/>
            <w:shd w:fill="FFF9EE" w:val="clear" w:color="auto"/>
          </w:tcPr>
          <w:p>
            <w:pPr>
              <w:jc w:val="left"/>
            </w:pPr>
            <w:r/>
            <w:r>
              <w:rPr>
                <w:rFonts w:ascii="Arial" w:hAnsi="Arial" w:eastAsia="Arial"/>
                <w:b w:val="0"/>
                <w:i w:val="0"/>
                <w:sz w:val="11"/>
              </w:rPr>
              <w:t>Desempeño de la Fuerza de Ventas: constructo dependiente/outcome del estudio Syam, N. y Sharma, A. (2018).</w:t>
            </w:r>
          </w:p>
        </w:tc>
        <w:tc>
          <w:tcPr>
            <w:tcW w:type="dxa" w:w="1267"/>
            <w:vMerge w:val="restart"/>
            <w:vAlign w:val="center"/>
            <w:shd w:fill="FFF9EE" w:val="clear" w:color="auto"/>
          </w:tcPr>
          <w:p>
            <w:pPr>
              <w:jc w:val="left"/>
            </w:pPr>
            <w:r/>
            <w:r>
              <w:rPr>
                <w:rFonts w:ascii="Arial" w:hAnsi="Arial" w:eastAsia="Arial"/>
                <w:b w:val="0"/>
                <w:i w:val="0"/>
                <w:sz w:val="11"/>
              </w:rPr>
              <w:t>Medición operativa: Revisión teórica-prospectiva de literatura; Análisis de tendencias industriales; Entrevistas a directores comerciales (n=15); Análisis de plataformas CRM con IA (Salesforce, HubSpot)</w:t>
            </w:r>
          </w:p>
        </w:tc>
        <w:tc>
          <w:tcPr>
            <w:tcW w:type="dxa" w:w="1181"/>
            <w:vMerge w:val="restart"/>
            <w:vAlign w:val="center"/>
            <w:shd w:fill="FFF5CC" w:val="clear" w:color="auto"/>
          </w:tcPr>
          <w:p>
            <w:pPr>
              <w:jc w:val="center"/>
            </w:pPr>
            <w:r/>
            <w:r>
              <w:rPr>
                <w:rFonts w:ascii="Arial" w:hAnsi="Arial" w:eastAsia="Arial"/>
                <w:b/>
                <w:i w:val="0"/>
                <w:sz w:val="11"/>
              </w:rPr>
              <w:t>Productividad individual del vendedor</w:t>
            </w:r>
          </w:p>
        </w:tc>
        <w:tc>
          <w:tcPr>
            <w:tcW w:type="dxa" w:w="1944"/>
            <w:vAlign w:val="center"/>
            <w:shd w:fill="FFFFFF" w:val="clear" w:color="auto"/>
          </w:tcPr>
          <w:p>
            <w:pPr>
              <w:jc w:val="left"/>
            </w:pPr>
            <w:r/>
            <w:r>
              <w:rPr>
                <w:rFonts w:ascii="Arial" w:hAnsi="Arial" w:eastAsia="Arial"/>
                <w:b w:val="0"/>
                <w:i w:val="0"/>
                <w:sz w:val="11"/>
              </w:rPr>
              <w:t>Ingresos por vendedor (S/./mes)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cuentas gestionadas activamente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retención de clientes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Eficiencia del proceso de venta</w:t>
            </w:r>
          </w:p>
        </w:tc>
        <w:tc>
          <w:tcPr>
            <w:tcW w:type="dxa" w:w="1944"/>
            <w:vAlign w:val="center"/>
            <w:shd w:fill="FFFFFF" w:val="clear" w:color="auto"/>
          </w:tcPr>
          <w:p>
            <w:pPr>
              <w:jc w:val="left"/>
            </w:pPr>
            <w:r/>
            <w:r>
              <w:rPr>
                <w:rFonts w:ascii="Arial" w:hAnsi="Arial" w:eastAsia="Arial"/>
                <w:b w:val="0"/>
                <w:i w:val="0"/>
                <w:sz w:val="11"/>
              </w:rPr>
              <w:t>Tiempo de ciclo de venta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CAC — Costo de adquisición de cliente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conversión de oportunidades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teórica-prospectiva de literatura; Análisis de tendencias industriales; Entrevistas a directores comerciales (n=15)</w:t>
            </w:r>
          </w:p>
        </w:tc>
        <w:tc>
          <w:tcPr>
            <w:tcW w:type="dxa" w:w="1181"/>
            <w:vAlign w:val="center"/>
            <w:shd w:fill="FFFFFF" w:val="clear" w:color="auto"/>
          </w:tcPr>
          <w:p>
            <w:pPr>
              <w:jc w:val="left"/>
            </w:pPr>
            <w:r/>
            <w:r>
              <w:rPr>
                <w:rFonts w:ascii="Arial" w:hAnsi="Arial" w:eastAsia="Arial"/>
                <w:b w:val="0"/>
                <w:i w:val="0"/>
                <w:sz w:val="11"/>
              </w:rPr>
              <w:t>Análisis de plataformas CRM con IA (Salesforce, HubSpot)</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Sustenta la automatización del proceso de ventas con IA como mejora de productividad comercial en Calzatura Vilchez. La mejora en tasa de cierre de ventas y la reducción del tiempo de ciclo respaldan los beneficios esperados del módulo de gestión de ventas del sistema; son indicadores comparables con el subíndice de ingresos del IRE (Variable Independiente — Módulo de ventas IA).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Módulo ventas con búsqueda DNI (BFF lookupDni.cjs), rangos de precio, historial y documentos PDF; paridad web-móvil vía panel_bff_api.dart.</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https://doi.org/10.1016/j.indmarman.2017.12.019</w:t>
      </w:r>
    </w:p>
    <w:p>
      <w:pPr>
        <w:spacing w:before="160" w:after="20"/>
      </w:pPr>
      <w:r>
        <w:rPr>
          <w:rFonts w:ascii="Arial" w:hAnsi="Arial" w:eastAsia="Arial"/>
          <w:b/>
          <w:i w:val="0"/>
          <w:sz w:val="18"/>
        </w:rPr>
        <w:t xml:space="preserve">Artículo [16] — </w:t>
      </w:r>
      <w:r>
        <w:rPr>
          <w:rFonts w:ascii="Arial" w:hAnsi="Arial" w:eastAsia="Arial"/>
          <w:b/>
          <w:i/>
          <w:sz w:val="18"/>
        </w:rPr>
        <w:t>Artificial intelligence and innovation management: A review, framework, and research agenda</w:t>
      </w:r>
    </w:p>
    <w:p>
      <w:pPr>
        <w:spacing w:before="0" w:after="40"/>
      </w:pPr>
      <w:r>
        <w:rPr>
          <w:rFonts w:ascii="Arial" w:hAnsi="Arial" w:eastAsia="Arial"/>
          <w:b w:val="0"/>
          <w:i/>
          <w:sz w:val="16"/>
        </w:rPr>
        <w:t>Haefner, N. et al. (2021) — Technological Forecasting and Social Change · Q1 · DOI: 10.1016/j.techfore.2020.120392</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IA como Motor de Innovación Empresarial y Resultados de Innovación Empresarial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Justifica la IA como driver estratégico de innovación que eleva la competitividad de Calzatura Vilchez frente a competidores con canales solo presenciales. El nivel de madurez de capacidades IA fundamenta la inversión tecnológica propuesta; el número de nuevos productos/servicios lanzados es un indicador de impacto estratégico del sistema (Marco conceptual de justificación de l</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IA como Motor de</w:t>
              <w:br/>
              <w:t>Innovación Empresarial</w:t>
            </w:r>
          </w:p>
        </w:tc>
        <w:tc>
          <w:tcPr>
            <w:tcW w:type="dxa" w:w="1267"/>
            <w:vMerge w:val="restart"/>
            <w:vAlign w:val="center"/>
            <w:shd w:fill="F4F9FD" w:val="clear" w:color="auto"/>
          </w:tcPr>
          <w:p>
            <w:pPr>
              <w:jc w:val="left"/>
            </w:pPr>
            <w:r/>
            <w:r>
              <w:rPr>
                <w:rFonts w:ascii="Arial" w:hAnsi="Arial" w:eastAsia="Arial"/>
                <w:b w:val="0"/>
                <w:i w:val="0"/>
                <w:sz w:val="11"/>
              </w:rPr>
              <w:t>IA como Motor de Innovación Empresarial: constructo independiente conceptualizado por Haefner, N. et al. (2021).</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(PRISMA); Análisis bibliométrico (VOSviewer); Marco conceptual integrador multinivel; Encuesta a gerentes de I+D+i</w:t>
            </w:r>
          </w:p>
        </w:tc>
        <w:tc>
          <w:tcPr>
            <w:tcW w:type="dxa" w:w="1181"/>
            <w:vMerge w:val="restart"/>
            <w:vAlign w:val="center"/>
            <w:shd w:fill="D6E4F0" w:val="clear" w:color="auto"/>
          </w:tcPr>
          <w:p>
            <w:pPr>
              <w:jc w:val="center"/>
            </w:pPr>
            <w:r/>
            <w:r>
              <w:rPr>
                <w:rFonts w:ascii="Arial" w:hAnsi="Arial" w:eastAsia="Arial"/>
                <w:b/>
                <w:i w:val="0"/>
                <w:sz w:val="11"/>
              </w:rPr>
              <w:t>Exploración de ideas asistida por IA</w:t>
            </w:r>
          </w:p>
        </w:tc>
        <w:tc>
          <w:tcPr>
            <w:tcW w:type="dxa" w:w="1944"/>
            <w:vAlign w:val="center"/>
            <w:shd w:fill="FFFFFF" w:val="clear" w:color="auto"/>
          </w:tcPr>
          <w:p>
            <w:pPr>
              <w:jc w:val="left"/>
            </w:pPr>
            <w:r/>
            <w:r>
              <w:rPr>
                <w:rFonts w:ascii="Arial" w:hAnsi="Arial" w:eastAsia="Arial"/>
                <w:b w:val="0"/>
                <w:i w:val="0"/>
                <w:sz w:val="11"/>
              </w:rPr>
              <w:t>N.° de ideas generadas por IA por período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 ↳ Sistema: ai-service integrado al e-commerce (no módulo aislado)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aceptación de ideas propuestas por IA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 ↳ Sistema: ai-service integrado al e-commerce (no módulo aislado)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Diversidad temática de ideas (índice de entropía)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 ↳ Sistema: ai-service integrado al e-commerce (no módulo aislado)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Aceleración del proceso de innovación</w:t>
            </w:r>
          </w:p>
        </w:tc>
        <w:tc>
          <w:tcPr>
            <w:tcW w:type="dxa" w:w="1944"/>
            <w:vAlign w:val="center"/>
            <w:shd w:fill="FFFFFF" w:val="clear" w:color="auto"/>
          </w:tcPr>
          <w:p>
            <w:pPr>
              <w:jc w:val="left"/>
            </w:pPr>
            <w:r/>
            <w:r>
              <w:rPr>
                <w:rFonts w:ascii="Arial" w:hAnsi="Arial" w:eastAsia="Arial"/>
                <w:b w:val="0"/>
                <w:i w:val="0"/>
                <w:sz w:val="11"/>
              </w:rPr>
              <w:t>Reducción del tiempo de desarrollo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 ↳ Sistema: ai-service integrado al e-commerce (no módulo aislado)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del costo de I+D por IA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 ↳ Sistema: ai-service integrado al e-commerce (no módulo aislado)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ciclos de iteración reducidos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 ↳ Sistema: ai-service integrado al e-commerce (no módulo aislado)</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Resultados de Innovación</w:t>
              <w:br/>
              <w:t>Empresarial</w:t>
            </w:r>
          </w:p>
        </w:tc>
        <w:tc>
          <w:tcPr>
            <w:tcW w:type="dxa" w:w="1267"/>
            <w:vMerge w:val="restart"/>
            <w:vAlign w:val="center"/>
            <w:shd w:fill="FFF9EE" w:val="clear" w:color="auto"/>
          </w:tcPr>
          <w:p>
            <w:pPr>
              <w:jc w:val="left"/>
            </w:pPr>
            <w:r/>
            <w:r>
              <w:rPr>
                <w:rFonts w:ascii="Arial" w:hAnsi="Arial" w:eastAsia="Arial"/>
                <w:b w:val="0"/>
                <w:i w:val="0"/>
                <w:sz w:val="11"/>
              </w:rPr>
              <w:t>Resultados de Innovación Empresarial: constructo dependiente/outcome del estudio Haefner, N. et al. (2021).</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(PRISMA); Análisis bibliométrico (VOSviewer); Marco conceptual integrador multinivel; Encuesta a gerentes de I+D+i</w:t>
            </w:r>
          </w:p>
        </w:tc>
        <w:tc>
          <w:tcPr>
            <w:tcW w:type="dxa" w:w="1181"/>
            <w:vMerge w:val="restart"/>
            <w:vAlign w:val="center"/>
            <w:shd w:fill="FFF5CC" w:val="clear" w:color="auto"/>
          </w:tcPr>
          <w:p>
            <w:pPr>
              <w:jc w:val="center"/>
            </w:pPr>
            <w:r/>
            <w:r>
              <w:rPr>
                <w:rFonts w:ascii="Arial" w:hAnsi="Arial" w:eastAsia="Arial"/>
                <w:b/>
                <w:i w:val="0"/>
                <w:sz w:val="11"/>
              </w:rPr>
              <w:t>Output de innovación</w:t>
            </w:r>
          </w:p>
        </w:tc>
        <w:tc>
          <w:tcPr>
            <w:tcW w:type="dxa" w:w="1944"/>
            <w:vAlign w:val="center"/>
            <w:shd w:fill="FFFFFF" w:val="clear" w:color="auto"/>
          </w:tcPr>
          <w:p>
            <w:pPr>
              <w:jc w:val="left"/>
            </w:pPr>
            <w:r/>
            <w:r>
              <w:rPr>
                <w:rFonts w:ascii="Arial" w:hAnsi="Arial" w:eastAsia="Arial"/>
                <w:b w:val="0"/>
                <w:i w:val="0"/>
                <w:sz w:val="11"/>
              </w:rPr>
              <w:t>N.° de nuevos productos lanzados/año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al mercado — TTM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éxito del lanzamiento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Capacidad de innovación organizacional</w:t>
            </w:r>
          </w:p>
        </w:tc>
        <w:tc>
          <w:tcPr>
            <w:tcW w:type="dxa" w:w="1944"/>
            <w:vAlign w:val="center"/>
            <w:shd w:fill="FFFFFF" w:val="clear" w:color="auto"/>
          </w:tcPr>
          <w:p>
            <w:pPr>
              <w:jc w:val="left"/>
            </w:pPr>
            <w:r/>
            <w:r>
              <w:rPr>
                <w:rFonts w:ascii="Arial" w:hAnsi="Arial" w:eastAsia="Arial"/>
                <w:b w:val="0"/>
                <w:i w:val="0"/>
                <w:sz w:val="11"/>
              </w:rPr>
              <w:t>Nivel de madurez de capacidades IA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Inversión en I+D (% de ingresos)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patentes registradas/año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Análisis bibliométrico (VOSviewer); Marco conceptual integrador multinivel</w:t>
            </w:r>
          </w:p>
        </w:tc>
        <w:tc>
          <w:tcPr>
            <w:tcW w:type="dxa" w:w="1181"/>
            <w:vAlign w:val="center"/>
            <w:shd w:fill="FFFFFF" w:val="clear" w:color="auto"/>
          </w:tcPr>
          <w:p>
            <w:pPr>
              <w:jc w:val="left"/>
            </w:pPr>
            <w:r/>
            <w:r>
              <w:rPr>
                <w:rFonts w:ascii="Arial" w:hAnsi="Arial" w:eastAsia="Arial"/>
                <w:b w:val="0"/>
                <w:i w:val="0"/>
                <w:sz w:val="11"/>
              </w:rPr>
              <w:t>Encuesta a gerentes de I+D+i</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Justifica la IA como driver estratégico de innovación que eleva la competitividad de Calzatura Vilchez frente a competidores con canales solo presenciales. El nivel de madurez de capacidades IA fundamenta la inversión tecnológica propuesta; el número de nuevos productos/servicios lanzados es un indicador de impacto estratégico del sistema (Marco conceptual de justificación de la propuesta).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Innovación IA integrada al e-commerce: predicción + IRE + alertas sin módulo aislado; ciclo CRISP-ML aplicado en ai-service.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https://doi.org/10.1016/j.techfore.2020.120392</w:t>
      </w:r>
    </w:p>
    <w:p>
      <w:pPr>
        <w:spacing w:before="160" w:after="20"/>
      </w:pPr>
      <w:r>
        <w:rPr>
          <w:rFonts w:ascii="Arial" w:hAnsi="Arial" w:eastAsia="Arial"/>
          <w:b/>
          <w:i w:val="0"/>
          <w:sz w:val="18"/>
        </w:rPr>
        <w:t xml:space="preserve">Artículo [17] — </w:t>
      </w:r>
      <w:r>
        <w:rPr>
          <w:rFonts w:ascii="Arial" w:hAnsi="Arial" w:eastAsia="Arial"/>
          <w:b/>
          <w:i/>
          <w:sz w:val="18"/>
        </w:rPr>
        <w:t>Artificial intelligence (AI) and its implications for market knowledge in B2B marketing</w:t>
      </w:r>
    </w:p>
    <w:p>
      <w:pPr>
        <w:spacing w:before="0" w:after="40"/>
      </w:pPr>
      <w:r>
        <w:rPr>
          <w:rFonts w:ascii="Arial" w:hAnsi="Arial" w:eastAsia="Arial"/>
          <w:b w:val="0"/>
          <w:i/>
          <w:sz w:val="16"/>
        </w:rPr>
        <w:t>Paschen, J.; Kietzmann, J. y Kietzmann, T.C. (2019) — Journal of Business &amp; Industrial Marketing · Q1 · DOI: 10.1108/jbim-10-2018-0295</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IA Aplicada al Conocimiento de Mercado B2B y Ventaja Competitiva en Mercados B2B en el contexto del estudio original.</w:t>
            </w:r>
          </w:p>
        </w:tc>
        <w:tc>
          <w:tcPr>
            <w:tcW w:type="dxa" w:w="1512"/>
            <w:vAlign w:val="center"/>
            <w:shd w:fill="F8F9FA" w:val="clear" w:color="auto"/>
          </w:tcPr>
          <w:p>
            <w:pPr>
              <w:jc w:val="left"/>
            </w:pPr>
            <w:r/>
            <w:r>
              <w:rPr>
                <w:rFonts w:ascii="Arial" w:hAnsi="Arial" w:eastAsia="Arial"/>
                <w:b w:val="0"/>
                <w:i w:val="0"/>
                <w:sz w:val="12"/>
              </w:rPr>
              <w:t>Estudio de casos múltiples</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Sustenta el conocimiento de mercado como input clave del modelo predictivo del IRE. La profundidad del insight generado y el número de variables analizadas simultáneamente son características deseables del módulo IA de Calzatura Vilchez; los datos de comportamiento de clientes son insumos directos para el subíndice de riesgo de demanda (Variable Dependiente — Riesgo de demanda)</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IA Aplicada al</w:t>
              <w:br/>
              <w:t>Conocimiento de Mercado</w:t>
              <w:br/>
              <w:t>B2B</w:t>
            </w:r>
          </w:p>
        </w:tc>
        <w:tc>
          <w:tcPr>
            <w:tcW w:type="dxa" w:w="1267"/>
            <w:vMerge w:val="restart"/>
            <w:vAlign w:val="center"/>
            <w:shd w:fill="F4F9FD" w:val="clear" w:color="auto"/>
          </w:tcPr>
          <w:p>
            <w:pPr>
              <w:jc w:val="left"/>
            </w:pPr>
            <w:r/>
            <w:r>
              <w:rPr>
                <w:rFonts w:ascii="Arial" w:hAnsi="Arial" w:eastAsia="Arial"/>
                <w:b w:val="0"/>
                <w:i w:val="0"/>
                <w:sz w:val="11"/>
              </w:rPr>
              <w:t>IA Aplicada al Conocimiento de Mercado B2B: constructo independiente conceptualizado por Paschen, J.; Kietzmann, J. y Kietzmann, T.C. (2019).</w:t>
            </w:r>
          </w:p>
        </w:tc>
        <w:tc>
          <w:tcPr>
            <w:tcW w:type="dxa" w:w="1267"/>
            <w:vMerge w:val="restart"/>
            <w:vAlign w:val="center"/>
            <w:shd w:fill="F4F9FD" w:val="clear" w:color="auto"/>
          </w:tcPr>
          <w:p>
            <w:pPr>
              <w:jc w:val="left"/>
            </w:pPr>
            <w:r/>
            <w:r>
              <w:rPr>
                <w:rFonts w:ascii="Arial" w:hAnsi="Arial" w:eastAsia="Arial"/>
                <w:b w:val="0"/>
                <w:i w:val="0"/>
                <w:sz w:val="11"/>
              </w:rPr>
              <w:t>Medición operativa: Revisión conceptual de literatura; Análisis de casos B2B con IA (n=6); Entrevistas semiestructuradas a expertos de marketing; Framework inductivo de análisis temático</w:t>
            </w:r>
          </w:p>
        </w:tc>
        <w:tc>
          <w:tcPr>
            <w:tcW w:type="dxa" w:w="1181"/>
            <w:vMerge w:val="restart"/>
            <w:vAlign w:val="center"/>
            <w:shd w:fill="D6E4F0" w:val="clear" w:color="auto"/>
          </w:tcPr>
          <w:p>
            <w:pPr>
              <w:jc w:val="center"/>
            </w:pPr>
            <w:r/>
            <w:r>
              <w:rPr>
                <w:rFonts w:ascii="Arial" w:hAnsi="Arial" w:eastAsia="Arial"/>
                <w:b/>
                <w:i w:val="0"/>
                <w:sz w:val="11"/>
              </w:rPr>
              <w:t>Generación de conocimiento de mercado con IA</w:t>
            </w:r>
          </w:p>
        </w:tc>
        <w:tc>
          <w:tcPr>
            <w:tcW w:type="dxa" w:w="1944"/>
            <w:vAlign w:val="center"/>
            <w:shd w:fill="FFFFFF" w:val="clear" w:color="auto"/>
          </w:tcPr>
          <w:p>
            <w:pPr>
              <w:jc w:val="left"/>
            </w:pPr>
            <w:r/>
            <w:r>
              <w:rPr>
                <w:rFonts w:ascii="Arial" w:hAnsi="Arial" w:eastAsia="Arial"/>
                <w:b w:val="0"/>
                <w:i w:val="0"/>
                <w:sz w:val="11"/>
              </w:rPr>
              <w:t>N.° de fuentes de datos externas integradas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 ↳ Sistema: features categoría/marca/destacado en pipeline demanda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Velocidad de actualización del conocimiento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 ↳ Sistema: features categoría/marca/destacado en pipeline demanda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Profundidad del insight generado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 ↳ Sistema: features categoría/marca/destacado en pipeline demanda</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Capacidades predictivas del sistema IA</w:t>
            </w:r>
          </w:p>
        </w:tc>
        <w:tc>
          <w:tcPr>
            <w:tcW w:type="dxa" w:w="1944"/>
            <w:vAlign w:val="center"/>
            <w:shd w:fill="FFFFFF" w:val="clear" w:color="auto"/>
          </w:tcPr>
          <w:p>
            <w:pPr>
              <w:jc w:val="left"/>
            </w:pPr>
            <w:r/>
            <w:r>
              <w:rPr>
                <w:rFonts w:ascii="Arial" w:hAnsi="Arial" w:eastAsia="Arial"/>
                <w:b w:val="0"/>
                <w:i w:val="0"/>
                <w:sz w:val="11"/>
              </w:rPr>
              <w:t>Precisión de predicción del comportamiento del cliente B2B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 ↳ Sistema: features categoría/marca/destacado en pipeline demanda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respuesta del sistema de insights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 ↳ Sistema: features categoría/marca/destacado en pipeline demanda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variables analizadas simultáneamente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 ↳ Sistema: features categoría/marca/destacado en pipeline demanda</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Ventaja Competitiva en</w:t>
              <w:br/>
              <w:t>Mercados B2B</w:t>
            </w:r>
          </w:p>
        </w:tc>
        <w:tc>
          <w:tcPr>
            <w:tcW w:type="dxa" w:w="1267"/>
            <w:vMerge w:val="restart"/>
            <w:vAlign w:val="center"/>
            <w:shd w:fill="FFF9EE" w:val="clear" w:color="auto"/>
          </w:tcPr>
          <w:p>
            <w:pPr>
              <w:jc w:val="left"/>
            </w:pPr>
            <w:r/>
            <w:r>
              <w:rPr>
                <w:rFonts w:ascii="Arial" w:hAnsi="Arial" w:eastAsia="Arial"/>
                <w:b w:val="0"/>
                <w:i w:val="0"/>
                <w:sz w:val="11"/>
              </w:rPr>
              <w:t>Ventaja Competitiva en Mercados B2B: constructo dependiente/outcome del estudio Paschen, J.; Kietzmann, J. y Kietzmann, T.C. (2019).</w:t>
            </w:r>
          </w:p>
        </w:tc>
        <w:tc>
          <w:tcPr>
            <w:tcW w:type="dxa" w:w="1267"/>
            <w:vMerge w:val="restart"/>
            <w:vAlign w:val="center"/>
            <w:shd w:fill="FFF9EE" w:val="clear" w:color="auto"/>
          </w:tcPr>
          <w:p>
            <w:pPr>
              <w:jc w:val="left"/>
            </w:pPr>
            <w:r/>
            <w:r>
              <w:rPr>
                <w:rFonts w:ascii="Arial" w:hAnsi="Arial" w:eastAsia="Arial"/>
                <w:b w:val="0"/>
                <w:i w:val="0"/>
                <w:sz w:val="11"/>
              </w:rPr>
              <w:t>Medición operativa: Revisión conceptual de literatura; Análisis de casos B2B con IA (n=6); Entrevistas semiestructuradas a expertos de marketing; Framework inductivo de análisis temático</w:t>
            </w:r>
          </w:p>
        </w:tc>
        <w:tc>
          <w:tcPr>
            <w:tcW w:type="dxa" w:w="1181"/>
            <w:vMerge w:val="restart"/>
            <w:vAlign w:val="center"/>
            <w:shd w:fill="FFF5CC" w:val="clear" w:color="auto"/>
          </w:tcPr>
          <w:p>
            <w:pPr>
              <w:jc w:val="center"/>
            </w:pPr>
            <w:r/>
            <w:r>
              <w:rPr>
                <w:rFonts w:ascii="Arial" w:hAnsi="Arial" w:eastAsia="Arial"/>
                <w:b/>
                <w:i w:val="0"/>
                <w:sz w:val="11"/>
              </w:rPr>
              <w:t>Diferenciación del servicio</w:t>
            </w:r>
          </w:p>
        </w:tc>
        <w:tc>
          <w:tcPr>
            <w:tcW w:type="dxa" w:w="1944"/>
            <w:vAlign w:val="center"/>
            <w:shd w:fill="FFFFFF" w:val="clear" w:color="auto"/>
          </w:tcPr>
          <w:p>
            <w:pPr>
              <w:jc w:val="left"/>
            </w:pPr>
            <w:r/>
            <w:r>
              <w:rPr>
                <w:rFonts w:ascii="Arial" w:hAnsi="Arial" w:eastAsia="Arial"/>
                <w:b w:val="0"/>
                <w:i w:val="0"/>
                <w:sz w:val="11"/>
              </w:rPr>
              <w:t>Tasa de retención de clientes B2B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CES — Customer Effort Score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Eficiencia comercial B2B</w:t>
            </w:r>
          </w:p>
        </w:tc>
        <w:tc>
          <w:tcPr>
            <w:tcW w:type="dxa" w:w="1944"/>
            <w:vAlign w:val="center"/>
            <w:shd w:fill="FFFFFF" w:val="clear" w:color="auto"/>
          </w:tcPr>
          <w:p>
            <w:pPr>
              <w:jc w:val="left"/>
            </w:pPr>
            <w:r/>
            <w:r>
              <w:rPr>
                <w:rFonts w:ascii="Arial" w:hAnsi="Arial" w:eastAsia="Arial"/>
                <w:b w:val="0"/>
                <w:i w:val="0"/>
                <w:sz w:val="11"/>
              </w:rPr>
              <w:t>Tiempo de ciclo de ventas B2B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conversión de prospectos a clientes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CAC B2B (S/.)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conceptual de literatura; Análisis de casos B2B con IA (n=6); Entrevistas semiestructuradas a expertos de marketing</w:t>
            </w:r>
          </w:p>
        </w:tc>
        <w:tc>
          <w:tcPr>
            <w:tcW w:type="dxa" w:w="1181"/>
            <w:vAlign w:val="center"/>
            <w:shd w:fill="FFFFFF" w:val="clear" w:color="auto"/>
          </w:tcPr>
          <w:p>
            <w:pPr>
              <w:jc w:val="left"/>
            </w:pPr>
            <w:r/>
            <w:r>
              <w:rPr>
                <w:rFonts w:ascii="Arial" w:hAnsi="Arial" w:eastAsia="Arial"/>
                <w:b w:val="0"/>
                <w:i w:val="0"/>
                <w:sz w:val="11"/>
              </w:rPr>
              <w:t>Framework inductivo de análisis temático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Sustenta el conocimiento de mercado como input clave del modelo predictivo del IRE. La profundidad del insight generado y el número de variables analizadas simultáneamente son características deseables del módulo IA de Calzatura Vilchez; los datos de comportamiento de clientes son insumos directos para el subíndice de riesgo de demanda (Variable Dependiente — Riesgo de demanda).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Variables de mercado (categoría, marca, destacado, estacionalidad) incorporadas como features del RandomForest en build_daily_sales.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https://doi.org/10.1108/jbim-10-2018-0295</w:t>
      </w:r>
    </w:p>
    <w:p>
      <w:pPr>
        <w:spacing w:before="200" w:after="80"/>
        <w:shd w:fill="2E75B6" w:val="clear" w:color="auto"/>
      </w:pPr>
      <w:r>
        <w:rPr>
          <w:rFonts w:ascii="Arial" w:hAnsi="Arial" w:eastAsia="Arial"/>
          <w:b/>
          <w:i w:val="0"/>
          <w:color w:val="FFFFFF"/>
          <w:sz w:val="22"/>
        </w:rPr>
        <w:t>EJE 3 — PREDICCIÓN, FORECASTING Y RIESGO EMPRESARIAL COMERCIAL-OPERATIVO</w:t>
      </w:r>
    </w:p>
    <w:p>
      <w:pPr>
        <w:spacing w:before="160" w:after="20"/>
      </w:pPr>
      <w:r>
        <w:rPr>
          <w:rFonts w:ascii="Arial" w:hAnsi="Arial" w:eastAsia="Arial"/>
          <w:b/>
          <w:i w:val="0"/>
          <w:sz w:val="18"/>
        </w:rPr>
        <w:t xml:space="preserve">Artículo [18] — </w:t>
      </w:r>
      <w:r>
        <w:rPr>
          <w:rFonts w:ascii="Arial" w:hAnsi="Arial" w:eastAsia="Arial"/>
          <w:b/>
          <w:i/>
          <w:sz w:val="18"/>
        </w:rPr>
        <w:t>Deep learning for financial applications: A survey</w:t>
      </w:r>
    </w:p>
    <w:p>
      <w:pPr>
        <w:spacing w:before="0" w:after="40"/>
      </w:pPr>
      <w:r>
        <w:rPr>
          <w:rFonts w:ascii="Arial" w:hAnsi="Arial" w:eastAsia="Arial"/>
          <w:b w:val="0"/>
          <w:i/>
          <w:sz w:val="16"/>
        </w:rPr>
        <w:t>Ozbayoglu, A.M.; Gudelek, M.U. y Sezer, O.B. (2020) — Applied Soft Computing · Q1 · JIF 8.26</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Modelos de Deep Learning para Predicción Financiera y Precisión en Predicción de Riesgo Financiero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Grandes corporaciones EE.UU. (COMPUSTAT/CRSP)</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metodológico de deep learning para predicción financiera. Establece AUC-ROC, F1-score y SHAP como métricas estándar de comparación de modelos predictivos. Justifica metodológicamente por qué Random Forest es preferible a DL para el IRE dado el tamaño limitado del dataset de una PYME. NOTA: el riesgo modelado es insolvencia financiera, diferente al IRE comercial-oper</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Modelos de Deep Learning</w:t>
              <w:br/>
              <w:t>para Predicción Financiera</w:t>
            </w:r>
          </w:p>
        </w:tc>
        <w:tc>
          <w:tcPr>
            <w:tcW w:type="dxa" w:w="1267"/>
            <w:vMerge w:val="restart"/>
            <w:vAlign w:val="center"/>
            <w:shd w:fill="F4F9FD" w:val="clear" w:color="auto"/>
          </w:tcPr>
          <w:p>
            <w:pPr>
              <w:jc w:val="left"/>
            </w:pPr>
            <w:r/>
            <w:r>
              <w:rPr>
                <w:rFonts w:ascii="Arial" w:hAnsi="Arial" w:eastAsia="Arial"/>
                <w:b w:val="0"/>
                <w:i w:val="0"/>
                <w:sz w:val="11"/>
              </w:rPr>
              <w:t>Modelos de Deep Learning para Predicción Financiera: constructo independiente conceptualizado por Ozbayoglu, A.M.; Gudelek, M.U. y Sezer, O.B. (2020).</w:t>
            </w:r>
          </w:p>
        </w:tc>
        <w:tc>
          <w:tcPr>
            <w:tcW w:type="dxa" w:w="1267"/>
            <w:vMerge w:val="restart"/>
            <w:vAlign w:val="center"/>
            <w:shd w:fill="F4F9FD" w:val="clear" w:color="auto"/>
          </w:tcPr>
          <w:p>
            <w:pPr>
              <w:jc w:val="left"/>
            </w:pPr>
            <w:r/>
            <w:r>
              <w:rPr>
                <w:rFonts w:ascii="Arial" w:hAnsi="Arial" w:eastAsia="Arial"/>
                <w:b w:val="0"/>
                <w:i w:val="0"/>
                <w:sz w:val="11"/>
              </w:rPr>
              <w:t>Medición operativa: TensorFlow / Keras (Python); Conjuntos de datos financieros públicos (Compustat, WRDS); Validación cruzada k-fold (k=10); SHAP para interpretabilidad de predicciones</w:t>
            </w:r>
          </w:p>
        </w:tc>
        <w:tc>
          <w:tcPr>
            <w:tcW w:type="dxa" w:w="1181"/>
            <w:vMerge w:val="restart"/>
            <w:vAlign w:val="center"/>
            <w:shd w:fill="D6E4F0" w:val="clear" w:color="auto"/>
          </w:tcPr>
          <w:p>
            <w:pPr>
              <w:jc w:val="center"/>
            </w:pPr>
            <w:r/>
            <w:r>
              <w:rPr>
                <w:rFonts w:ascii="Arial" w:hAnsi="Arial" w:eastAsia="Arial"/>
                <w:b/>
                <w:i w:val="0"/>
                <w:sz w:val="11"/>
              </w:rPr>
              <w:t>Arquitectura de la red neuronal profunda</w:t>
            </w:r>
          </w:p>
        </w:tc>
        <w:tc>
          <w:tcPr>
            <w:tcW w:type="dxa" w:w="1944"/>
            <w:vAlign w:val="center"/>
            <w:shd w:fill="FFFFFF" w:val="clear" w:color="auto"/>
          </w:tcPr>
          <w:p>
            <w:pPr>
              <w:jc w:val="left"/>
            </w:pPr>
            <w:r/>
            <w:r>
              <w:rPr>
                <w:rFonts w:ascii="Arial" w:hAnsi="Arial" w:eastAsia="Arial"/>
                <w:b w:val="0"/>
                <w:i w:val="0"/>
                <w:sz w:val="11"/>
              </w:rPr>
              <w:t>N.° de capas ocultas del modelo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neuronas por capa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Función de activación (ReLU, sigmoid, tanh)</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Datos financieros de entrada</w:t>
            </w:r>
          </w:p>
        </w:tc>
        <w:tc>
          <w:tcPr>
            <w:tcW w:type="dxa" w:w="1944"/>
            <w:vAlign w:val="center"/>
            <w:shd w:fill="FFFFFF" w:val="clear" w:color="auto"/>
          </w:tcPr>
          <w:p>
            <w:pPr>
              <w:jc w:val="left"/>
            </w:pPr>
            <w:r/>
            <w:r>
              <w:rPr>
                <w:rFonts w:ascii="Arial" w:hAnsi="Arial" w:eastAsia="Arial"/>
                <w:b w:val="0"/>
                <w:i w:val="0"/>
                <w:sz w:val="11"/>
              </w:rPr>
              <w:t>N.° de variables financieras utilizadas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Horizonte temporal de datos históricos (años)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Frecuencia de actualización de datos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Optimización del modelo</w:t>
            </w:r>
          </w:p>
        </w:tc>
        <w:tc>
          <w:tcPr>
            <w:tcW w:type="dxa" w:w="1944"/>
            <w:vAlign w:val="center"/>
            <w:shd w:fill="FFFFFF" w:val="clear" w:color="auto"/>
          </w:tcPr>
          <w:p>
            <w:pPr>
              <w:jc w:val="left"/>
            </w:pPr>
            <w:r/>
            <w:r>
              <w:rPr>
                <w:rFonts w:ascii="Arial" w:hAnsi="Arial" w:eastAsia="Arial"/>
                <w:b w:val="0"/>
                <w:i w:val="0"/>
                <w:sz w:val="11"/>
              </w:rPr>
              <w:t>Tasa de aprendizaje (learning rate)</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épocas de entrenamiento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Técnica de regularización aplicada (dropout, L2)</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 ↳ Sistema: scikit-learn RF; sin TensorFlow/Keras en producción</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Precisión en Predicción</w:t>
              <w:br/>
              <w:t>de Riesgo Financiero</w:t>
            </w:r>
          </w:p>
        </w:tc>
        <w:tc>
          <w:tcPr>
            <w:tcW w:type="dxa" w:w="1267"/>
            <w:vMerge w:val="restart"/>
            <w:vAlign w:val="center"/>
            <w:shd w:fill="FFF9EE" w:val="clear" w:color="auto"/>
          </w:tcPr>
          <w:p>
            <w:pPr>
              <w:jc w:val="left"/>
            </w:pPr>
            <w:r/>
            <w:r>
              <w:rPr>
                <w:rFonts w:ascii="Arial" w:hAnsi="Arial" w:eastAsia="Arial"/>
                <w:b w:val="0"/>
                <w:i w:val="0"/>
                <w:sz w:val="11"/>
              </w:rPr>
              <w:t>Precisión en Predicción de Riesgo Financiero: constructo dependiente/outcome del estudio Ozbayoglu, A.M.; Gudelek, M.U. y Sezer, O.B. (2020).</w:t>
            </w:r>
          </w:p>
        </w:tc>
        <w:tc>
          <w:tcPr>
            <w:tcW w:type="dxa" w:w="1267"/>
            <w:vMerge w:val="restart"/>
            <w:vAlign w:val="center"/>
            <w:shd w:fill="FFF9EE" w:val="clear" w:color="auto"/>
          </w:tcPr>
          <w:p>
            <w:pPr>
              <w:jc w:val="left"/>
            </w:pPr>
            <w:r/>
            <w:r>
              <w:rPr>
                <w:rFonts w:ascii="Arial" w:hAnsi="Arial" w:eastAsia="Arial"/>
                <w:b w:val="0"/>
                <w:i w:val="0"/>
                <w:sz w:val="11"/>
              </w:rPr>
              <w:t>Medición operativa: TensorFlow / Keras (Python); Conjuntos de datos financieros públicos (Compustat, WRDS); Validación cruzada k-fold (k=10); SHAP para interpretabilidad de predicciones</w:t>
            </w:r>
          </w:p>
        </w:tc>
        <w:tc>
          <w:tcPr>
            <w:tcW w:type="dxa" w:w="1181"/>
            <w:vMerge w:val="restart"/>
            <w:vAlign w:val="center"/>
            <w:shd w:fill="FFF5CC" w:val="clear" w:color="auto"/>
          </w:tcPr>
          <w:p>
            <w:pPr>
              <w:jc w:val="center"/>
            </w:pPr>
            <w:r/>
            <w:r>
              <w:rPr>
                <w:rFonts w:ascii="Arial" w:hAnsi="Arial" w:eastAsia="Arial"/>
                <w:b/>
                <w:i w:val="0"/>
                <w:sz w:val="11"/>
              </w:rPr>
              <w:t>Métricas de exactitud del modelo</w:t>
            </w: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AUC-ROC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F1-score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Precision y Recall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Estabilidad temporal del modelo</w:t>
            </w:r>
          </w:p>
        </w:tc>
        <w:tc>
          <w:tcPr>
            <w:tcW w:type="dxa" w:w="1944"/>
            <w:vAlign w:val="center"/>
            <w:shd w:fill="FFFFFF" w:val="clear" w:color="auto"/>
          </w:tcPr>
          <w:p>
            <w:pPr>
              <w:jc w:val="left"/>
            </w:pPr>
            <w:r/>
            <w:r>
              <w:rPr>
                <w:rFonts w:ascii="Arial" w:hAnsi="Arial" w:eastAsia="Arial"/>
                <w:b w:val="0"/>
                <w:i w:val="0"/>
                <w:sz w:val="11"/>
              </w:rPr>
              <w:t>Variación del error por horizonte (δ accuracy)</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Sesgo del modelo en datos fuera de muestra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Conjuntos de datos financieros públicos (Compustat, WRDS); Validación cruzada k-fold (k=10)</w:t>
            </w:r>
          </w:p>
        </w:tc>
        <w:tc>
          <w:tcPr>
            <w:tcW w:type="dxa" w:w="1181"/>
            <w:vAlign w:val="center"/>
            <w:shd w:fill="FFFFFF" w:val="clear" w:color="auto"/>
          </w:tcPr>
          <w:p>
            <w:pPr>
              <w:jc w:val="left"/>
            </w:pPr>
            <w:r/>
            <w:r>
              <w:rPr>
                <w:rFonts w:ascii="Arial" w:hAnsi="Arial" w:eastAsia="Arial"/>
                <w:b w:val="0"/>
                <w:i w:val="0"/>
                <w:sz w:val="11"/>
              </w:rPr>
              <w:t>SHAP para interpretabilidad de predicciones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metodológico de deep learning para predicción financiera. Establece AUC-ROC, F1-score y SHAP como métricas estándar de comparación de modelos predictivos. Justifica metodológicamente por qué Random Forest es preferible a DL para el IRE dado el tamaño limitado del dataset de una PYME. NOTA: el riesgo modelado es insolvencia financiera, diferente al IRE comercial-operativo.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Decisión técnica documentada: RF tabular (scikit-learn 1.5) en lugar de DL/LSTM por tamaño limitado del dataset PYME.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https://doi.org/10.1016/j.asoc.2020.106384</w:t>
      </w:r>
    </w:p>
    <w:p>
      <w:pPr>
        <w:spacing w:before="160" w:after="20"/>
      </w:pPr>
      <w:r>
        <w:rPr>
          <w:rFonts w:ascii="Arial" w:hAnsi="Arial" w:eastAsia="Arial"/>
          <w:b/>
          <w:i w:val="0"/>
          <w:sz w:val="18"/>
        </w:rPr>
        <w:t xml:space="preserve">Artículo [19] — </w:t>
      </w:r>
      <w:r>
        <w:rPr>
          <w:rFonts w:ascii="Arial" w:hAnsi="Arial" w:eastAsia="Arial"/>
          <w:b/>
          <w:i/>
          <w:sz w:val="18"/>
        </w:rPr>
        <w:t>Machine learning models and bankruptcy prediction</w:t>
      </w:r>
    </w:p>
    <w:p>
      <w:pPr>
        <w:spacing w:before="0" w:after="40"/>
      </w:pPr>
      <w:r>
        <w:rPr>
          <w:rFonts w:ascii="Arial" w:hAnsi="Arial" w:eastAsia="Arial"/>
          <w:b w:val="0"/>
          <w:i/>
          <w:sz w:val="16"/>
        </w:rPr>
        <w:t>Barboza, F.; Kimura, H. y Altman, E. (2017) — Expert Systems with Applications · Q1 · JIF 8.67</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Modelos de Machine Learning para Predicción de Quiebra y Predicción de Quiebra Empresarial en el contexto del estudio original.</w:t>
            </w:r>
          </w:p>
        </w:tc>
        <w:tc>
          <w:tcPr>
            <w:tcW w:type="dxa" w:w="1512"/>
            <w:vAlign w:val="center"/>
            <w:shd w:fill="F8F9FA" w:val="clear" w:color="auto"/>
          </w:tcPr>
          <w:p>
            <w:pPr>
              <w:jc w:val="left"/>
            </w:pPr>
            <w:r/>
            <w:r>
              <w:rPr>
                <w:rFonts w:ascii="Arial" w:hAnsi="Arial" w:eastAsia="Arial"/>
                <w:b w:val="0"/>
                <w:i w:val="0"/>
                <w:sz w:val="12"/>
              </w:rPr>
              <w:t>Modelado computacional (ML/DL) + datos secundarios</w:t>
            </w:r>
          </w:p>
        </w:tc>
        <w:tc>
          <w:tcPr>
            <w:tcW w:type="dxa" w:w="1512"/>
            <w:vAlign w:val="center"/>
            <w:shd w:fill="F8F9FA" w:val="clear" w:color="auto"/>
          </w:tcPr>
          <w:p>
            <w:pPr>
              <w:jc w:val="left"/>
            </w:pPr>
            <w:r/>
            <w:r>
              <w:rPr>
                <w:rFonts w:ascii="Arial" w:hAnsi="Arial" w:eastAsia="Arial"/>
                <w:b w:val="0"/>
                <w:i w:val="0"/>
                <w:sz w:val="12"/>
              </w:rPr>
              <w:t>Grandes corporaciones EE.UU. (COMPUSTAT/CRSP)</w:t>
            </w:r>
          </w:p>
        </w:tc>
        <w:tc>
          <w:tcPr>
            <w:tcW w:type="dxa" w:w="1512"/>
            <w:vAlign w:val="center"/>
            <w:shd w:fill="F8F9FA" w:val="clear" w:color="auto"/>
          </w:tcPr>
          <w:p>
            <w:pPr>
              <w:jc w:val="left"/>
            </w:pPr>
            <w:r/>
            <w:r>
              <w:rPr>
                <w:rFonts w:ascii="Arial" w:hAnsi="Arial" w:eastAsia="Arial"/>
                <w:b w:val="0"/>
                <w:i w:val="0"/>
                <w:sz w:val="12"/>
              </w:rPr>
              <w:t>Desempeño ML: MAE, RMSE, R², accuracy (según estudio)</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DIRECTO. Demuestra empíricamente que Random Forest supera a modelos clásicos (Altman Z-score, regresión logística) en predicción de riesgo empresarial, validando la elección algorítmica del IRE. La mejora de AUC vs. Altman y la reducción del error tipo II son métricas de comparación aplicables. NOTA: Diferenciar explícitamente: riesgo = quiebra financiera corporativ</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Modelos de Machine</w:t>
              <w:br/>
              <w:t>Learning para Predicción</w:t>
              <w:br/>
              <w:t>de Quiebra</w:t>
            </w:r>
          </w:p>
        </w:tc>
        <w:tc>
          <w:tcPr>
            <w:tcW w:type="dxa" w:w="1267"/>
            <w:vMerge w:val="restart"/>
            <w:vAlign w:val="center"/>
            <w:shd w:fill="F4F9FD" w:val="clear" w:color="auto"/>
          </w:tcPr>
          <w:p>
            <w:pPr>
              <w:jc w:val="left"/>
            </w:pPr>
            <w:r/>
            <w:r>
              <w:rPr>
                <w:rFonts w:ascii="Arial" w:hAnsi="Arial" w:eastAsia="Arial"/>
                <w:b w:val="0"/>
                <w:i w:val="0"/>
                <w:sz w:val="11"/>
              </w:rPr>
              <w:t>Modelos de Machine Learning para Predicción de Quiebra: constructo independiente conceptualizado por Barboza, F.; Kimura, H. y Altman, E. (2017).</w:t>
            </w:r>
          </w:p>
        </w:tc>
        <w:tc>
          <w:tcPr>
            <w:tcW w:type="dxa" w:w="1267"/>
            <w:vMerge w:val="restart"/>
            <w:vAlign w:val="center"/>
            <w:shd w:fill="F4F9FD" w:val="clear" w:color="auto"/>
          </w:tcPr>
          <w:p>
            <w:pPr>
              <w:jc w:val="left"/>
            </w:pPr>
            <w:r/>
            <w:r>
              <w:rPr>
                <w:rFonts w:ascii="Arial" w:hAnsi="Arial" w:eastAsia="Arial"/>
                <w:b w:val="0"/>
                <w:i w:val="0"/>
                <w:sz w:val="11"/>
              </w:rPr>
              <w:t>Medición operativa: Python (scikit-learn); Base de datos COMPUSTAT (EE.UU., 1985–2013); Matriz de confusión y curva ROC; XGBoost, Random Forest, SVM</w:t>
            </w:r>
          </w:p>
        </w:tc>
        <w:tc>
          <w:tcPr>
            <w:tcW w:type="dxa" w:w="1181"/>
            <w:vMerge w:val="restart"/>
            <w:vAlign w:val="center"/>
            <w:shd w:fill="D6E4F0" w:val="clear" w:color="auto"/>
          </w:tcPr>
          <w:p>
            <w:pPr>
              <w:jc w:val="center"/>
            </w:pPr>
            <w:r/>
            <w:r>
              <w:rPr>
                <w:rFonts w:ascii="Arial" w:hAnsi="Arial" w:eastAsia="Arial"/>
                <w:b/>
                <w:i w:val="0"/>
                <w:sz w:val="11"/>
              </w:rPr>
              <w:t>Variables financieras de entrada</w:t>
            </w:r>
          </w:p>
        </w:tc>
        <w:tc>
          <w:tcPr>
            <w:tcW w:type="dxa" w:w="1944"/>
            <w:vAlign w:val="center"/>
            <w:shd w:fill="FFFFFF" w:val="clear" w:color="auto"/>
          </w:tcPr>
          <w:p>
            <w:pPr>
              <w:jc w:val="left"/>
            </w:pPr>
            <w:r/>
            <w:r>
              <w:rPr>
                <w:rFonts w:ascii="Arial" w:hAnsi="Arial" w:eastAsia="Arial"/>
                <w:b w:val="0"/>
                <w:i w:val="0"/>
                <w:sz w:val="11"/>
              </w:rPr>
              <w:t>Ratios de liquidez (Current Ratio, Quick Ratio)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Ratios de endeudamiento (Debt/Equity)</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Rentabilidad (ROA, ROE, Margen neto)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Algoritmos de clasificación evaluados</w:t>
            </w:r>
          </w:p>
        </w:tc>
        <w:tc>
          <w:tcPr>
            <w:tcW w:type="dxa" w:w="1944"/>
            <w:vAlign w:val="center"/>
            <w:shd w:fill="FFFFFF" w:val="clear" w:color="auto"/>
          </w:tcPr>
          <w:p>
            <w:pPr>
              <w:jc w:val="left"/>
            </w:pPr>
            <w:r/>
            <w:r>
              <w:rPr>
                <w:rFonts w:ascii="Arial" w:hAnsi="Arial" w:eastAsia="Arial"/>
                <w:b w:val="0"/>
                <w:i w:val="0"/>
                <w:sz w:val="11"/>
              </w:rPr>
              <w:t>Random Forest (n_estimators, max_depth)</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SVM (kernel, C, gamma)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Boosting (XGBoost / AdaBoost)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Esquema de validación del modelo</w:t>
            </w:r>
          </w:p>
        </w:tc>
        <w:tc>
          <w:tcPr>
            <w:tcW w:type="dxa" w:w="1944"/>
            <w:vAlign w:val="center"/>
            <w:shd w:fill="FFFFFF" w:val="clear" w:color="auto"/>
          </w:tcPr>
          <w:p>
            <w:pPr>
              <w:jc w:val="left"/>
            </w:pPr>
            <w:r/>
            <w:r>
              <w:rPr>
                <w:rFonts w:ascii="Arial" w:hAnsi="Arial" w:eastAsia="Arial"/>
                <w:b w:val="0"/>
                <w:i w:val="0"/>
                <w:sz w:val="11"/>
              </w:rPr>
              <w:t>Tamaño de muestra de entrenamiento (n)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Técnica de validación (CV k-fold vs. holdout)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Balance de clases (SMOTE aplicado)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 ↳ Sistema: RandomForestRegressor — riesgo operativo IRE, no quiebra</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Predicción de Quiebra</w:t>
              <w:br/>
              <w:t>Empresarial</w:t>
            </w:r>
          </w:p>
        </w:tc>
        <w:tc>
          <w:tcPr>
            <w:tcW w:type="dxa" w:w="1267"/>
            <w:vMerge w:val="restart"/>
            <w:vAlign w:val="center"/>
            <w:shd w:fill="FFF9EE" w:val="clear" w:color="auto"/>
          </w:tcPr>
          <w:p>
            <w:pPr>
              <w:jc w:val="left"/>
            </w:pPr>
            <w:r/>
            <w:r>
              <w:rPr>
                <w:rFonts w:ascii="Arial" w:hAnsi="Arial" w:eastAsia="Arial"/>
                <w:b w:val="0"/>
                <w:i w:val="0"/>
                <w:sz w:val="11"/>
              </w:rPr>
              <w:t>Predicción de Quiebra Empresarial: constructo dependiente/outcome del estudio Barboza, F.; Kimura, H. y Altman, E. (2017).</w:t>
            </w:r>
          </w:p>
        </w:tc>
        <w:tc>
          <w:tcPr>
            <w:tcW w:type="dxa" w:w="1267"/>
            <w:vMerge w:val="restart"/>
            <w:vAlign w:val="center"/>
            <w:shd w:fill="FFF9EE" w:val="clear" w:color="auto"/>
          </w:tcPr>
          <w:p>
            <w:pPr>
              <w:jc w:val="left"/>
            </w:pPr>
            <w:r/>
            <w:r>
              <w:rPr>
                <w:rFonts w:ascii="Arial" w:hAnsi="Arial" w:eastAsia="Arial"/>
                <w:b w:val="0"/>
                <w:i w:val="0"/>
                <w:sz w:val="11"/>
              </w:rPr>
              <w:t>Medición operativa: Python (scikit-learn); Base de datos COMPUSTAT (EE.UU., 1985–2013); Matriz de confusión y curva ROC; XGBoost, Random Forest, SVM</w:t>
            </w:r>
          </w:p>
        </w:tc>
        <w:tc>
          <w:tcPr>
            <w:tcW w:type="dxa" w:w="1181"/>
            <w:vMerge w:val="restart"/>
            <w:vAlign w:val="center"/>
            <w:shd w:fill="FFF5CC" w:val="clear" w:color="auto"/>
          </w:tcPr>
          <w:p>
            <w:pPr>
              <w:jc w:val="center"/>
            </w:pPr>
            <w:r/>
            <w:r>
              <w:rPr>
                <w:rFonts w:ascii="Arial" w:hAnsi="Arial" w:eastAsia="Arial"/>
                <w:b/>
                <w:i w:val="0"/>
                <w:sz w:val="11"/>
              </w:rPr>
              <w:t>Exactitud del clasificador</w:t>
            </w: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AUC-ROC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Especificidad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Sensibilidad (recall)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Ventaja sobre modelos clásicos</w:t>
            </w:r>
          </w:p>
        </w:tc>
        <w:tc>
          <w:tcPr>
            <w:tcW w:type="dxa" w:w="1944"/>
            <w:vAlign w:val="center"/>
            <w:shd w:fill="FFFFFF" w:val="clear" w:color="auto"/>
          </w:tcPr>
          <w:p>
            <w:pPr>
              <w:jc w:val="left"/>
            </w:pPr>
            <w:r/>
            <w:r>
              <w:rPr>
                <w:rFonts w:ascii="Arial" w:hAnsi="Arial" w:eastAsia="Arial"/>
                <w:b w:val="0"/>
                <w:i w:val="0"/>
                <w:sz w:val="11"/>
              </w:rPr>
              <w:t>Mejora de AUC vs. Altman Z-score</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del error tipo II (falsos negativos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vs. regresión logística simple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Base de datos COMPUSTAT (EE.UU., 1985–2013); Matriz de confusión y curva ROC</w:t>
            </w:r>
          </w:p>
        </w:tc>
        <w:tc>
          <w:tcPr>
            <w:tcW w:type="dxa" w:w="1181"/>
            <w:vAlign w:val="center"/>
            <w:shd w:fill="FFFFFF" w:val="clear" w:color="auto"/>
          </w:tcPr>
          <w:p>
            <w:pPr>
              <w:jc w:val="left"/>
            </w:pPr>
            <w:r/>
            <w:r>
              <w:rPr>
                <w:rFonts w:ascii="Arial" w:hAnsi="Arial" w:eastAsia="Arial"/>
                <w:b w:val="0"/>
                <w:i w:val="0"/>
                <w:sz w:val="11"/>
              </w:rPr>
              <w:t>XGBoost, Random Forest, SVM</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DIRECTO. Demuestra empíricamente que Random Forest supera a modelos clásicos (Altman Z-score, regresión logística) en predicción de riesgo empresarial, validando la elección algorítmica del IRE. La mejora de AUC vs. Altman y la reducción del error tipo II son métricas de comparación aplicables. NOTA: Diferenciar explícitamente: riesgo = quiebra financiera corporativa; en la tesis = IRE comercial-operativo de PYME.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Antecedente algorítmico: RandomForestRegressor seleccionado; métricas AUC/accuracy no aplican a quiebra sino a riesgo operativo IRE.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https://doi.org/10.1016/j.eswa.2017.04.006</w:t>
      </w:r>
    </w:p>
    <w:p>
      <w:pPr>
        <w:spacing w:before="160" w:after="20"/>
      </w:pPr>
      <w:r>
        <w:rPr>
          <w:rFonts w:ascii="Arial" w:hAnsi="Arial" w:eastAsia="Arial"/>
          <w:b/>
          <w:i w:val="0"/>
          <w:sz w:val="18"/>
        </w:rPr>
        <w:t xml:space="preserve">Artículo [20] — </w:t>
      </w:r>
      <w:r>
        <w:rPr>
          <w:rFonts w:ascii="Arial" w:hAnsi="Arial" w:eastAsia="Arial"/>
          <w:b/>
          <w:i/>
          <w:sz w:val="18"/>
        </w:rPr>
        <w:t>Bankruptcy prediction using imaged financial ratios and convolutional neural networks</w:t>
      </w:r>
    </w:p>
    <w:p>
      <w:pPr>
        <w:spacing w:before="0" w:after="40"/>
      </w:pPr>
      <w:r>
        <w:rPr>
          <w:rFonts w:ascii="Arial" w:hAnsi="Arial" w:eastAsia="Arial"/>
          <w:b w:val="0"/>
          <w:i/>
          <w:sz w:val="16"/>
        </w:rPr>
        <w:t>Osaka, T. (2019) — Expert Systems with Applications · Q1 · JIF 8.67</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Ratios Financieros como Imágenes para Redes CNN y Predicción de Quiebra Empresarial por Imagen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de CNN para predicción de riesgo con datos financieros visualizados. Justifica metodológicamente la elección de Random Forest sobre CNN en el IRE: datos de Calzatura Vilchez son tabulares estructurados, no imágenes; el modelo tabular es más interpretable y eficiente con datasets pequeños. Sirve como comparativa de enfoques en la sección de selección del modelo.</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Ratios Financieros como</w:t>
              <w:br/>
              <w:t>Imágenes para Redes CNN</w:t>
            </w:r>
          </w:p>
        </w:tc>
        <w:tc>
          <w:tcPr>
            <w:tcW w:type="dxa" w:w="1267"/>
            <w:vMerge w:val="restart"/>
            <w:vAlign w:val="center"/>
            <w:shd w:fill="F4F9FD" w:val="clear" w:color="auto"/>
          </w:tcPr>
          <w:p>
            <w:pPr>
              <w:jc w:val="left"/>
            </w:pPr>
            <w:r/>
            <w:r>
              <w:rPr>
                <w:rFonts w:ascii="Arial" w:hAnsi="Arial" w:eastAsia="Arial"/>
                <w:b w:val="0"/>
                <w:i w:val="0"/>
                <w:sz w:val="11"/>
              </w:rPr>
              <w:t>Ratios Financieros como Imágenes para Redes CNN: constructo independiente conceptualizado por Osaka, T. (2019).</w:t>
            </w:r>
          </w:p>
        </w:tc>
        <w:tc>
          <w:tcPr>
            <w:tcW w:type="dxa" w:w="1267"/>
            <w:vMerge w:val="restart"/>
            <w:vAlign w:val="center"/>
            <w:shd w:fill="F4F9FD" w:val="clear" w:color="auto"/>
          </w:tcPr>
          <w:p>
            <w:pPr>
              <w:jc w:val="left"/>
            </w:pPr>
            <w:r/>
            <w:r>
              <w:rPr>
                <w:rFonts w:ascii="Arial" w:hAnsi="Arial" w:eastAsia="Arial"/>
                <w:b w:val="0"/>
                <w:i w:val="0"/>
                <w:sz w:val="11"/>
              </w:rPr>
              <w:t>Medición operativa: TensorFlow / Keras (Python); Pillow / OpenCV para generación de imágenes; Base de datos EDGAR (SEC, EE.UU.); Validación cruzada k-fold estratificada</w:t>
            </w:r>
          </w:p>
        </w:tc>
        <w:tc>
          <w:tcPr>
            <w:tcW w:type="dxa" w:w="1181"/>
            <w:vMerge w:val="restart"/>
            <w:vAlign w:val="center"/>
            <w:shd w:fill="D6E4F0" w:val="clear" w:color="auto"/>
          </w:tcPr>
          <w:p>
            <w:pPr>
              <w:jc w:val="center"/>
            </w:pPr>
            <w:r/>
            <w:r>
              <w:rPr>
                <w:rFonts w:ascii="Arial" w:hAnsi="Arial" w:eastAsia="Arial"/>
                <w:b/>
                <w:i w:val="0"/>
                <w:sz w:val="11"/>
              </w:rPr>
              <w:t>Representación visual de datos financieros</w:t>
            </w:r>
          </w:p>
        </w:tc>
        <w:tc>
          <w:tcPr>
            <w:tcW w:type="dxa" w:w="1944"/>
            <w:vAlign w:val="center"/>
            <w:shd w:fill="FFFFFF" w:val="clear" w:color="auto"/>
          </w:tcPr>
          <w:p>
            <w:pPr>
              <w:jc w:val="left"/>
            </w:pPr>
            <w:r/>
            <w:r>
              <w:rPr>
                <w:rFonts w:ascii="Arial" w:hAnsi="Arial" w:eastAsia="Arial"/>
                <w:b w:val="0"/>
                <w:i w:val="0"/>
                <w:sz w:val="11"/>
              </w:rPr>
              <w:t>N.° de ratios financieros convertidos a imagen</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 ↳ Sistema: datos tabulares Supabase; sin CNN en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Resolución de la imagen generada (píxeles × píxeles)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 ↳ Sistema: datos tabulares Supabase; sin CNN en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Dimensión temporal representada (años de datos)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 ↳ Sistema: datos tabulares Supabase; sin CNN en pipeline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Arquitectura de la CNN</w:t>
            </w:r>
          </w:p>
        </w:tc>
        <w:tc>
          <w:tcPr>
            <w:tcW w:type="dxa" w:w="1944"/>
            <w:vAlign w:val="center"/>
            <w:shd w:fill="FFFFFF" w:val="clear" w:color="auto"/>
          </w:tcPr>
          <w:p>
            <w:pPr>
              <w:jc w:val="left"/>
            </w:pPr>
            <w:r/>
            <w:r>
              <w:rPr>
                <w:rFonts w:ascii="Arial" w:hAnsi="Arial" w:eastAsia="Arial"/>
                <w:b w:val="0"/>
                <w:i w:val="0"/>
                <w:sz w:val="11"/>
              </w:rPr>
              <w:t>N.° de capas convolucionales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 ↳ Sistema: datos tabulares Supabase; sin CNN en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Tamaño del kernel (filtro)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 ↳ Sistema: datos tabulares Supabase; sin CNN en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filtros por capa convolucional</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 ↳ Sistema: datos tabulares Supabase; sin CNN en pipeline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Predicción de Quiebra</w:t>
              <w:br/>
              <w:t>Empresarial por Imagen</w:t>
            </w:r>
          </w:p>
        </w:tc>
        <w:tc>
          <w:tcPr>
            <w:tcW w:type="dxa" w:w="1267"/>
            <w:vMerge w:val="restart"/>
            <w:vAlign w:val="center"/>
            <w:shd w:fill="FFF9EE" w:val="clear" w:color="auto"/>
          </w:tcPr>
          <w:p>
            <w:pPr>
              <w:jc w:val="left"/>
            </w:pPr>
            <w:r/>
            <w:r>
              <w:rPr>
                <w:rFonts w:ascii="Arial" w:hAnsi="Arial" w:eastAsia="Arial"/>
                <w:b w:val="0"/>
                <w:i w:val="0"/>
                <w:sz w:val="11"/>
              </w:rPr>
              <w:t>Predicción de Quiebra Empresarial por Imagen: constructo dependiente/outcome del estudio Osaka, T. (2019).</w:t>
            </w:r>
          </w:p>
        </w:tc>
        <w:tc>
          <w:tcPr>
            <w:tcW w:type="dxa" w:w="1267"/>
            <w:vMerge w:val="restart"/>
            <w:vAlign w:val="center"/>
            <w:shd w:fill="FFF9EE" w:val="clear" w:color="auto"/>
          </w:tcPr>
          <w:p>
            <w:pPr>
              <w:jc w:val="left"/>
            </w:pPr>
            <w:r/>
            <w:r>
              <w:rPr>
                <w:rFonts w:ascii="Arial" w:hAnsi="Arial" w:eastAsia="Arial"/>
                <w:b w:val="0"/>
                <w:i w:val="0"/>
                <w:sz w:val="11"/>
              </w:rPr>
              <w:t>Medición operativa: TensorFlow / Keras (Python); Pillow / OpenCV para generación de imágenes; Base de datos EDGAR (SEC, EE.UU.); Validación cruzada k-fold estratificada</w:t>
            </w:r>
          </w:p>
        </w:tc>
        <w:tc>
          <w:tcPr>
            <w:tcW w:type="dxa" w:w="1181"/>
            <w:vMerge w:val="restart"/>
            <w:vAlign w:val="center"/>
            <w:shd w:fill="FFF5CC" w:val="clear" w:color="auto"/>
          </w:tcPr>
          <w:p>
            <w:pPr>
              <w:jc w:val="center"/>
            </w:pPr>
            <w:r/>
            <w:r>
              <w:rPr>
                <w:rFonts w:ascii="Arial" w:hAnsi="Arial" w:eastAsia="Arial"/>
                <w:b/>
                <w:i w:val="0"/>
                <w:sz w:val="11"/>
              </w:rPr>
              <w:t>Exactitud del modelo CNN</w:t>
            </w: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AUC-ROC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F1-score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Comparativa con modelos tabulares clásicos</w:t>
            </w:r>
          </w:p>
        </w:tc>
        <w:tc>
          <w:tcPr>
            <w:tcW w:type="dxa" w:w="1944"/>
            <w:vAlign w:val="center"/>
            <w:shd w:fill="FFFFFF" w:val="clear" w:color="auto"/>
          </w:tcPr>
          <w:p>
            <w:pPr>
              <w:jc w:val="left"/>
            </w:pPr>
            <w:r/>
            <w:r>
              <w:rPr>
                <w:rFonts w:ascii="Arial" w:hAnsi="Arial" w:eastAsia="Arial"/>
                <w:b w:val="0"/>
                <w:i w:val="0"/>
                <w:sz w:val="11"/>
              </w:rPr>
              <w:t>Mejora de exactitud vs. Altman Z-score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de AUC vs. regresión logística</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TensorFlow / Keras (Python); Pillow / OpenCV para generación de imágenes; Base de datos EDGAR (SEC, EE.UU.)</w:t>
            </w:r>
          </w:p>
        </w:tc>
        <w:tc>
          <w:tcPr>
            <w:tcW w:type="dxa" w:w="1181"/>
            <w:vAlign w:val="center"/>
            <w:shd w:fill="FFFFFF" w:val="clear" w:color="auto"/>
          </w:tcPr>
          <w:p>
            <w:pPr>
              <w:jc w:val="left"/>
            </w:pPr>
            <w:r/>
            <w:r>
              <w:rPr>
                <w:rFonts w:ascii="Arial" w:hAnsi="Arial" w:eastAsia="Arial"/>
                <w:b w:val="0"/>
                <w:i w:val="0"/>
                <w:sz w:val="11"/>
              </w:rPr>
              <w:t>Validación cruzada k-fold estratificada</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de CNN para predicción de riesgo con datos financieros visualizados. Justifica metodológicamente la elección de Random Forest sobre CNN en el IRE: datos de Calzatura Vilchez son tabulares estructurados, no imágenes; el modelo tabular es más interpretable y eficiente con datasets pequeños. Sirve como comparativa de enfoques en la sección de selección del modelo.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Comparativa metodológica: datos tabulares estructurados (no imágenes de ratios); justifica RF sobre CNN para Calzatura Vilchez.</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https://doi.org/10.1016/j.eswa.2018.09.039</w:t>
      </w:r>
    </w:p>
    <w:p>
      <w:pPr>
        <w:spacing w:before="160" w:after="20"/>
      </w:pPr>
      <w:r>
        <w:rPr>
          <w:rFonts w:ascii="Arial" w:hAnsi="Arial" w:eastAsia="Arial"/>
          <w:b/>
          <w:i w:val="0"/>
          <w:sz w:val="18"/>
        </w:rPr>
        <w:t xml:space="preserve">Artículo [21] — </w:t>
      </w:r>
      <w:r>
        <w:rPr>
          <w:rFonts w:ascii="Arial" w:hAnsi="Arial" w:eastAsia="Arial"/>
          <w:b/>
          <w:i/>
          <w:sz w:val="18"/>
        </w:rPr>
        <w:t>Corporate default predictions using machine learning: Literature review</w:t>
      </w:r>
    </w:p>
    <w:p>
      <w:pPr>
        <w:spacing w:before="0" w:after="40"/>
      </w:pPr>
      <w:r>
        <w:rPr>
          <w:rFonts w:ascii="Arial" w:hAnsi="Arial" w:eastAsia="Arial"/>
          <w:b w:val="0"/>
          <w:i/>
          <w:sz w:val="16"/>
        </w:rPr>
        <w:t>Kim, M.J.; Cho, S.W. y Ryu, I. (2021) — Sustainability · Q1 · JIF 3.89</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Métodos de ML para Predicción de Default Empresarial y Precisión en Predicción de Incumplimiento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Desempeño ML: MAE, RMSE, R², accuracy (según estudio)</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DIRECTO. La revisión sistemática valida Random Forest y XGBoost como los mejores algoritmos para predicción de riesgo empresarial. El análisis SHAP de importancia de características es replicable en el IRE para interpretar el peso de los subíndices de demanda, stock e ingresos. NOTA: Diferenciar incumplimiento financiero corporativo de IRE operacional PYME.</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Métodos de ML para</w:t>
              <w:br/>
              <w:t>Predicción de Default</w:t>
              <w:br/>
              <w:t>Empresarial</w:t>
            </w:r>
          </w:p>
        </w:tc>
        <w:tc>
          <w:tcPr>
            <w:tcW w:type="dxa" w:w="1267"/>
            <w:vMerge w:val="restart"/>
            <w:vAlign w:val="center"/>
            <w:shd w:fill="F4F9FD" w:val="clear" w:color="auto"/>
          </w:tcPr>
          <w:p>
            <w:pPr>
              <w:jc w:val="left"/>
            </w:pPr>
            <w:r/>
            <w:r>
              <w:rPr>
                <w:rFonts w:ascii="Arial" w:hAnsi="Arial" w:eastAsia="Arial"/>
                <w:b w:val="0"/>
                <w:i w:val="0"/>
                <w:sz w:val="11"/>
              </w:rPr>
              <w:t>Métodos de ML para Predicción de Default Empresarial: constructo independiente conceptualizado por Kim, M.J.; Cho, S.W. y Ryu, I. (2021).</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(PRISMA, 2010–2020); Python (scikit-learn, XGBoost, LightGBM); SHAP para interpretabilidad; Análisis bibliométrico VOSviewer</w:t>
            </w:r>
          </w:p>
        </w:tc>
        <w:tc>
          <w:tcPr>
            <w:tcW w:type="dxa" w:w="1181"/>
            <w:vMerge w:val="restart"/>
            <w:vAlign w:val="center"/>
            <w:shd w:fill="D6E4F0" w:val="clear" w:color="auto"/>
          </w:tcPr>
          <w:p>
            <w:pPr>
              <w:jc w:val="center"/>
            </w:pPr>
            <w:r/>
            <w:r>
              <w:rPr>
                <w:rFonts w:ascii="Arial" w:hAnsi="Arial" w:eastAsia="Arial"/>
                <w:b/>
                <w:i w:val="0"/>
                <w:sz w:val="11"/>
              </w:rPr>
              <w:t>Variables predictoras utilizadas</w:t>
            </w:r>
          </w:p>
        </w:tc>
        <w:tc>
          <w:tcPr>
            <w:tcW w:type="dxa" w:w="1944"/>
            <w:vAlign w:val="center"/>
            <w:shd w:fill="FFFFFF" w:val="clear" w:color="auto"/>
          </w:tcPr>
          <w:p>
            <w:pPr>
              <w:jc w:val="left"/>
            </w:pPr>
            <w:r/>
            <w:r>
              <w:rPr>
                <w:rFonts w:ascii="Arial" w:hAnsi="Arial" w:eastAsia="Arial"/>
                <w:b w:val="0"/>
                <w:i w:val="0"/>
                <w:sz w:val="11"/>
              </w:rPr>
              <w:t>Ratios financieros (liquidez, rentabilidad, apalancamiento)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 ↳ Sistema: RF seleccionado; comparativa documentada en 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Variables macroeconómicas (inflación, tasa de interés)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 ↳ Sistema: RF seleccionado; comparativa documentada en 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Datos alternativos (sentimiento de mercado, noticias)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 ↳ Sistema: RF seleccionado; comparativa documentada en modelo-ia.md</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Tipos de modelos de ML comparados</w:t>
            </w:r>
          </w:p>
        </w:tc>
        <w:tc>
          <w:tcPr>
            <w:tcW w:type="dxa" w:w="1944"/>
            <w:vAlign w:val="center"/>
            <w:shd w:fill="FFFFFF" w:val="clear" w:color="auto"/>
          </w:tcPr>
          <w:p>
            <w:pPr>
              <w:jc w:val="left"/>
            </w:pPr>
            <w:r/>
            <w:r>
              <w:rPr>
                <w:rFonts w:ascii="Arial" w:hAnsi="Arial" w:eastAsia="Arial"/>
                <w:b w:val="0"/>
                <w:i w:val="0"/>
                <w:sz w:val="11"/>
              </w:rPr>
              <w:t>Regresión logística (baseline)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 ↳ Sistema: RF seleccionado; comparativa documentada en 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Random Forest y Gradient Boosting</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 ↳ Sistema: RF seleccionado; comparativa documentada en modelo-ia.md</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Redes neuronales artificiales y LSTM</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 ↳ Sistema: RF seleccionado; comparativa documentada en modelo-ia.md</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Precisión en Predicción</w:t>
              <w:br/>
              <w:t>de Incumplimiento</w:t>
            </w:r>
          </w:p>
        </w:tc>
        <w:tc>
          <w:tcPr>
            <w:tcW w:type="dxa" w:w="1267"/>
            <w:vMerge w:val="restart"/>
            <w:vAlign w:val="center"/>
            <w:shd w:fill="FFF9EE" w:val="clear" w:color="auto"/>
          </w:tcPr>
          <w:p>
            <w:pPr>
              <w:jc w:val="left"/>
            </w:pPr>
            <w:r/>
            <w:r>
              <w:rPr>
                <w:rFonts w:ascii="Arial" w:hAnsi="Arial" w:eastAsia="Arial"/>
                <w:b w:val="0"/>
                <w:i w:val="0"/>
                <w:sz w:val="11"/>
              </w:rPr>
              <w:t>Precisión en Predicción de Incumplimiento: constructo dependiente/outcome del estudio Kim, M.J.; Cho, S.W. y Ryu, I. (2021).</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(PRISMA, 2010–2020); Python (scikit-learn, XGBoost, LightGBM); SHAP para interpretabilidad; Análisis bibliométrico VOSviewer</w:t>
            </w:r>
          </w:p>
        </w:tc>
        <w:tc>
          <w:tcPr>
            <w:tcW w:type="dxa" w:w="1181"/>
            <w:vMerge w:val="restart"/>
            <w:vAlign w:val="center"/>
            <w:shd w:fill="FFF5CC" w:val="clear" w:color="auto"/>
          </w:tcPr>
          <w:p>
            <w:pPr>
              <w:jc w:val="center"/>
            </w:pPr>
            <w:r/>
            <w:r>
              <w:rPr>
                <w:rFonts w:ascii="Arial" w:hAnsi="Arial" w:eastAsia="Arial"/>
                <w:b/>
                <w:i w:val="0"/>
                <w:sz w:val="11"/>
              </w:rPr>
              <w:t>Métricas de desempeño del modelo</w:t>
            </w:r>
          </w:p>
        </w:tc>
        <w:tc>
          <w:tcPr>
            <w:tcW w:type="dxa" w:w="1944"/>
            <w:vAlign w:val="center"/>
            <w:shd w:fill="FFFFFF" w:val="clear" w:color="auto"/>
          </w:tcPr>
          <w:p>
            <w:pPr>
              <w:jc w:val="left"/>
            </w:pPr>
            <w:r/>
            <w:r>
              <w:rPr>
                <w:rFonts w:ascii="Arial" w:hAnsi="Arial" w:eastAsia="Arial"/>
                <w:b w:val="0"/>
                <w:i w:val="0"/>
                <w:sz w:val="11"/>
              </w:rPr>
              <w:t>AUC-ROC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Recall / sensibilidad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Precision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Importancia de características</w:t>
            </w:r>
          </w:p>
        </w:tc>
        <w:tc>
          <w:tcPr>
            <w:tcW w:type="dxa" w:w="1944"/>
            <w:vAlign w:val="center"/>
            <w:shd w:fill="FFFFFF" w:val="clear" w:color="auto"/>
          </w:tcPr>
          <w:p>
            <w:pPr>
              <w:jc w:val="left"/>
            </w:pPr>
            <w:r/>
            <w:r>
              <w:rPr>
                <w:rFonts w:ascii="Arial" w:hAnsi="Arial" w:eastAsia="Arial"/>
                <w:b w:val="0"/>
                <w:i w:val="0"/>
                <w:sz w:val="11"/>
              </w:rPr>
              <w:t>Feature importance (MDI)</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Correlación de Pearson y Spearman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SHAP values para interpretación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2010–2020); Python (scikit-learn, XGBoost, LightGBM); SHAP para interpretabilidad</w:t>
            </w:r>
          </w:p>
        </w:tc>
        <w:tc>
          <w:tcPr>
            <w:tcW w:type="dxa" w:w="1181"/>
            <w:vAlign w:val="center"/>
            <w:shd w:fill="FFFFFF" w:val="clear" w:color="auto"/>
          </w:tcPr>
          <w:p>
            <w:pPr>
              <w:jc w:val="left"/>
            </w:pPr>
            <w:r/>
            <w:r>
              <w:rPr>
                <w:rFonts w:ascii="Arial" w:hAnsi="Arial" w:eastAsia="Arial"/>
                <w:b w:val="0"/>
                <w:i w:val="0"/>
                <w:sz w:val="11"/>
              </w:rPr>
              <w:t>Análisis bibliométrico VOSviewer</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DIRECTO. La revisión sistemática valida Random Forest y XGBoost como los mejores algoritmos para predicción de riesgo empresarial. El análisis SHAP de importancia de características es replicable en el IRE para interpretar el peso de los subíndices de demanda, stock e ingresos. NOTA: Diferenciar incumplimiento financiero corporativo de IRE operacional PYME.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Revisión de algoritmos ML respalda elección de RF/XGBoost; IRE mide riesgo comercial-operativo, no default financiero corporativo.</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https://doi.org/10.3390/su12166325</w:t>
      </w:r>
    </w:p>
    <w:p>
      <w:pPr>
        <w:spacing w:before="160" w:after="20"/>
      </w:pPr>
      <w:r>
        <w:rPr>
          <w:rFonts w:ascii="Arial" w:hAnsi="Arial" w:eastAsia="Arial"/>
          <w:b/>
          <w:i w:val="0"/>
          <w:sz w:val="18"/>
        </w:rPr>
        <w:t xml:space="preserve">Artículo [22] — </w:t>
      </w:r>
      <w:r>
        <w:rPr>
          <w:rFonts w:ascii="Arial" w:hAnsi="Arial" w:eastAsia="Arial"/>
          <w:b/>
          <w:i/>
          <w:sz w:val="18"/>
        </w:rPr>
        <w:t>Dynamics of firm financial evolution and bankruptcy prediction</w:t>
      </w:r>
    </w:p>
    <w:p>
      <w:pPr>
        <w:spacing w:before="0" w:after="40"/>
      </w:pPr>
      <w:r>
        <w:rPr>
          <w:rFonts w:ascii="Arial" w:hAnsi="Arial" w:eastAsia="Arial"/>
          <w:b w:val="0"/>
          <w:i/>
          <w:sz w:val="16"/>
        </w:rPr>
        <w:t>Du Jardin, P. (2017) — Expert Systems with Applications · Q1 · DOI: 10.1016/j.eswa.2017.01.016</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Evolución Financiera Dinámica de la Empresa y Predicción de Quiebra con Perspectiva Dinámica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de predicción dinámica longitudinal del riesgo con datos temporales. Justifica el uso de datos históricos secuenciales de múltiples períodos para entrenar el modelo del IRE. La anticipación de la señal de riesgo (1–3 años antes) fundamenta el horizonte temporal del módulo predictivo. NOTA: Riesgo modelado = quiebra financiera; en la tesis = IRE comercial-operativo P</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Evolución Financiera</w:t>
              <w:br/>
              <w:t>Dinámica de la Empresa</w:t>
            </w:r>
          </w:p>
        </w:tc>
        <w:tc>
          <w:tcPr>
            <w:tcW w:type="dxa" w:w="1267"/>
            <w:vMerge w:val="restart"/>
            <w:vAlign w:val="center"/>
            <w:shd w:fill="F4F9FD" w:val="clear" w:color="auto"/>
          </w:tcPr>
          <w:p>
            <w:pPr>
              <w:jc w:val="left"/>
            </w:pPr>
            <w:r/>
            <w:r>
              <w:rPr>
                <w:rFonts w:ascii="Arial" w:hAnsi="Arial" w:eastAsia="Arial"/>
                <w:b w:val="0"/>
                <w:i w:val="0"/>
                <w:sz w:val="11"/>
              </w:rPr>
              <w:t>Evolución Financiera Dinámica de la Empresa: constructo independiente conceptualizado por Du Jardin, P. (2017).</w:t>
            </w:r>
          </w:p>
        </w:tc>
        <w:tc>
          <w:tcPr>
            <w:tcW w:type="dxa" w:w="1267"/>
            <w:vMerge w:val="restart"/>
            <w:vAlign w:val="center"/>
            <w:shd w:fill="F4F9FD" w:val="clear" w:color="auto"/>
          </w:tcPr>
          <w:p>
            <w:pPr>
              <w:jc w:val="left"/>
            </w:pPr>
            <w:r/>
            <w:r>
              <w:rPr>
                <w:rFonts w:ascii="Arial" w:hAnsi="Arial" w:eastAsia="Arial"/>
                <w:b w:val="0"/>
                <w:i w:val="0"/>
                <w:sz w:val="11"/>
              </w:rPr>
              <w:t>Medición operativa: Python (TensorFlow, Keras); Base de datos Diane (empresas francesas, n=15.000); Análisis de supervivencia (Kaplan-Meier); Validación walk-forward temporal</w:t>
            </w:r>
          </w:p>
        </w:tc>
        <w:tc>
          <w:tcPr>
            <w:tcW w:type="dxa" w:w="1181"/>
            <w:vMerge w:val="restart"/>
            <w:vAlign w:val="center"/>
            <w:shd w:fill="D6E4F0" w:val="clear" w:color="auto"/>
          </w:tcPr>
          <w:p>
            <w:pPr>
              <w:jc w:val="center"/>
            </w:pPr>
            <w:r/>
            <w:r>
              <w:rPr>
                <w:rFonts w:ascii="Arial" w:hAnsi="Arial" w:eastAsia="Arial"/>
                <w:b/>
                <w:i w:val="0"/>
                <w:sz w:val="11"/>
              </w:rPr>
              <w:t>Indicadores financieros dinámicos (variaciones temporales)</w:t>
            </w:r>
          </w:p>
        </w:tc>
        <w:tc>
          <w:tcPr>
            <w:tcW w:type="dxa" w:w="1944"/>
            <w:vAlign w:val="center"/>
            <w:shd w:fill="FFFFFF" w:val="clear" w:color="auto"/>
          </w:tcPr>
          <w:p>
            <w:pPr>
              <w:jc w:val="left"/>
            </w:pPr>
            <w:r/>
            <w:r>
              <w:rPr>
                <w:rFonts w:ascii="Arial" w:hAnsi="Arial" w:eastAsia="Arial"/>
                <w:b w:val="0"/>
                <w:i w:val="0"/>
                <w:sz w:val="11"/>
              </w:rPr>
              <w:t>Variación del ROA año sobre año (Δ%)</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 ↳ Sistema: build_daily_sales_by_product() — series temporales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Variación del ratio de liquidez (Δ)</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 ↳ Sistema: build_daily_sales_by_product() — series temporales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Tendencia del margen operativo (pendiente)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 ↳ Sistema: build_daily_sales_by_product() — series temporales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Modelos predictivos de aprendizaje secuencial</w:t>
            </w:r>
          </w:p>
        </w:tc>
        <w:tc>
          <w:tcPr>
            <w:tcW w:type="dxa" w:w="1944"/>
            <w:vAlign w:val="center"/>
            <w:shd w:fill="FFFFFF" w:val="clear" w:color="auto"/>
          </w:tcPr>
          <w:p>
            <w:pPr>
              <w:jc w:val="left"/>
            </w:pPr>
            <w:r/>
            <w:r>
              <w:rPr>
                <w:rFonts w:ascii="Arial" w:hAnsi="Arial" w:eastAsia="Arial"/>
                <w:b w:val="0"/>
                <w:i w:val="0"/>
                <w:sz w:val="11"/>
              </w:rPr>
              <w:t>LSTM — Long Short-Term Memory</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 ↳ Sistema: build_daily_sales_by_product() — series temporales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RNN — Redes Neuronales Recurrentes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 ↳ Sistema: build_daily_sales_by_product() — series temporales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Modelos de supervivencia (Cox, Kaplan-Meier)</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 ↳ Sistema: build_daily_sales_by_product() — series temporales</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Predicción de Quiebra</w:t>
              <w:br/>
              <w:t>con Perspectiva Dinámica</w:t>
            </w:r>
          </w:p>
        </w:tc>
        <w:tc>
          <w:tcPr>
            <w:tcW w:type="dxa" w:w="1267"/>
            <w:vMerge w:val="restart"/>
            <w:vAlign w:val="center"/>
            <w:shd w:fill="FFF9EE" w:val="clear" w:color="auto"/>
          </w:tcPr>
          <w:p>
            <w:pPr>
              <w:jc w:val="left"/>
            </w:pPr>
            <w:r/>
            <w:r>
              <w:rPr>
                <w:rFonts w:ascii="Arial" w:hAnsi="Arial" w:eastAsia="Arial"/>
                <w:b w:val="0"/>
                <w:i w:val="0"/>
                <w:sz w:val="11"/>
              </w:rPr>
              <w:t>Predicción de Quiebra con Perspectiva Dinámica: constructo dependiente/outcome del estudio Du Jardin, P. (2017).</w:t>
            </w:r>
          </w:p>
        </w:tc>
        <w:tc>
          <w:tcPr>
            <w:tcW w:type="dxa" w:w="1267"/>
            <w:vMerge w:val="restart"/>
            <w:vAlign w:val="center"/>
            <w:shd w:fill="FFF9EE" w:val="clear" w:color="auto"/>
          </w:tcPr>
          <w:p>
            <w:pPr>
              <w:jc w:val="left"/>
            </w:pPr>
            <w:r/>
            <w:r>
              <w:rPr>
                <w:rFonts w:ascii="Arial" w:hAnsi="Arial" w:eastAsia="Arial"/>
                <w:b w:val="0"/>
                <w:i w:val="0"/>
                <w:sz w:val="11"/>
              </w:rPr>
              <w:t>Medición operativa: Python (TensorFlow, Keras); Base de datos Diane (empresas francesas, n=15.000); Análisis de supervivencia (Kaplan-Meier); Validación walk-forward temporal</w:t>
            </w:r>
          </w:p>
        </w:tc>
        <w:tc>
          <w:tcPr>
            <w:tcW w:type="dxa" w:w="1181"/>
            <w:vMerge w:val="restart"/>
            <w:vAlign w:val="center"/>
            <w:shd w:fill="FFF5CC" w:val="clear" w:color="auto"/>
          </w:tcPr>
          <w:p>
            <w:pPr>
              <w:jc w:val="center"/>
            </w:pPr>
            <w:r/>
            <w:r>
              <w:rPr>
                <w:rFonts w:ascii="Arial" w:hAnsi="Arial" w:eastAsia="Arial"/>
                <w:b/>
                <w:i w:val="0"/>
                <w:sz w:val="11"/>
              </w:rPr>
              <w:t>Exactitud de predicción longitudinal</w:t>
            </w:r>
          </w:p>
        </w:tc>
        <w:tc>
          <w:tcPr>
            <w:tcW w:type="dxa" w:w="1944"/>
            <w:vAlign w:val="center"/>
            <w:shd w:fill="FFFFFF" w:val="clear" w:color="auto"/>
          </w:tcPr>
          <w:p>
            <w:pPr>
              <w:jc w:val="left"/>
            </w:pPr>
            <w:r/>
            <w:r>
              <w:rPr>
                <w:rFonts w:ascii="Arial" w:hAnsi="Arial" w:eastAsia="Arial"/>
                <w:b w:val="0"/>
                <w:i w:val="0"/>
                <w:sz w:val="11"/>
              </w:rPr>
              <w:t>AUC-ROC por horizonte (1, 2 y 3 años antes)</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Accuracy en cada horizonte temporal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Ventaja sobre modelos estáticos</w:t>
            </w:r>
          </w:p>
        </w:tc>
        <w:tc>
          <w:tcPr>
            <w:tcW w:type="dxa" w:w="1944"/>
            <w:vAlign w:val="center"/>
            <w:shd w:fill="FFFFFF" w:val="clear" w:color="auto"/>
          </w:tcPr>
          <w:p>
            <w:pPr>
              <w:jc w:val="left"/>
            </w:pPr>
            <w:r/>
            <w:r>
              <w:rPr>
                <w:rFonts w:ascii="Arial" w:hAnsi="Arial" w:eastAsia="Arial"/>
                <w:b w:val="0"/>
                <w:i w:val="0"/>
                <w:sz w:val="11"/>
              </w:rPr>
              <w:t>Mejora de AUC-ROC vs. modelo de corte transversal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Anticipación de señal de distress financiero (años)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Keras); Base de datos Diane (empresas francesas, n=15.000); Análisis de supervivencia (Kaplan-Meier)</w:t>
            </w:r>
          </w:p>
        </w:tc>
        <w:tc>
          <w:tcPr>
            <w:tcW w:type="dxa" w:w="1181"/>
            <w:vAlign w:val="center"/>
            <w:shd w:fill="FFFFFF" w:val="clear" w:color="auto"/>
          </w:tcPr>
          <w:p>
            <w:pPr>
              <w:jc w:val="left"/>
            </w:pPr>
            <w:r/>
            <w:r>
              <w:rPr>
                <w:rFonts w:ascii="Arial" w:hAnsi="Arial" w:eastAsia="Arial"/>
                <w:b w:val="0"/>
                <w:i w:val="0"/>
                <w:sz w:val="11"/>
              </w:rPr>
              <w:t>Validación walk-forward temporal</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de predicción dinámica longitudinal del riesgo con datos temporales. Justifica el uso de datos históricos secuenciales de múltiples períodos para entrenar el modelo del IRE. La anticipación de la señal de riesgo (1–3 años antes) fundamenta el horizonte temporal del módulo predictivo. NOTA: Riesgo modelado = quiebra financiera; en la tesis = IRE comercial-operativo PYME.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Series temporales de ventas por producto/día construidas en ai-service; horizonte de predicción alineado a gestión de stock.</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https://doi.org/10.1016/j.eswa.2017.01.016</w:t>
      </w:r>
    </w:p>
    <w:p>
      <w:pPr>
        <w:spacing w:before="160" w:after="20"/>
      </w:pPr>
      <w:r>
        <w:rPr>
          <w:rFonts w:ascii="Arial" w:hAnsi="Arial" w:eastAsia="Arial"/>
          <w:b/>
          <w:i w:val="0"/>
          <w:sz w:val="18"/>
        </w:rPr>
        <w:t xml:space="preserve">Artículo [23] — </w:t>
      </w:r>
      <w:r>
        <w:rPr>
          <w:rFonts w:ascii="Arial" w:hAnsi="Arial" w:eastAsia="Arial"/>
          <w:b/>
          <w:i/>
          <w:sz w:val="18"/>
        </w:rPr>
        <w:t>Financial ratios and corporate governance indicators in bankruptcy prediction: A comprehensive study</w:t>
      </w:r>
    </w:p>
    <w:p>
      <w:pPr>
        <w:spacing w:before="0" w:after="40"/>
      </w:pPr>
      <w:r>
        <w:rPr>
          <w:rFonts w:ascii="Arial" w:hAnsi="Arial" w:eastAsia="Arial"/>
          <w:b w:val="0"/>
          <w:i/>
          <w:sz w:val="16"/>
        </w:rPr>
        <w:t>Jiang, D. et al. (2018) — European Journal of Operational Research · Q1 · DOI: 10.1016/j.ejor.2016.01.012</w:t>
      </w:r>
    </w:p>
    <w:p>
      <w:pPr>
        <w:spacing w:before="0" w:after="60"/>
      </w:pPr>
      <w:r>
        <w:rPr>
          <w:rFonts w:ascii="Arial" w:hAnsi="Arial" w:eastAsia="Arial"/>
          <w:b/>
          <w:i w:val="0"/>
          <w:color w:val="C00000"/>
          <w:sz w:val="16"/>
        </w:rPr>
        <w:t>NOTA METODOLÓGICA: Tabla reposicionada al marco teórico. Usa datos de grandes corporaciones EE.UU. (COMPUSTAT/CRSP 1996–2015), alejados del riesgo comercial-operativo del IRE. Citar como antecedente histórico de predicción de riesgo, NO como evidencia directa.</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Ratios Financieros e Indicadores de Gobernanza Corporativa y Predicción de Quiebra Empresarial en el contexto del estudio original.</w:t>
            </w:r>
          </w:p>
        </w:tc>
        <w:tc>
          <w:tcPr>
            <w:tcW w:type="dxa" w:w="1512"/>
            <w:vAlign w:val="center"/>
            <w:shd w:fill="F8F9FA" w:val="clear" w:color="auto"/>
          </w:tcPr>
          <w:p>
            <w:pPr>
              <w:jc w:val="left"/>
            </w:pPr>
            <w:r/>
            <w:r>
              <w:rPr>
                <w:rFonts w:ascii="Arial" w:hAnsi="Arial" w:eastAsia="Arial"/>
                <w:b w:val="0"/>
                <w:i w:val="0"/>
                <w:sz w:val="12"/>
              </w:rPr>
              <w:t>Análisis documental / cuantitativo</w:t>
            </w:r>
          </w:p>
        </w:tc>
        <w:tc>
          <w:tcPr>
            <w:tcW w:type="dxa" w:w="1512"/>
            <w:vAlign w:val="center"/>
            <w:shd w:fill="F8F9FA" w:val="clear" w:color="auto"/>
          </w:tcPr>
          <w:p>
            <w:pPr>
              <w:jc w:val="left"/>
            </w:pPr>
            <w:r/>
            <w:r>
              <w:rPr>
                <w:rFonts w:ascii="Arial" w:hAnsi="Arial" w:eastAsia="Arial"/>
                <w:b w:val="0"/>
                <w:i w:val="0"/>
                <w:sz w:val="12"/>
              </w:rPr>
              <w:t>Grandes corporaciones EE.UU. (COMPUSTAT/CRSP)</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Tabla reposicionada al marco teórico. Usa datos de grandes corporaciones EE.UU. (COMPUSTAT/CRSP 1996–2015), alejados del riesgo comercial-operativo del IRE. Citar como antecedente histórico de predicción de riesgo, NO co</w:t>
            </w:r>
          </w:p>
        </w:tc>
        <w:tc>
          <w:tcPr>
            <w:tcW w:type="dxa" w:w="1944"/>
            <w:vAlign w:val="center"/>
            <w:shd w:fill="F8F9FA" w:val="clear" w:color="auto"/>
          </w:tcPr>
          <w:p>
            <w:pPr>
              <w:jc w:val="left"/>
            </w:pPr>
            <w:r/>
            <w:r>
              <w:rPr>
                <w:rFonts w:ascii="Arial" w:hAnsi="Arial" w:eastAsia="Arial"/>
                <w:b w:val="0"/>
                <w:i w:val="0"/>
                <w:sz w:val="12"/>
              </w:rPr>
              <w:t>REPOSICIONADO AL MARCO TEÓRICO. Antecedente histórico de predicción de quiebra con ratios financieros en grandes corporaciones EE.UU. (COMPUSTAT/CRSP 1996–2015). Se cita únicamente como evidencia de la evolución del campo desde MDA hasta ML moderno. NO presentar como definición del riesgo de Calzatura Vilchez: el IRE mide riesgo comercial-operativo de PYME, no insolvencia conta</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Ratios Financieros e</w:t>
              <w:br/>
              <w:t>Indicadores de Gobernanza</w:t>
              <w:br/>
              <w:t>Corporativa</w:t>
            </w:r>
          </w:p>
        </w:tc>
        <w:tc>
          <w:tcPr>
            <w:tcW w:type="dxa" w:w="1267"/>
            <w:vMerge w:val="restart"/>
            <w:vAlign w:val="center"/>
            <w:shd w:fill="F4F9FD" w:val="clear" w:color="auto"/>
          </w:tcPr>
          <w:p>
            <w:pPr>
              <w:jc w:val="left"/>
            </w:pPr>
            <w:r/>
            <w:r>
              <w:rPr>
                <w:rFonts w:ascii="Arial" w:hAnsi="Arial" w:eastAsia="Arial"/>
                <w:b w:val="0"/>
                <w:i w:val="0"/>
                <w:sz w:val="11"/>
              </w:rPr>
              <w:t>Ratios Financieros e Indicadores de Gobernanza Corporativa: constructo independiente conceptualizado por Jiang, D. et al. (2018).</w:t>
            </w:r>
          </w:p>
        </w:tc>
        <w:tc>
          <w:tcPr>
            <w:tcW w:type="dxa" w:w="1267"/>
            <w:vMerge w:val="restart"/>
            <w:vAlign w:val="center"/>
            <w:shd w:fill="F4F9FD" w:val="clear" w:color="auto"/>
          </w:tcPr>
          <w:p>
            <w:pPr>
              <w:jc w:val="left"/>
            </w:pPr>
            <w:r/>
            <w:r>
              <w:rPr>
                <w:rFonts w:ascii="Arial" w:hAnsi="Arial" w:eastAsia="Arial"/>
                <w:b w:val="0"/>
                <w:i w:val="0"/>
                <w:sz w:val="11"/>
              </w:rPr>
              <w:t>Medición operativa: Regresión logística binaria (Logit); Análisis discriminante múltiple (MDA); SPSS / Stata; Base de datos COMPUSTAT / CRSP (1996–2015)</w:t>
            </w:r>
          </w:p>
        </w:tc>
        <w:tc>
          <w:tcPr>
            <w:tcW w:type="dxa" w:w="1181"/>
            <w:vMerge w:val="restart"/>
            <w:vAlign w:val="center"/>
            <w:shd w:fill="D6E4F0" w:val="clear" w:color="auto"/>
          </w:tcPr>
          <w:p>
            <w:pPr>
              <w:jc w:val="center"/>
            </w:pPr>
            <w:r/>
            <w:r>
              <w:rPr>
                <w:rFonts w:ascii="Arial" w:hAnsi="Arial" w:eastAsia="Arial"/>
                <w:b/>
                <w:i w:val="0"/>
                <w:sz w:val="11"/>
              </w:rPr>
              <w:t>Ratios financieros clásicos</w:t>
            </w:r>
          </w:p>
        </w:tc>
        <w:tc>
          <w:tcPr>
            <w:tcW w:type="dxa" w:w="1944"/>
            <w:vAlign w:val="center"/>
            <w:shd w:fill="FFFFFF" w:val="clear" w:color="auto"/>
          </w:tcPr>
          <w:p>
            <w:pPr>
              <w:jc w:val="left"/>
            </w:pPr>
            <w:r/>
            <w:r>
              <w:rPr>
                <w:rFonts w:ascii="Arial" w:hAnsi="Arial" w:eastAsia="Arial"/>
                <w:b w:val="0"/>
                <w:i w:val="0"/>
                <w:sz w:val="11"/>
              </w:rPr>
              <w:t>Liquidez corriente (Current Ratio)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Ratio de endeudamiento (Debt/Assets)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Margen neto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ROA y ROE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Indicadores de gobernanza corporativa</w:t>
            </w:r>
          </w:p>
        </w:tc>
        <w:tc>
          <w:tcPr>
            <w:tcW w:type="dxa" w:w="1944"/>
            <w:vAlign w:val="center"/>
            <w:shd w:fill="FFFFFF" w:val="clear" w:color="auto"/>
          </w:tcPr>
          <w:p>
            <w:pPr>
              <w:jc w:val="left"/>
            </w:pPr>
            <w:r/>
            <w:r>
              <w:rPr>
                <w:rFonts w:ascii="Arial" w:hAnsi="Arial" w:eastAsia="Arial"/>
                <w:b w:val="0"/>
                <w:i w:val="0"/>
                <w:sz w:val="11"/>
              </w:rPr>
              <w:t>Tamaño del directorio (n.° miembros)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 de directores independientes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Separación de roles CEO-Presidente (dummy)</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 ↳ Sistema: ISO/IEC 25010 en SRS — marco teórico, no IRE directo</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Predicción de Quiebra</w:t>
              <w:br/>
              <w:t>Empresarial</w:t>
            </w:r>
          </w:p>
        </w:tc>
        <w:tc>
          <w:tcPr>
            <w:tcW w:type="dxa" w:w="1267"/>
            <w:vMerge w:val="restart"/>
            <w:vAlign w:val="center"/>
            <w:shd w:fill="FFF9EE" w:val="clear" w:color="auto"/>
          </w:tcPr>
          <w:p>
            <w:pPr>
              <w:jc w:val="left"/>
            </w:pPr>
            <w:r/>
            <w:r>
              <w:rPr>
                <w:rFonts w:ascii="Arial" w:hAnsi="Arial" w:eastAsia="Arial"/>
                <w:b w:val="0"/>
                <w:i w:val="0"/>
                <w:sz w:val="11"/>
              </w:rPr>
              <w:t>Predicción de Quiebra Empresarial: constructo dependiente/outcome del estudio Jiang, D. et al. (2018).</w:t>
            </w:r>
          </w:p>
        </w:tc>
        <w:tc>
          <w:tcPr>
            <w:tcW w:type="dxa" w:w="1267"/>
            <w:vMerge w:val="restart"/>
            <w:vAlign w:val="center"/>
            <w:shd w:fill="FFF9EE" w:val="clear" w:color="auto"/>
          </w:tcPr>
          <w:p>
            <w:pPr>
              <w:jc w:val="left"/>
            </w:pPr>
            <w:r/>
            <w:r>
              <w:rPr>
                <w:rFonts w:ascii="Arial" w:hAnsi="Arial" w:eastAsia="Arial"/>
                <w:b w:val="0"/>
                <w:i w:val="0"/>
                <w:sz w:val="11"/>
              </w:rPr>
              <w:t>Medición operativa: Regresión logística binaria (Logit); Análisis discriminante múltiple (MDA); SPSS / Stata; Base de datos COMPUSTAT / CRSP (1996–2015)</w:t>
            </w:r>
          </w:p>
        </w:tc>
        <w:tc>
          <w:tcPr>
            <w:tcW w:type="dxa" w:w="1181"/>
            <w:vMerge w:val="restart"/>
            <w:vAlign w:val="center"/>
            <w:shd w:fill="FFF5CC" w:val="clear" w:color="auto"/>
          </w:tcPr>
          <w:p>
            <w:pPr>
              <w:jc w:val="center"/>
            </w:pPr>
            <w:r/>
            <w:r>
              <w:rPr>
                <w:rFonts w:ascii="Arial" w:hAnsi="Arial" w:eastAsia="Arial"/>
                <w:b/>
                <w:i w:val="0"/>
                <w:sz w:val="11"/>
              </w:rPr>
              <w:t>Exactitud del modelo integrado</w:t>
            </w:r>
          </w:p>
        </w:tc>
        <w:tc>
          <w:tcPr>
            <w:tcW w:type="dxa" w:w="1944"/>
            <w:vAlign w:val="center"/>
            <w:shd w:fill="FFFFFF" w:val="clear" w:color="auto"/>
          </w:tcPr>
          <w:p>
            <w:pPr>
              <w:jc w:val="left"/>
            </w:pPr>
            <w:r/>
            <w:r>
              <w:rPr>
                <w:rFonts w:ascii="Arial" w:hAnsi="Arial" w:eastAsia="Arial"/>
                <w:b w:val="0"/>
                <w:i w:val="0"/>
                <w:sz w:val="11"/>
              </w:rPr>
              <w:t>Accuracy del modelo combinado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AUC-ROC combinado</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vs. modelo solo con ratios financieros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Poder explicativo de las variables</w:t>
            </w:r>
          </w:p>
        </w:tc>
        <w:tc>
          <w:tcPr>
            <w:tcW w:type="dxa" w:w="1944"/>
            <w:vAlign w:val="center"/>
            <w:shd w:fill="FFFFFF" w:val="clear" w:color="auto"/>
          </w:tcPr>
          <w:p>
            <w:pPr>
              <w:jc w:val="left"/>
            </w:pPr>
            <w:r/>
            <w:r>
              <w:rPr>
                <w:rFonts w:ascii="Arial" w:hAnsi="Arial" w:eastAsia="Arial"/>
                <w:b w:val="0"/>
                <w:i w:val="0"/>
                <w:sz w:val="11"/>
              </w:rPr>
              <w:t>Significancia estadística (p &lt; 0.05) por variable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R² ajustado del modelo</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Odds ratio por cada variable significativa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Regresión logística binaria (Logit); Análisis discriminante múltiple (MDA); SPSS / Stata</w:t>
            </w:r>
          </w:p>
        </w:tc>
        <w:tc>
          <w:tcPr>
            <w:tcW w:type="dxa" w:w="1181"/>
            <w:vAlign w:val="center"/>
            <w:shd w:fill="FFFFFF" w:val="clear" w:color="auto"/>
          </w:tcPr>
          <w:p>
            <w:pPr>
              <w:jc w:val="left"/>
            </w:pPr>
            <w:r/>
            <w:r>
              <w:rPr>
                <w:rFonts w:ascii="Arial" w:hAnsi="Arial" w:eastAsia="Arial"/>
                <w:b w:val="0"/>
                <w:i w:val="0"/>
                <w:sz w:val="11"/>
              </w:rPr>
              <w:t>Base de datos COMPUSTAT / CRSP (1996–2015)</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REPOSICIONADO AL MARCO TEÓRICO. Antecedente histórico de predicción de quiebra con ratios financieros en grandes corporaciones EE.UU. (COMPUSTAT/CRSP 1996–2015). Se cita únicamente como evidencia de la evolución del campo desde MDA hasta ML moderno. NO presentar como definición del riesgo de Calzatura Vilchez: el IRE mide riesgo comercial-operativo de PYME, no insolvencia contable.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Marco teórico ISO/IEC 25010 en SRS; no evidencia directa IRE — referencia metodológica de calidad de software.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https://doi.org/10.1016/j.ejor.2016.01.012</w:t>
      </w:r>
    </w:p>
    <w:p>
      <w:pPr>
        <w:spacing w:before="160" w:after="20"/>
      </w:pPr>
      <w:r>
        <w:rPr>
          <w:rFonts w:ascii="Arial" w:hAnsi="Arial" w:eastAsia="Arial"/>
          <w:b/>
          <w:i w:val="0"/>
          <w:sz w:val="18"/>
        </w:rPr>
        <w:t xml:space="preserve">Artículo [24] — </w:t>
      </w:r>
      <w:r>
        <w:rPr>
          <w:rFonts w:ascii="Arial" w:hAnsi="Arial" w:eastAsia="Arial"/>
          <w:b/>
          <w:i/>
          <w:sz w:val="18"/>
        </w:rPr>
        <w:t>Deep learning models for bankruptcy prediction using textual disclosures</w:t>
      </w:r>
    </w:p>
    <w:p>
      <w:pPr>
        <w:spacing w:before="0" w:after="40"/>
      </w:pPr>
      <w:r>
        <w:rPr>
          <w:rFonts w:ascii="Arial" w:hAnsi="Arial" w:eastAsia="Arial"/>
          <w:b w:val="0"/>
          <w:i/>
          <w:sz w:val="16"/>
        </w:rPr>
        <w:t>Cai, F. et al. (2019) — European Journal of Operational Research · Q1 · DOI: 10.1016/j.ejor.2018.10.024</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Modelos de Deep Learning con Datos Textuales (NLP) y Precisión en Predicción de Quiebra Textual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de NLP para predicción de riesgo con datos textuales. Justifica la elección de datos cuantitativos estructurados (ventas, stock, demanda) para el IRE en lugar de datos textuales: Calzatura Vilchez no genera informes anuales 10-K ni documentos financieros estructurados. Sirve como comparativa metodológica que respalda el diseño de variables del IRE.</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Modelos de Deep Learning</w:t>
              <w:br/>
              <w:t>con Datos Textuales (NLP)</w:t>
            </w:r>
          </w:p>
        </w:tc>
        <w:tc>
          <w:tcPr>
            <w:tcW w:type="dxa" w:w="1267"/>
            <w:vMerge w:val="restart"/>
            <w:vAlign w:val="center"/>
            <w:shd w:fill="F4F9FD" w:val="clear" w:color="auto"/>
          </w:tcPr>
          <w:p>
            <w:pPr>
              <w:jc w:val="left"/>
            </w:pPr>
            <w:r/>
            <w:r>
              <w:rPr>
                <w:rFonts w:ascii="Arial" w:hAnsi="Arial" w:eastAsia="Arial"/>
                <w:b w:val="0"/>
                <w:i w:val="0"/>
                <w:sz w:val="11"/>
              </w:rPr>
              <w:t>Modelos de Deep Learning con Datos Textuales (NLP): constructo independiente conceptualizado por Cai, F. et al. (2019).</w:t>
            </w:r>
          </w:p>
        </w:tc>
        <w:tc>
          <w:tcPr>
            <w:tcW w:type="dxa" w:w="1267"/>
            <w:vMerge w:val="restart"/>
            <w:vAlign w:val="center"/>
            <w:shd w:fill="F4F9FD" w:val="clear" w:color="auto"/>
          </w:tcPr>
          <w:p>
            <w:pPr>
              <w:jc w:val="left"/>
            </w:pPr>
            <w:r/>
            <w:r>
              <w:rPr>
                <w:rFonts w:ascii="Arial" w:hAnsi="Arial" w:eastAsia="Arial"/>
                <w:b w:val="0"/>
                <w:i w:val="0"/>
                <w:sz w:val="11"/>
              </w:rPr>
              <w:t>Medición operativa: Python (NLTK, SpaCy, HuggingFace Transformers); TensorFlow / PyTorch; Informes anuales 10-K de SEC EDGAR; Validación cruzada estratificada</w:t>
            </w:r>
          </w:p>
        </w:tc>
        <w:tc>
          <w:tcPr>
            <w:tcW w:type="dxa" w:w="1181"/>
            <w:vMerge w:val="restart"/>
            <w:vAlign w:val="center"/>
            <w:shd w:fill="D6E4F0" w:val="clear" w:color="auto"/>
          </w:tcPr>
          <w:p>
            <w:pPr>
              <w:jc w:val="center"/>
            </w:pPr>
            <w:r/>
            <w:r>
              <w:rPr>
                <w:rFonts w:ascii="Arial" w:hAnsi="Arial" w:eastAsia="Arial"/>
                <w:b/>
                <w:i w:val="0"/>
                <w:sz w:val="11"/>
              </w:rPr>
              <w:t>Procesamiento de lenguaje natural</w:t>
            </w:r>
          </w:p>
        </w:tc>
        <w:tc>
          <w:tcPr>
            <w:tcW w:type="dxa" w:w="1944"/>
            <w:vAlign w:val="center"/>
            <w:shd w:fill="FFFFFF" w:val="clear" w:color="auto"/>
          </w:tcPr>
          <w:p>
            <w:pPr>
              <w:jc w:val="left"/>
            </w:pPr>
            <w:r/>
            <w:r>
              <w:rPr>
                <w:rFonts w:ascii="Arial" w:hAnsi="Arial" w:eastAsia="Arial"/>
                <w:b w:val="0"/>
                <w:i w:val="0"/>
                <w:sz w:val="11"/>
              </w:rPr>
              <w:t>Vocabulario del modelo (n.° de tokens únicos)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 ↳ Sistema: tablas ventasDiarias, pedidos, productos (no NLP)</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Representación vectorial (word2vec, BERT, TF-IDF)</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 ↳ Sistema: tablas ventasDiarias, pedidos, productos (no NLP)</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palabras procesadas por documento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 ↳ Sistema: tablas ventasDiarias, pedidos, productos (no NLP)</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Arquitectura del modelo de DL</w:t>
            </w:r>
          </w:p>
        </w:tc>
        <w:tc>
          <w:tcPr>
            <w:tcW w:type="dxa" w:w="1944"/>
            <w:vAlign w:val="center"/>
            <w:shd w:fill="FFFFFF" w:val="clear" w:color="auto"/>
          </w:tcPr>
          <w:p>
            <w:pPr>
              <w:jc w:val="left"/>
            </w:pPr>
            <w:r/>
            <w:r>
              <w:rPr>
                <w:rFonts w:ascii="Arial" w:hAnsi="Arial" w:eastAsia="Arial"/>
                <w:b w:val="0"/>
                <w:i w:val="0"/>
                <w:sz w:val="11"/>
              </w:rPr>
              <w:t>Capas LSTM o Transformer utilizadas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 ↳ Sistema: tablas ventasDiarias, pedidos, productos (no NLP)</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épocas de entrenamiento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 ↳ Sistema: tablas ventasDiarias, pedidos, productos (no NLP)</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aprendizaje (learning rate)</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 ↳ Sistema: tablas ventasDiarias, pedidos, productos (no NLP)</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Precisión en Predicción</w:t>
              <w:br/>
              <w:t>de Quiebra Textual</w:t>
            </w:r>
          </w:p>
        </w:tc>
        <w:tc>
          <w:tcPr>
            <w:tcW w:type="dxa" w:w="1267"/>
            <w:vMerge w:val="restart"/>
            <w:vAlign w:val="center"/>
            <w:shd w:fill="FFF9EE" w:val="clear" w:color="auto"/>
          </w:tcPr>
          <w:p>
            <w:pPr>
              <w:jc w:val="left"/>
            </w:pPr>
            <w:r/>
            <w:r>
              <w:rPr>
                <w:rFonts w:ascii="Arial" w:hAnsi="Arial" w:eastAsia="Arial"/>
                <w:b w:val="0"/>
                <w:i w:val="0"/>
                <w:sz w:val="11"/>
              </w:rPr>
              <w:t>Precisión en Predicción de Quiebra Textual: constructo dependiente/outcome del estudio Cai, F. et al. (2019).</w:t>
            </w:r>
          </w:p>
        </w:tc>
        <w:tc>
          <w:tcPr>
            <w:tcW w:type="dxa" w:w="1267"/>
            <w:vMerge w:val="restart"/>
            <w:vAlign w:val="center"/>
            <w:shd w:fill="FFF9EE" w:val="clear" w:color="auto"/>
          </w:tcPr>
          <w:p>
            <w:pPr>
              <w:jc w:val="left"/>
            </w:pPr>
            <w:r/>
            <w:r>
              <w:rPr>
                <w:rFonts w:ascii="Arial" w:hAnsi="Arial" w:eastAsia="Arial"/>
                <w:b w:val="0"/>
                <w:i w:val="0"/>
                <w:sz w:val="11"/>
              </w:rPr>
              <w:t>Medición operativa: Python (NLTK, SpaCy, HuggingFace Transformers); TensorFlow / PyTorch; Informes anuales 10-K de SEC EDGAR; Validación cruzada estratificada</w:t>
            </w:r>
          </w:p>
        </w:tc>
        <w:tc>
          <w:tcPr>
            <w:tcW w:type="dxa" w:w="1181"/>
            <w:vMerge w:val="restart"/>
            <w:vAlign w:val="center"/>
            <w:shd w:fill="FFF5CC" w:val="clear" w:color="auto"/>
          </w:tcPr>
          <w:p>
            <w:pPr>
              <w:jc w:val="center"/>
            </w:pPr>
            <w:r/>
            <w:r>
              <w:rPr>
                <w:rFonts w:ascii="Arial" w:hAnsi="Arial" w:eastAsia="Arial"/>
                <w:b/>
                <w:i w:val="0"/>
                <w:sz w:val="11"/>
              </w:rPr>
              <w:t>Exactitud del modelo basado en texto</w:t>
            </w: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AUC-ROC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F1-score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Valor incremental del texto vs. ratios</w:t>
            </w:r>
          </w:p>
        </w:tc>
        <w:tc>
          <w:tcPr>
            <w:tcW w:type="dxa" w:w="1944"/>
            <w:vAlign w:val="center"/>
            <w:shd w:fill="FFFFFF" w:val="clear" w:color="auto"/>
          </w:tcPr>
          <w:p>
            <w:pPr>
              <w:jc w:val="left"/>
            </w:pPr>
            <w:r/>
            <w:r>
              <w:rPr>
                <w:rFonts w:ascii="Arial" w:hAnsi="Arial" w:eastAsia="Arial"/>
                <w:b w:val="0"/>
                <w:i w:val="0"/>
                <w:sz w:val="11"/>
              </w:rPr>
              <w:t>Mejora de AUC vs. modelo solo con ratios financieros</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Información incremental aportada por el texto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(NLTK, SpaCy, HuggingFace Transformers); TensorFlow / PyTorch; Informes anuales 10-K de SEC EDGAR</w:t>
            </w:r>
          </w:p>
        </w:tc>
        <w:tc>
          <w:tcPr>
            <w:tcW w:type="dxa" w:w="1181"/>
            <w:vAlign w:val="center"/>
            <w:shd w:fill="FFFFFF" w:val="clear" w:color="auto"/>
          </w:tcPr>
          <w:p>
            <w:pPr>
              <w:jc w:val="left"/>
            </w:pPr>
            <w:r/>
            <w:r>
              <w:rPr>
                <w:rFonts w:ascii="Arial" w:hAnsi="Arial" w:eastAsia="Arial"/>
                <w:b w:val="0"/>
                <w:i w:val="0"/>
                <w:sz w:val="11"/>
              </w:rPr>
              <w:t>Validación cruzada estratificada</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de NLP para predicción de riesgo con datos textuales. Justifica la elección de datos cuantitativos estructurados (ventas, stock, demanda) para el IRE en lugar de datos textuales: Calzatura Vilchez no genera informes anuales 10-K ni documentos financieros estructurados. Sirve como comparativa metodológica que respalda el diseño de variables del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Datos no textuales: ventas, stock y pedidos estructurados en Supabase; NLP no requerido en el pipeline actual.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https://doi.org/10.1016/j.ejor.2018.10.024</w:t>
      </w:r>
    </w:p>
    <w:p>
      <w:pPr>
        <w:spacing w:before="160" w:after="20"/>
      </w:pPr>
      <w:r>
        <w:rPr>
          <w:rFonts w:ascii="Arial" w:hAnsi="Arial" w:eastAsia="Arial"/>
          <w:b/>
          <w:i w:val="0"/>
          <w:sz w:val="18"/>
        </w:rPr>
        <w:t xml:space="preserve">Artículo [25] — </w:t>
      </w:r>
      <w:r>
        <w:rPr>
          <w:rFonts w:ascii="Arial" w:hAnsi="Arial" w:eastAsia="Arial"/>
          <w:b/>
          <w:i/>
          <w:sz w:val="18"/>
        </w:rPr>
        <w:t>Variable selection and corporate bankruptcy forecasts</w:t>
      </w:r>
    </w:p>
    <w:p>
      <w:pPr>
        <w:spacing w:before="0" w:after="40"/>
      </w:pPr>
      <w:r>
        <w:rPr>
          <w:rFonts w:ascii="Arial" w:hAnsi="Arial" w:eastAsia="Arial"/>
          <w:b w:val="0"/>
          <w:i/>
          <w:sz w:val="16"/>
        </w:rPr>
        <w:t>Tian, S.; Yu, Y. y Guo, H. (2015) — Journal of Banking &amp; Finance · Q1 · DOI: 10.1016/j.jbankfin.2014.12.003</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Selección de Variables para Pronóstico de Quiebra y Pronóstico de Quiebra Empresarial en el contexto del estudio original.</w:t>
            </w:r>
          </w:p>
        </w:tc>
        <w:tc>
          <w:tcPr>
            <w:tcW w:type="dxa" w:w="1512"/>
            <w:vAlign w:val="center"/>
            <w:shd w:fill="F8F9FA" w:val="clear" w:color="auto"/>
          </w:tcPr>
          <w:p>
            <w:pPr>
              <w:jc w:val="left"/>
            </w:pPr>
            <w:r/>
            <w:r>
              <w:rPr>
                <w:rFonts w:ascii="Arial" w:hAnsi="Arial" w:eastAsia="Arial"/>
                <w:b w:val="0"/>
                <w:i w:val="0"/>
                <w:sz w:val="12"/>
              </w:rPr>
              <w:t>Modelado computacional (ML/DL) + datos secundarios</w:t>
            </w:r>
          </w:p>
        </w:tc>
        <w:tc>
          <w:tcPr>
            <w:tcW w:type="dxa" w:w="1512"/>
            <w:vAlign w:val="center"/>
            <w:shd w:fill="F8F9FA" w:val="clear" w:color="auto"/>
          </w:tcPr>
          <w:p>
            <w:pPr>
              <w:jc w:val="left"/>
            </w:pPr>
            <w:r/>
            <w:r>
              <w:rPr>
                <w:rFonts w:ascii="Arial" w:hAnsi="Arial" w:eastAsia="Arial"/>
                <w:b w:val="0"/>
                <w:i w:val="0"/>
                <w:sz w:val="12"/>
              </w:rPr>
              <w:t>Grandes corporaciones EE.UU. (COMPUSTAT/CRSP)</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 xml:space="preserve">ARTÍCULO NÚCLEO METODOLÓGICO. Fundamenta la selección de variables predictivas del IRE usando LASSO, Stepwise y Random Forest. Los métodos de selección de características son directamente replicables para determinar el peso relativo de demanda (25%), stock (40%) e ingresos (35%) en el índice. Los coeficientes significativos identificados equivalen a los pesos del IRE (Variable </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Selección de Variables</w:t>
              <w:br/>
              <w:t>para Pronóstico de Quiebra</w:t>
            </w:r>
          </w:p>
        </w:tc>
        <w:tc>
          <w:tcPr>
            <w:tcW w:type="dxa" w:w="1267"/>
            <w:vMerge w:val="restart"/>
            <w:vAlign w:val="center"/>
            <w:shd w:fill="F4F9FD" w:val="clear" w:color="auto"/>
          </w:tcPr>
          <w:p>
            <w:pPr>
              <w:jc w:val="left"/>
            </w:pPr>
            <w:r/>
            <w:r>
              <w:rPr>
                <w:rFonts w:ascii="Arial" w:hAnsi="Arial" w:eastAsia="Arial"/>
                <w:b w:val="0"/>
                <w:i w:val="0"/>
                <w:sz w:val="11"/>
              </w:rPr>
              <w:t>Selección de Variables para Pronóstico de Quiebra: constructo independiente conceptualizado por Tian, S.; Yu, Y. y Guo, H. (2015).</w:t>
            </w:r>
          </w:p>
        </w:tc>
        <w:tc>
          <w:tcPr>
            <w:tcW w:type="dxa" w:w="1267"/>
            <w:vMerge w:val="restart"/>
            <w:vAlign w:val="center"/>
            <w:shd w:fill="F4F9FD" w:val="clear" w:color="auto"/>
          </w:tcPr>
          <w:p>
            <w:pPr>
              <w:jc w:val="left"/>
            </w:pPr>
            <w:r/>
            <w:r>
              <w:rPr>
                <w:rFonts w:ascii="Arial" w:hAnsi="Arial" w:eastAsia="Arial"/>
                <w:b w:val="0"/>
                <w:i w:val="0"/>
                <w:sz w:val="11"/>
              </w:rPr>
              <w:t>Medición operativa: LASSO, Ridge, Elastic Net (glmnet en R); Python / R para modelado; COMPUSTAT (EE.UU., 1980–2010); PCA — Análisis de Componentes Principales</w:t>
            </w:r>
          </w:p>
        </w:tc>
        <w:tc>
          <w:tcPr>
            <w:tcW w:type="dxa" w:w="1181"/>
            <w:vMerge w:val="restart"/>
            <w:vAlign w:val="center"/>
            <w:shd w:fill="D6E4F0" w:val="clear" w:color="auto"/>
          </w:tcPr>
          <w:p>
            <w:pPr>
              <w:jc w:val="center"/>
            </w:pPr>
            <w:r/>
            <w:r>
              <w:rPr>
                <w:rFonts w:ascii="Arial" w:hAnsi="Arial" w:eastAsia="Arial"/>
                <w:b/>
                <w:i w:val="0"/>
                <w:sz w:val="11"/>
              </w:rPr>
              <w:t>Variables financieras candidatas</w:t>
            </w:r>
          </w:p>
        </w:tc>
        <w:tc>
          <w:tcPr>
            <w:tcW w:type="dxa" w:w="1944"/>
            <w:vAlign w:val="center"/>
            <w:shd w:fill="FFFFFF" w:val="clear" w:color="auto"/>
          </w:tcPr>
          <w:p>
            <w:pPr>
              <w:jc w:val="left"/>
            </w:pPr>
            <w:r/>
            <w:r>
              <w:rPr>
                <w:rFonts w:ascii="Arial" w:hAnsi="Arial" w:eastAsia="Arial"/>
                <w:b w:val="0"/>
                <w:i w:val="0"/>
                <w:sz w:val="11"/>
              </w:rPr>
              <w:t>Ratios de liquidez (Current Ratio, Quick Ratio)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 ↳ Sistema: models/risk_metadata.py — pesos y variables 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Ratios de apalancamiento (Debt/Equity)</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 ↳ Sistema: models/risk_metadata.py — pesos y variables 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Ratios de rentabilidad (ROA, ROE, Margen)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 ↳ Sistema: models/risk_metadata.py — pesos y variables IRE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Métodos de selección de variables</w:t>
            </w:r>
          </w:p>
        </w:tc>
        <w:tc>
          <w:tcPr>
            <w:tcW w:type="dxa" w:w="1944"/>
            <w:vAlign w:val="center"/>
            <w:shd w:fill="FFFFFF" w:val="clear" w:color="auto"/>
          </w:tcPr>
          <w:p>
            <w:pPr>
              <w:jc w:val="left"/>
            </w:pPr>
            <w:r/>
            <w:r>
              <w:rPr>
                <w:rFonts w:ascii="Arial" w:hAnsi="Arial" w:eastAsia="Arial"/>
                <w:b w:val="0"/>
                <w:i w:val="0"/>
                <w:sz w:val="11"/>
              </w:rPr>
              <w:t>LASSO — Regularización L1</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 ↳ Sistema: models/risk_metadata.py — pesos y variables 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Stepwise selection (forward, backward)</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 ↳ Sistema: models/risk_metadata.py — pesos y variables 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Importancia de variables por Random Forest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 ↳ Sistema: models/risk_metadata.py — pesos y variables IRE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Pronóstico de Quiebra</w:t>
              <w:br/>
              <w:t>Empresarial</w:t>
            </w:r>
          </w:p>
        </w:tc>
        <w:tc>
          <w:tcPr>
            <w:tcW w:type="dxa" w:w="1267"/>
            <w:vMerge w:val="restart"/>
            <w:vAlign w:val="center"/>
            <w:shd w:fill="FFF9EE" w:val="clear" w:color="auto"/>
          </w:tcPr>
          <w:p>
            <w:pPr>
              <w:jc w:val="left"/>
            </w:pPr>
            <w:r/>
            <w:r>
              <w:rPr>
                <w:rFonts w:ascii="Arial" w:hAnsi="Arial" w:eastAsia="Arial"/>
                <w:b w:val="0"/>
                <w:i w:val="0"/>
                <w:sz w:val="11"/>
              </w:rPr>
              <w:t>Pronóstico de Quiebra Empresarial: constructo dependiente/outcome del estudio Tian, S.; Yu, Y. y Guo, H. (2015).</w:t>
            </w:r>
          </w:p>
        </w:tc>
        <w:tc>
          <w:tcPr>
            <w:tcW w:type="dxa" w:w="1267"/>
            <w:vMerge w:val="restart"/>
            <w:vAlign w:val="center"/>
            <w:shd w:fill="FFF9EE" w:val="clear" w:color="auto"/>
          </w:tcPr>
          <w:p>
            <w:pPr>
              <w:jc w:val="left"/>
            </w:pPr>
            <w:r/>
            <w:r>
              <w:rPr>
                <w:rFonts w:ascii="Arial" w:hAnsi="Arial" w:eastAsia="Arial"/>
                <w:b w:val="0"/>
                <w:i w:val="0"/>
                <w:sz w:val="11"/>
              </w:rPr>
              <w:t>Medición operativa: LASSO, Ridge, Elastic Net (glmnet en R); Python / R para modelado; COMPUSTAT (EE.UU., 1980–2010); PCA — Análisis de Componentes Principales</w:t>
            </w:r>
          </w:p>
        </w:tc>
        <w:tc>
          <w:tcPr>
            <w:tcW w:type="dxa" w:w="1181"/>
            <w:vMerge w:val="restart"/>
            <w:vAlign w:val="center"/>
            <w:shd w:fill="FFF5CC" w:val="clear" w:color="auto"/>
          </w:tcPr>
          <w:p>
            <w:pPr>
              <w:jc w:val="center"/>
            </w:pPr>
            <w:r/>
            <w:r>
              <w:rPr>
                <w:rFonts w:ascii="Arial" w:hAnsi="Arial" w:eastAsia="Arial"/>
                <w:b/>
                <w:i w:val="0"/>
                <w:sz w:val="11"/>
              </w:rPr>
              <w:t>Exactitud del modelo con variables seleccionadas</w:t>
            </w:r>
          </w:p>
        </w:tc>
        <w:tc>
          <w:tcPr>
            <w:tcW w:type="dxa" w:w="1944"/>
            <w:vAlign w:val="center"/>
            <w:shd w:fill="FFFFFF" w:val="clear" w:color="auto"/>
          </w:tcPr>
          <w:p>
            <w:pPr>
              <w:jc w:val="left"/>
            </w:pPr>
            <w:r/>
            <w:r>
              <w:rPr>
                <w:rFonts w:ascii="Arial" w:hAnsi="Arial" w:eastAsia="Arial"/>
                <w:b w:val="0"/>
                <w:i w:val="0"/>
                <w:sz w:val="11"/>
              </w:rPr>
              <w:t>AUC-ROC con subconjunto de variables</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variables óptimas seleccionadas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Interpretabilidad del modelo</w:t>
            </w:r>
          </w:p>
        </w:tc>
        <w:tc>
          <w:tcPr>
            <w:tcW w:type="dxa" w:w="1944"/>
            <w:vAlign w:val="center"/>
            <w:shd w:fill="FFFFFF" w:val="clear" w:color="auto"/>
          </w:tcPr>
          <w:p>
            <w:pPr>
              <w:jc w:val="left"/>
            </w:pPr>
            <w:r/>
            <w:r>
              <w:rPr>
                <w:rFonts w:ascii="Arial" w:hAnsi="Arial" w:eastAsia="Arial"/>
                <w:b w:val="0"/>
                <w:i w:val="0"/>
                <w:sz w:val="11"/>
              </w:rPr>
              <w:t>N.° de coeficientes significativos (p &lt; 0.05)</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Variable de mayor importancia predictiva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Odds ratio por variable clave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LASSO, Ridge, Elastic Net (glmnet en R); Python / R para modelado; COMPUSTAT (EE.UU., 1980–2010)</w:t>
            </w:r>
          </w:p>
        </w:tc>
        <w:tc>
          <w:tcPr>
            <w:tcW w:type="dxa" w:w="1181"/>
            <w:vAlign w:val="center"/>
            <w:shd w:fill="FFFFFF" w:val="clear" w:color="auto"/>
          </w:tcPr>
          <w:p>
            <w:pPr>
              <w:jc w:val="left"/>
            </w:pPr>
            <w:r/>
            <w:r>
              <w:rPr>
                <w:rFonts w:ascii="Arial" w:hAnsi="Arial" w:eastAsia="Arial"/>
                <w:b w:val="0"/>
                <w:i w:val="0"/>
                <w:sz w:val="11"/>
              </w:rPr>
              <w:t>PCA — Análisis de Componentes Principales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METODOLÓGICO. Fundamenta la selección de variables predictivas del IRE usando LASSO, Stepwise y Random Forest. Los métodos de selección de características son directamente replicables para determinar el peso relativo de demanda (25%), stock (40%) e ingresos (35%) en el índice. Los coeficientes significativos identificados equivalen a los pesos del IRE (Variable Dependiente — Diseño y calibración del modelo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Variables IRE calibradas: riesgo_stock (40%), riesgo_ingresos (35%), riesgo_demanda (25%) en models/risk_metadata.py.</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https://doi.org/10.1016/j.jbankfin.2014.12.003</w:t>
      </w:r>
    </w:p>
    <w:p>
      <w:pPr>
        <w:spacing w:before="160" w:after="20"/>
      </w:pPr>
      <w:r>
        <w:rPr>
          <w:rFonts w:ascii="Arial" w:hAnsi="Arial" w:eastAsia="Arial"/>
          <w:b/>
          <w:i w:val="0"/>
          <w:sz w:val="18"/>
        </w:rPr>
        <w:t xml:space="preserve">Artículo [26] — </w:t>
      </w:r>
      <w:r>
        <w:rPr>
          <w:rFonts w:ascii="Arial" w:hAnsi="Arial" w:eastAsia="Arial"/>
          <w:b/>
          <w:i/>
          <w:sz w:val="18"/>
        </w:rPr>
        <w:t>Financial ratios, discriminant analysis and the prediction of corporate bankruptcy</w:t>
      </w:r>
    </w:p>
    <w:p>
      <w:pPr>
        <w:spacing w:before="0" w:after="40"/>
      </w:pPr>
      <w:r>
        <w:rPr>
          <w:rFonts w:ascii="Arial" w:hAnsi="Arial" w:eastAsia="Arial"/>
          <w:b w:val="0"/>
          <w:i/>
          <w:sz w:val="16"/>
        </w:rPr>
        <w:t>Altman, E.I. (1968) — The Journal of Finance · Q1 · JIF 7.75</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Ratios Financieros para Predicción de Quiebra (Modelo Z-score) y Clasificación del Riesgo de Quiebra en el contexto del estudio original.</w:t>
            </w:r>
          </w:p>
        </w:tc>
        <w:tc>
          <w:tcPr>
            <w:tcW w:type="dxa" w:w="1512"/>
            <w:vAlign w:val="center"/>
            <w:shd w:fill="F8F9FA" w:val="clear" w:color="auto"/>
          </w:tcPr>
          <w:p>
            <w:pPr>
              <w:jc w:val="left"/>
            </w:pPr>
            <w:r/>
            <w:r>
              <w:rPr>
                <w:rFonts w:ascii="Arial" w:hAnsi="Arial" w:eastAsia="Arial"/>
                <w:b w:val="0"/>
                <w:i w:val="0"/>
                <w:sz w:val="12"/>
              </w:rPr>
              <w:t>Análisis documental / cuantitativo</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REFERENCIA FUNDACIONAL. El modelo Z-score de Altman (1968) establece el concepto de índice compuesto de riesgo como antecedente histórico directo del IRE. El punto de corte Z = 2.675 es el análogo conceptual del umbral del IRE. Se cita en el marco teórico como la primera propuesta cuantitativa de predicción del riesgo empresarial; la tesis evoluciona este concepto hacia datos o</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Ratios Financieros para</w:t>
              <w:br/>
              <w:t>Predicción de Quiebra</w:t>
              <w:br/>
              <w:t>(Modelo Z-score)</w:t>
            </w:r>
          </w:p>
        </w:tc>
        <w:tc>
          <w:tcPr>
            <w:tcW w:type="dxa" w:w="1267"/>
            <w:vMerge w:val="restart"/>
            <w:vAlign w:val="center"/>
            <w:shd w:fill="F4F9FD" w:val="clear" w:color="auto"/>
          </w:tcPr>
          <w:p>
            <w:pPr>
              <w:jc w:val="left"/>
            </w:pPr>
            <w:r/>
            <w:r>
              <w:rPr>
                <w:rFonts w:ascii="Arial" w:hAnsi="Arial" w:eastAsia="Arial"/>
                <w:b w:val="0"/>
                <w:i w:val="0"/>
                <w:sz w:val="11"/>
              </w:rPr>
              <w:t>Ratios Financieros para Predicción de Quiebra (Modelo Z-score): constructo independiente conceptualizado por Altman, E.I. (1968).</w:t>
            </w:r>
          </w:p>
        </w:tc>
        <w:tc>
          <w:tcPr>
            <w:tcW w:type="dxa" w:w="1267"/>
            <w:vMerge w:val="restart"/>
            <w:vAlign w:val="center"/>
            <w:shd w:fill="F4F9FD" w:val="clear" w:color="auto"/>
          </w:tcPr>
          <w:p>
            <w:pPr>
              <w:jc w:val="left"/>
            </w:pPr>
            <w:r/>
            <w:r>
              <w:rPr>
                <w:rFonts w:ascii="Arial" w:hAnsi="Arial" w:eastAsia="Arial"/>
                <w:b w:val="0"/>
                <w:i w:val="0"/>
                <w:sz w:val="11"/>
              </w:rPr>
              <w:t>Medición operativa: Análisis discriminante múltiple (MDA); SPSS / SAS; Base de datos empresas manufactureras EE.UU. (n=33 quebradas + 33 sanas); Estados financieros auditados</w:t>
            </w:r>
          </w:p>
        </w:tc>
        <w:tc>
          <w:tcPr>
            <w:tcW w:type="dxa" w:w="1181"/>
            <w:vMerge w:val="restart"/>
            <w:vAlign w:val="center"/>
            <w:shd w:fill="D6E4F0" w:val="clear" w:color="auto"/>
          </w:tcPr>
          <w:p>
            <w:pPr>
              <w:jc w:val="center"/>
            </w:pPr>
            <w:r/>
            <w:r>
              <w:rPr>
                <w:rFonts w:ascii="Arial" w:hAnsi="Arial" w:eastAsia="Arial"/>
                <w:b/>
                <w:i w:val="0"/>
                <w:sz w:val="11"/>
              </w:rPr>
              <w:t>Ratios del modelo Z-score de Altman</w:t>
            </w:r>
          </w:p>
        </w:tc>
        <w:tc>
          <w:tcPr>
            <w:tcW w:type="dxa" w:w="1944"/>
            <w:vAlign w:val="center"/>
            <w:shd w:fill="FFFFFF" w:val="clear" w:color="auto"/>
          </w:tcPr>
          <w:p>
            <w:pPr>
              <w:jc w:val="left"/>
            </w:pPr>
            <w:r/>
            <w:r>
              <w:rPr>
                <w:rFonts w:ascii="Arial" w:hAnsi="Arial" w:eastAsia="Arial"/>
                <w:b w:val="0"/>
                <w:i w:val="0"/>
                <w:sz w:val="11"/>
              </w:rPr>
              <w:t>X1: Capital trabajo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X2: Utilidades retenidas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X3: EBIT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X4: Valor mercado patrimonio / Pasivo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X5: Ventas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Método de clasificación discriminante</w:t>
            </w:r>
          </w:p>
        </w:tc>
        <w:tc>
          <w:tcPr>
            <w:tcW w:type="dxa" w:w="1944"/>
            <w:vAlign w:val="center"/>
            <w:shd w:fill="FFFFFF" w:val="clear" w:color="auto"/>
          </w:tcPr>
          <w:p>
            <w:pPr>
              <w:jc w:val="left"/>
            </w:pPr>
            <w:r/>
            <w:r>
              <w:rPr>
                <w:rFonts w:ascii="Arial" w:hAnsi="Arial" w:eastAsia="Arial"/>
                <w:b w:val="0"/>
                <w:i w:val="0"/>
                <w:sz w:val="11"/>
              </w:rPr>
              <w:t>Coeficientes de la función discriminante múltiple</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Punto de corte Z = 2.675</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Ponderación de cada ratio en la función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 ↳ Sistema: umbral IRE Crítico (≥75) análogo conceptual a Z-Score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Clasificación del</w:t>
              <w:br/>
              <w:t>Riesgo de Quiebra</w:t>
            </w:r>
          </w:p>
        </w:tc>
        <w:tc>
          <w:tcPr>
            <w:tcW w:type="dxa" w:w="1267"/>
            <w:vMerge w:val="restart"/>
            <w:vAlign w:val="center"/>
            <w:shd w:fill="FFF9EE" w:val="clear" w:color="auto"/>
          </w:tcPr>
          <w:p>
            <w:pPr>
              <w:jc w:val="left"/>
            </w:pPr>
            <w:r/>
            <w:r>
              <w:rPr>
                <w:rFonts w:ascii="Arial" w:hAnsi="Arial" w:eastAsia="Arial"/>
                <w:b w:val="0"/>
                <w:i w:val="0"/>
                <w:sz w:val="11"/>
              </w:rPr>
              <w:t>Clasificación del Riesgo de Quiebra: constructo dependiente/outcome del estudio Altman, E.I. (1968).</w:t>
            </w:r>
          </w:p>
        </w:tc>
        <w:tc>
          <w:tcPr>
            <w:tcW w:type="dxa" w:w="1267"/>
            <w:vMerge w:val="restart"/>
            <w:vAlign w:val="center"/>
            <w:shd w:fill="FFF9EE" w:val="clear" w:color="auto"/>
          </w:tcPr>
          <w:p>
            <w:pPr>
              <w:jc w:val="left"/>
            </w:pPr>
            <w:r/>
            <w:r>
              <w:rPr>
                <w:rFonts w:ascii="Arial" w:hAnsi="Arial" w:eastAsia="Arial"/>
                <w:b w:val="0"/>
                <w:i w:val="0"/>
                <w:sz w:val="11"/>
              </w:rPr>
              <w:t>Medición operativa: Análisis discriminante múltiple (MDA); SPSS / SAS; Base de datos empresas manufactureras EE.UU. (n=33 quebradas + 33 sanas); Estados financieros auditados</w:t>
            </w:r>
          </w:p>
        </w:tc>
        <w:tc>
          <w:tcPr>
            <w:tcW w:type="dxa" w:w="1181"/>
            <w:vMerge w:val="restart"/>
            <w:vAlign w:val="center"/>
            <w:shd w:fill="FFF5CC" w:val="clear" w:color="auto"/>
          </w:tcPr>
          <w:p>
            <w:pPr>
              <w:jc w:val="center"/>
            </w:pPr>
            <w:r/>
            <w:r>
              <w:rPr>
                <w:rFonts w:ascii="Arial" w:hAnsi="Arial" w:eastAsia="Arial"/>
                <w:b/>
                <w:i w:val="0"/>
                <w:sz w:val="11"/>
              </w:rPr>
              <w:t>Exactitud de clasificación</w:t>
            </w:r>
          </w:p>
        </w:tc>
        <w:tc>
          <w:tcPr>
            <w:tcW w:type="dxa" w:w="1944"/>
            <w:vAlign w:val="center"/>
            <w:shd w:fill="FFFFFF" w:val="clear" w:color="auto"/>
          </w:tcPr>
          <w:p>
            <w:pPr>
              <w:jc w:val="left"/>
            </w:pPr>
            <w:r/>
            <w:r>
              <w:rPr>
                <w:rFonts w:ascii="Arial" w:hAnsi="Arial" w:eastAsia="Arial"/>
                <w:b w:val="0"/>
                <w:i w:val="0"/>
                <w:sz w:val="11"/>
              </w:rPr>
              <w:t>Tasa de acierto en muestra original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acierto en muestra de validación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Error tipo I y tipo II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Zonas de riesgo definidas</w:t>
            </w:r>
          </w:p>
        </w:tc>
        <w:tc>
          <w:tcPr>
            <w:tcW w:type="dxa" w:w="1944"/>
            <w:vAlign w:val="center"/>
            <w:shd w:fill="FFFFFF" w:val="clear" w:color="auto"/>
          </w:tcPr>
          <w:p>
            <w:pPr>
              <w:jc w:val="left"/>
            </w:pPr>
            <w:r/>
            <w:r>
              <w:rPr>
                <w:rFonts w:ascii="Arial" w:hAnsi="Arial" w:eastAsia="Arial"/>
                <w:b w:val="0"/>
                <w:i w:val="0"/>
                <w:sz w:val="11"/>
              </w:rPr>
              <w:t>Zona segura: Z &gt; 2.99</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Zona gris: 1.81 &lt; Z &lt; 2.99</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Zona de distress: Z &lt; 1.81</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discriminante múltiple (MDA); SPSS / SAS; Base de datos empresas manufactureras EE.UU. (n=33 quebradas + 33 sanas)</w:t>
            </w:r>
          </w:p>
        </w:tc>
        <w:tc>
          <w:tcPr>
            <w:tcW w:type="dxa" w:w="1181"/>
            <w:vAlign w:val="center"/>
            <w:shd w:fill="FFFFFF" w:val="clear" w:color="auto"/>
          </w:tcPr>
          <w:p>
            <w:pPr>
              <w:jc w:val="left"/>
            </w:pPr>
            <w:r/>
            <w:r>
              <w:rPr>
                <w:rFonts w:ascii="Arial" w:hAnsi="Arial" w:eastAsia="Arial"/>
                <w:b w:val="0"/>
                <w:i w:val="0"/>
                <w:sz w:val="11"/>
              </w:rPr>
              <w:t>Estados financieros auditados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REFERENCIA FUNDACIONAL. El modelo Z-score de Altman (1968) establece el concepto de índice compuesto de riesgo como antecedente histórico directo del IRE. El punto de corte Z = 2.675 es el análogo conceptual del umbral del IRE. Se cita en el marco teórico como la primera propuesta cuantitativa de predicción del riesgo empresarial; la tesis evoluciona este concepto hacia datos operacionales de PYME.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Altman Z-Score como antecedente histórico; umbral conceptual análogo al nivel Crítico del IRE (score ≥ 75).</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https://doi.org/10.1111/j.1540-6261.1968.tb00843.x</w:t>
      </w:r>
    </w:p>
    <w:p>
      <w:pPr>
        <w:spacing w:before="160" w:after="20"/>
      </w:pPr>
      <w:r>
        <w:rPr>
          <w:rFonts w:ascii="Arial" w:hAnsi="Arial" w:eastAsia="Arial"/>
          <w:b/>
          <w:i w:val="0"/>
          <w:sz w:val="18"/>
        </w:rPr>
        <w:t xml:space="preserve">Artículo [27] — </w:t>
      </w:r>
      <w:r>
        <w:rPr>
          <w:rFonts w:ascii="Arial" w:hAnsi="Arial" w:eastAsia="Arial"/>
          <w:b/>
          <w:i/>
          <w:sz w:val="18"/>
        </w:rPr>
        <w:t>Financial ratios as predictors of failure</w:t>
      </w:r>
    </w:p>
    <w:p>
      <w:pPr>
        <w:spacing w:before="0" w:after="40"/>
      </w:pPr>
      <w:r>
        <w:rPr>
          <w:rFonts w:ascii="Arial" w:hAnsi="Arial" w:eastAsia="Arial"/>
          <w:b w:val="0"/>
          <w:i/>
          <w:sz w:val="16"/>
        </w:rPr>
        <w:t>Beaver, W.H. (1966) — Journal of Accounting Research · Q1 · JIF 4.87</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Ratios Financieros Univar. como Predictores de Quiebra y Discriminación entre Empresas Quebradas y Solventes en el contexto del estudio original.</w:t>
            </w:r>
          </w:p>
        </w:tc>
        <w:tc>
          <w:tcPr>
            <w:tcW w:type="dxa" w:w="1512"/>
            <w:vAlign w:val="center"/>
            <w:shd w:fill="F8F9FA" w:val="clear" w:color="auto"/>
          </w:tcPr>
          <w:p>
            <w:pPr>
              <w:jc w:val="left"/>
            </w:pPr>
            <w:r/>
            <w:r>
              <w:rPr>
                <w:rFonts w:ascii="Arial" w:hAnsi="Arial" w:eastAsia="Arial"/>
                <w:b w:val="0"/>
                <w:i w:val="0"/>
                <w:sz w:val="12"/>
              </w:rPr>
              <w:t>Análisis documental / cuantitativo</w:t>
            </w:r>
          </w:p>
        </w:tc>
        <w:tc>
          <w:tcPr>
            <w:tcW w:type="dxa" w:w="1512"/>
            <w:vAlign w:val="center"/>
            <w:shd w:fill="F8F9FA" w:val="clear" w:color="auto"/>
          </w:tcPr>
          <w:p>
            <w:pPr>
              <w:jc w:val="left"/>
            </w:pPr>
            <w:r/>
            <w:r>
              <w:rPr>
                <w:rFonts w:ascii="Arial" w:hAnsi="Arial" w:eastAsia="Arial"/>
                <w:b w:val="0"/>
                <w:i w:val="0"/>
                <w:sz w:val="12"/>
              </w:rPr>
              <w:t>Grandes corporaciones EE.UU. (COMPUSTAT/CRSP)</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REFERENCIA FUNDACIONAL HISTÓRICA. El análisis univariado de ratios (Beaver, 1966) establece el origen del campo de predicción cuantitativa del riesgo empresarial. Junto con Altman (1968), traza la línea histórica desde análisis univariado hasta ML moderno que justifica el módulo IA del IRE. Se cita en el marco teórico como evidencia de la evolución metodológica, no como anteced</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Ratios Financieros</w:t>
              <w:br/>
              <w:t>Univar. como Predictores</w:t>
              <w:br/>
              <w:t>de Quiebra</w:t>
            </w:r>
          </w:p>
        </w:tc>
        <w:tc>
          <w:tcPr>
            <w:tcW w:type="dxa" w:w="1267"/>
            <w:vMerge w:val="restart"/>
            <w:vAlign w:val="center"/>
            <w:shd w:fill="F4F9FD" w:val="clear" w:color="auto"/>
          </w:tcPr>
          <w:p>
            <w:pPr>
              <w:jc w:val="left"/>
            </w:pPr>
            <w:r/>
            <w:r>
              <w:rPr>
                <w:rFonts w:ascii="Arial" w:hAnsi="Arial" w:eastAsia="Arial"/>
                <w:b w:val="0"/>
                <w:i w:val="0"/>
                <w:sz w:val="11"/>
              </w:rPr>
              <w:t>Ratios Financieros Univar. como Predictores de Quiebra: constructo independiente conceptualizado por Beaver, W.H. (1966).</w:t>
            </w:r>
          </w:p>
        </w:tc>
        <w:tc>
          <w:tcPr>
            <w:tcW w:type="dxa" w:w="1267"/>
            <w:vMerge w:val="restart"/>
            <w:vAlign w:val="center"/>
            <w:shd w:fill="F4F9FD" w:val="clear" w:color="auto"/>
          </w:tcPr>
          <w:p>
            <w:pPr>
              <w:jc w:val="left"/>
            </w:pPr>
            <w:r/>
            <w:r>
              <w:rPr>
                <w:rFonts w:ascii="Arial" w:hAnsi="Arial" w:eastAsia="Arial"/>
                <w:b w:val="0"/>
                <w:i w:val="0"/>
                <w:sz w:val="11"/>
              </w:rPr>
              <w:t>Medición operativa: Análisis univariado de ratios financieros; Dichotomous classification test; Muestra pareada (n=34 quebradas + 34 sanas, 5 años); COMPUSTAT / Moody's Industrial Manual</w:t>
            </w:r>
          </w:p>
        </w:tc>
        <w:tc>
          <w:tcPr>
            <w:tcW w:type="dxa" w:w="1181"/>
            <w:vMerge w:val="restart"/>
            <w:vAlign w:val="center"/>
            <w:shd w:fill="D6E4F0" w:val="clear" w:color="auto"/>
          </w:tcPr>
          <w:p>
            <w:pPr>
              <w:jc w:val="center"/>
            </w:pPr>
            <w:r/>
            <w:r>
              <w:rPr>
                <w:rFonts w:ascii="Arial" w:hAnsi="Arial" w:eastAsia="Arial"/>
                <w:b/>
                <w:i w:val="0"/>
                <w:sz w:val="11"/>
              </w:rPr>
              <w:t>Ratios financieros individuales evaluados</w:t>
            </w:r>
          </w:p>
        </w:tc>
        <w:tc>
          <w:tcPr>
            <w:tcW w:type="dxa" w:w="1944"/>
            <w:vAlign w:val="center"/>
            <w:shd w:fill="FFFFFF" w:val="clear" w:color="auto"/>
          </w:tcPr>
          <w:p>
            <w:pPr>
              <w:jc w:val="left"/>
            </w:pPr>
            <w:r/>
            <w:r>
              <w:rPr>
                <w:rFonts w:ascii="Arial" w:hAnsi="Arial" w:eastAsia="Arial"/>
                <w:b w:val="0"/>
                <w:i w:val="0"/>
                <w:sz w:val="11"/>
              </w:rPr>
              <w:t>Cash flow / Total deuda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Utilidad neta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Deuda total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Capital de trabajo / Activo total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Ratio de liquidez corriente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Horizonte temporal de predicción</w:t>
            </w:r>
          </w:p>
        </w:tc>
        <w:tc>
          <w:tcPr>
            <w:tcW w:type="dxa" w:w="1944"/>
            <w:vAlign w:val="center"/>
            <w:shd w:fill="FFFFFF" w:val="clear" w:color="auto"/>
          </w:tcPr>
          <w:p>
            <w:pPr>
              <w:jc w:val="left"/>
            </w:pPr>
            <w:r/>
            <w:r>
              <w:rPr>
                <w:rFonts w:ascii="Arial" w:hAnsi="Arial" w:eastAsia="Arial"/>
                <w:b w:val="0"/>
                <w:i w:val="0"/>
                <w:sz w:val="11"/>
              </w:rPr>
              <w:t>1 año antes de la quiebra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2 años antes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3 años antes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4 años antes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5 años antes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 ↳ Sistema: IRE compuesto ponderado en compute_ire()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Discriminación entre</w:t>
              <w:br/>
              <w:t>Empresas Quebradas y</w:t>
              <w:br/>
              <w:t>Solventes</w:t>
            </w:r>
          </w:p>
        </w:tc>
        <w:tc>
          <w:tcPr>
            <w:tcW w:type="dxa" w:w="1267"/>
            <w:vMerge w:val="restart"/>
            <w:vAlign w:val="center"/>
            <w:shd w:fill="FFF9EE" w:val="clear" w:color="auto"/>
          </w:tcPr>
          <w:p>
            <w:pPr>
              <w:jc w:val="left"/>
            </w:pPr>
            <w:r/>
            <w:r>
              <w:rPr>
                <w:rFonts w:ascii="Arial" w:hAnsi="Arial" w:eastAsia="Arial"/>
                <w:b w:val="0"/>
                <w:i w:val="0"/>
                <w:sz w:val="11"/>
              </w:rPr>
              <w:t>Discriminación entre Empresas Quebradas y Solventes: constructo dependiente/outcome del estudio Beaver, W.H. (1966).</w:t>
            </w:r>
          </w:p>
        </w:tc>
        <w:tc>
          <w:tcPr>
            <w:tcW w:type="dxa" w:w="1267"/>
            <w:vMerge w:val="restart"/>
            <w:vAlign w:val="center"/>
            <w:shd w:fill="FFF9EE" w:val="clear" w:color="auto"/>
          </w:tcPr>
          <w:p>
            <w:pPr>
              <w:jc w:val="left"/>
            </w:pPr>
            <w:r/>
            <w:r>
              <w:rPr>
                <w:rFonts w:ascii="Arial" w:hAnsi="Arial" w:eastAsia="Arial"/>
                <w:b w:val="0"/>
                <w:i w:val="0"/>
                <w:sz w:val="11"/>
              </w:rPr>
              <w:t>Medición operativa: Análisis univariado de ratios financieros; Dichotomous classification test; Muestra pareada (n=34 quebradas + 34 sanas, 5 años); COMPUSTAT / Moody's Industrial Manual</w:t>
            </w:r>
          </w:p>
        </w:tc>
        <w:tc>
          <w:tcPr>
            <w:tcW w:type="dxa" w:w="1181"/>
            <w:vMerge w:val="restart"/>
            <w:vAlign w:val="center"/>
            <w:shd w:fill="FFF5CC" w:val="clear" w:color="auto"/>
          </w:tcPr>
          <w:p>
            <w:pPr>
              <w:jc w:val="center"/>
            </w:pPr>
            <w:r/>
            <w:r>
              <w:rPr>
                <w:rFonts w:ascii="Arial" w:hAnsi="Arial" w:eastAsia="Arial"/>
                <w:b/>
                <w:i w:val="0"/>
                <w:sz w:val="11"/>
              </w:rPr>
              <w:t>Poder predictivo de cada ratio</w:t>
            </w:r>
          </w:p>
        </w:tc>
        <w:tc>
          <w:tcPr>
            <w:tcW w:type="dxa" w:w="1944"/>
            <w:vAlign w:val="center"/>
            <w:shd w:fill="FFFFFF" w:val="clear" w:color="auto"/>
          </w:tcPr>
          <w:p>
            <w:pPr>
              <w:jc w:val="left"/>
            </w:pPr>
            <w:r/>
            <w:r>
              <w:rPr>
                <w:rFonts w:ascii="Arial" w:hAnsi="Arial" w:eastAsia="Arial"/>
                <w:b w:val="0"/>
                <w:i w:val="0"/>
                <w:sz w:val="11"/>
              </w:rPr>
              <w:t>Tasa de clasificación correcta (%) por ratio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Error de predicción en dichotomous classification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Degradación de la señal temporal</w:t>
            </w:r>
          </w:p>
        </w:tc>
        <w:tc>
          <w:tcPr>
            <w:tcW w:type="dxa" w:w="1944"/>
            <w:vAlign w:val="center"/>
            <w:shd w:fill="FFFFFF" w:val="clear" w:color="auto"/>
          </w:tcPr>
          <w:p>
            <w:pPr>
              <w:jc w:val="left"/>
            </w:pPr>
            <w:r/>
            <w:r>
              <w:rPr>
                <w:rFonts w:ascii="Arial" w:hAnsi="Arial" w:eastAsia="Arial"/>
                <w:b w:val="0"/>
                <w:i w:val="0"/>
                <w:sz w:val="11"/>
              </w:rPr>
              <w:t>Exactitud (%) del mejor ratio por horizonte</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Ratio más estable a largo plazo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Análisis univariado de ratios financieros; Dichotomous classification test; Muestra pareada (n=34 quebradas + 34 sanas, 5 años)</w:t>
            </w:r>
          </w:p>
        </w:tc>
        <w:tc>
          <w:tcPr>
            <w:tcW w:type="dxa" w:w="1181"/>
            <w:vAlign w:val="center"/>
            <w:shd w:fill="FFFFFF" w:val="clear" w:color="auto"/>
          </w:tcPr>
          <w:p>
            <w:pPr>
              <w:jc w:val="left"/>
            </w:pPr>
            <w:r/>
            <w:r>
              <w:rPr>
                <w:rFonts w:ascii="Arial" w:hAnsi="Arial" w:eastAsia="Arial"/>
                <w:b w:val="0"/>
                <w:i w:val="0"/>
                <w:sz w:val="11"/>
              </w:rPr>
              <w:t>COMPUSTAT / Moody's Industrial Manual</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REFERENCIA FUNDACIONAL HISTÓRICA. El análisis univariado de ratios (Beaver, 1966) establece el origen del campo de predicción cuantitativa del riesgo empresarial. Junto con Altman (1968), traza la línea histórica desde análisis univariado hasta ML moderno que justifica el módulo IA del IRE. Se cita en el marco teórico como evidencia de la evolución metodológica, no como antecedente empírico directo.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Evolución metodológica univariado → compuesto → ML; IRE es índice compuesto ponderado implementado en producción.</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https://doi.org/10.2307/2490171</w:t>
      </w:r>
    </w:p>
    <w:p>
      <w:pPr>
        <w:spacing w:before="200" w:after="80"/>
        <w:shd w:fill="2E75B6" w:val="clear" w:color="auto"/>
      </w:pPr>
      <w:r>
        <w:rPr>
          <w:rFonts w:ascii="Arial" w:hAnsi="Arial" w:eastAsia="Arial"/>
          <w:b/>
          <w:i w:val="0"/>
          <w:color w:val="FFFFFF"/>
          <w:sz w:val="22"/>
        </w:rPr>
        <w:t>EJE 4 — INGENIERÍA, ARQUITECTURA, CALIDAD E INTEROPERABILIDAD DEL SISTEMA CON IA</w:t>
      </w:r>
    </w:p>
    <w:p>
      <w:pPr>
        <w:spacing w:before="160" w:after="20"/>
      </w:pPr>
      <w:r>
        <w:rPr>
          <w:rFonts w:ascii="Arial" w:hAnsi="Arial" w:eastAsia="Arial"/>
          <w:b/>
          <w:i w:val="0"/>
          <w:sz w:val="18"/>
        </w:rPr>
        <w:t xml:space="preserve">Artículo [28] — </w:t>
      </w:r>
      <w:r>
        <w:rPr>
          <w:rFonts w:ascii="Arial" w:hAnsi="Arial" w:eastAsia="Arial"/>
          <w:b/>
          <w:i/>
          <w:sz w:val="18"/>
        </w:rPr>
        <w:t>Microservices: The journey so far and challenges ahead</w:t>
      </w:r>
    </w:p>
    <w:p>
      <w:pPr>
        <w:spacing w:before="0" w:after="40"/>
      </w:pPr>
      <w:r>
        <w:rPr>
          <w:rFonts w:ascii="Arial" w:hAnsi="Arial" w:eastAsia="Arial"/>
          <w:b w:val="0"/>
          <w:i/>
          <w:sz w:val="16"/>
        </w:rPr>
        <w:t>Jamshidi, P. et al. (2018) — IEEE Software · Q1 · JIF 4.40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Arquitectura de Microservicios y Desempeño del Sistema Distribuido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 xml:space="preserve">ARTÍCULO NÚCLEO TÉCNICO. Fundamenta la arquitectura de microservicios del sistema propuesto: cada módulo (e-commerce, IA-IRE, pagos Stripe, pedidos) opera como servicio independiente comunicado vía REST API, exactamente como en la arquitectura React + BFF Node + Supabase PostgreSQL + ai-service FastAPI del sistema. Latencia, escalabilidad y tasa de fallos en CI/CD corresponden </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Arquitectura de</w:t>
              <w:br/>
              <w:t>Microservicios</w:t>
            </w:r>
          </w:p>
        </w:tc>
        <w:tc>
          <w:tcPr>
            <w:tcW w:type="dxa" w:w="1267"/>
            <w:vMerge w:val="restart"/>
            <w:vAlign w:val="center"/>
            <w:shd w:fill="F4F9FD" w:val="clear" w:color="auto"/>
          </w:tcPr>
          <w:p>
            <w:pPr>
              <w:jc w:val="left"/>
            </w:pPr>
            <w:r/>
            <w:r>
              <w:rPr>
                <w:rFonts w:ascii="Arial" w:hAnsi="Arial" w:eastAsia="Arial"/>
                <w:b w:val="0"/>
                <w:i w:val="0"/>
                <w:sz w:val="11"/>
              </w:rPr>
              <w:t>Arquitectura de Microservicios: constructo independiente conceptualizado por Jamshidi, P. et al. (2018).</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de literatura (IEEE/ACM); Análisis de 14 casos de sistemas en producción; Docker / Kubernetes; API Gateway (Kong, NGINX, AWS API GW)</w:t>
            </w:r>
          </w:p>
        </w:tc>
        <w:tc>
          <w:tcPr>
            <w:tcW w:type="dxa" w:w="1181"/>
            <w:vMerge w:val="restart"/>
            <w:vAlign w:val="center"/>
            <w:shd w:fill="D6E4F0" w:val="clear" w:color="auto"/>
          </w:tcPr>
          <w:p>
            <w:pPr>
              <w:jc w:val="center"/>
            </w:pPr>
            <w:r/>
            <w:r>
              <w:rPr>
                <w:rFonts w:ascii="Arial" w:hAnsi="Arial" w:eastAsia="Arial"/>
                <w:b/>
                <w:i w:val="0"/>
                <w:sz w:val="11"/>
              </w:rPr>
              <w:t>Principios de diseño de microservicios</w:t>
            </w:r>
          </w:p>
        </w:tc>
        <w:tc>
          <w:tcPr>
            <w:tcW w:type="dxa" w:w="1944"/>
            <w:vAlign w:val="center"/>
            <w:shd w:fill="FFFFFF" w:val="clear" w:color="auto"/>
          </w:tcPr>
          <w:p>
            <w:pPr>
              <w:jc w:val="left"/>
            </w:pPr>
            <w:r/>
            <w:r>
              <w:rPr>
                <w:rFonts w:ascii="Arial" w:hAnsi="Arial" w:eastAsia="Arial"/>
                <w:b w:val="0"/>
                <w:i w:val="0"/>
                <w:sz w:val="11"/>
              </w:rPr>
              <w:t>Granularidad del servicio (n.° de responsabilidades)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 ↳ Sistema: React + BFF Node + ai-service FastAPI +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Independencia de despliegue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 ↳ Sistema: React + BFF Node + ai-service FastAPI +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Protocolo de comunicación inter-servicio (REST, gRPC)</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 ↳ Sistema: React + BFF Node + ai-service FastAPI + Supabase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Retos de implementación</w:t>
            </w:r>
          </w:p>
        </w:tc>
        <w:tc>
          <w:tcPr>
            <w:tcW w:type="dxa" w:w="1944"/>
            <w:vAlign w:val="center"/>
            <w:shd w:fill="FFFFFF" w:val="clear" w:color="auto"/>
          </w:tcPr>
          <w:p>
            <w:pPr>
              <w:jc w:val="left"/>
            </w:pPr>
            <w:r/>
            <w:r>
              <w:rPr>
                <w:rFonts w:ascii="Arial" w:hAnsi="Arial" w:eastAsia="Arial"/>
                <w:b w:val="0"/>
                <w:i w:val="0"/>
                <w:sz w:val="11"/>
              </w:rPr>
              <w:t>Latencia de comunicación inter-servicio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 ↳ Sistema: React + BFF Node + ai-service FastAPI +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Complejidad de orquestación (n.° de servicios)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 ↳ Sistema: React + BFF Node + ai-service FastAPI +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Consistencia eventual de datos (CAP theorem)</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 ↳ Sistema: React + BFF Node + ai-service FastAPI + Supabase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del Sistema</w:t>
              <w:br/>
              <w:t>Distribuido</w:t>
            </w:r>
          </w:p>
        </w:tc>
        <w:tc>
          <w:tcPr>
            <w:tcW w:type="dxa" w:w="1267"/>
            <w:vMerge w:val="restart"/>
            <w:vAlign w:val="center"/>
            <w:shd w:fill="FFF9EE" w:val="clear" w:color="auto"/>
          </w:tcPr>
          <w:p>
            <w:pPr>
              <w:jc w:val="left"/>
            </w:pPr>
            <w:r/>
            <w:r>
              <w:rPr>
                <w:rFonts w:ascii="Arial" w:hAnsi="Arial" w:eastAsia="Arial"/>
                <w:b w:val="0"/>
                <w:i w:val="0"/>
                <w:sz w:val="11"/>
              </w:rPr>
              <w:t>Desempeño del Sistema Distribuido: constructo dependiente/outcome del estudio Jamshidi, P. et al. (2018).</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de literatura (IEEE/ACM); Análisis de 14 casos de sistemas en producción; Docker / Kubernetes; API Gateway (Kong, NGINX, AWS API GW)</w:t>
            </w:r>
          </w:p>
        </w:tc>
        <w:tc>
          <w:tcPr>
            <w:tcW w:type="dxa" w:w="1181"/>
            <w:vMerge w:val="restart"/>
            <w:vAlign w:val="center"/>
            <w:shd w:fill="FFF5CC" w:val="clear" w:color="auto"/>
          </w:tcPr>
          <w:p>
            <w:pPr>
              <w:jc w:val="center"/>
            </w:pPr>
            <w:r/>
            <w:r>
              <w:rPr>
                <w:rFonts w:ascii="Arial" w:hAnsi="Arial" w:eastAsia="Arial"/>
                <w:b/>
                <w:i w:val="0"/>
                <w:sz w:val="11"/>
              </w:rPr>
              <w:t>Escalabilidad del sistema</w:t>
            </w:r>
          </w:p>
        </w:tc>
        <w:tc>
          <w:tcPr>
            <w:tcW w:type="dxa" w:w="1944"/>
            <w:vAlign w:val="center"/>
            <w:shd w:fill="FFFFFF" w:val="clear" w:color="auto"/>
          </w:tcPr>
          <w:p>
            <w:pPr>
              <w:jc w:val="left"/>
            </w:pPr>
            <w:r/>
            <w:r>
              <w:rPr>
                <w:rFonts w:ascii="Arial" w:hAnsi="Arial" w:eastAsia="Arial"/>
                <w:b w:val="0"/>
                <w:i w:val="0"/>
                <w:sz w:val="11"/>
              </w:rPr>
              <w:t>Tiempo de escalado horizontal (segundos)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Recursos adicionales por instancia (CPU %, RAM GB)</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instancias simultáneas soportadas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Mantenibilidad del sistema</w:t>
            </w:r>
          </w:p>
        </w:tc>
        <w:tc>
          <w:tcPr>
            <w:tcW w:type="dxa" w:w="1944"/>
            <w:vAlign w:val="center"/>
            <w:shd w:fill="FFFFFF" w:val="clear" w:color="auto"/>
          </w:tcPr>
          <w:p>
            <w:pPr>
              <w:jc w:val="left"/>
            </w:pPr>
            <w:r/>
            <w:r>
              <w:rPr>
                <w:rFonts w:ascii="Arial" w:hAnsi="Arial" w:eastAsia="Arial"/>
                <w:b w:val="0"/>
                <w:i w:val="0"/>
                <w:sz w:val="11"/>
              </w:rPr>
              <w:t>Tiempo de despliegue de actualización (minutos)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Cobertura de pruebas automatizadas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fallos en pipeline de CI/CD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(IEEE/ACM); Análisis de 14 casos de sistemas en producción; Docker / Kubernetes</w:t>
            </w:r>
          </w:p>
        </w:tc>
        <w:tc>
          <w:tcPr>
            <w:tcW w:type="dxa" w:w="1181"/>
            <w:vAlign w:val="center"/>
            <w:shd w:fill="FFFFFF" w:val="clear" w:color="auto"/>
          </w:tcPr>
          <w:p>
            <w:pPr>
              <w:jc w:val="left"/>
            </w:pPr>
            <w:r/>
            <w:r>
              <w:rPr>
                <w:rFonts w:ascii="Arial" w:hAnsi="Arial" w:eastAsia="Arial"/>
                <w:b w:val="0"/>
                <w:i w:val="0"/>
                <w:sz w:val="11"/>
              </w:rPr>
              <w:t>API Gateway (Kong, NGINX, AWS API GW)</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TÉCNICO. Fundamenta la arquitectura de microservicios del sistema propuesto: cada módulo (e-commerce, IA-IRE, pagos Stripe, pedidos) opera como servicio independiente comunicado vía REST API, exactamente como en la arquitectura React + BFF Node + Supabase PostgreSQL + ai-service FastAPI del sistema. Latencia, escalabilidad y tasa de fallos en CI/CD corresponden a indicadores de la dimensión Interoperabilidad de ISO/IEC 25000 (Variable Independiente — Arquitectura del sistema).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Arquitectura microservicios: frontend React, BFF Node (Render), ai-service FastAPI (Render), Supabase, Firebase Auth, Stripe Functions.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https://doi.org/10.1109/ms.2018.2141039</w:t>
      </w:r>
    </w:p>
    <w:p>
      <w:pPr>
        <w:spacing w:before="160" w:after="20"/>
      </w:pPr>
      <w:r>
        <w:rPr>
          <w:rFonts w:ascii="Arial" w:hAnsi="Arial" w:eastAsia="Arial"/>
          <w:b/>
          <w:i w:val="0"/>
          <w:sz w:val="18"/>
        </w:rPr>
        <w:t xml:space="preserve">Artículo [29] — </w:t>
      </w:r>
      <w:r>
        <w:rPr>
          <w:rFonts w:ascii="Arial" w:hAnsi="Arial" w:eastAsia="Arial"/>
          <w:b/>
          <w:i/>
          <w:sz w:val="18"/>
        </w:rPr>
        <w:t>Large-scale machine learning systems in real-world industrial settings</w:t>
      </w:r>
    </w:p>
    <w:p>
      <w:pPr>
        <w:spacing w:before="0" w:after="40"/>
      </w:pPr>
      <w:r>
        <w:rPr>
          <w:rFonts w:ascii="Arial" w:hAnsi="Arial" w:eastAsia="Arial"/>
          <w:b w:val="0"/>
          <w:i/>
          <w:sz w:val="16"/>
        </w:rPr>
        <w:t>Lwakatare, L.E. et al. (2020) — Information and Software Technology · Q1 · DOI: 10.1016/j.infsof.2020.106368</w:t>
      </w:r>
    </w:p>
    <w:p>
      <w:pPr>
        <w:spacing w:before="0" w:after="60"/>
      </w:pPr>
      <w:r>
        <w:rPr>
          <w:rFonts w:ascii="Arial" w:hAnsi="Arial" w:eastAsia="Arial"/>
          <w:b/>
          <w:i w:val="0"/>
          <w:color w:val="C00000"/>
          <w:sz w:val="16"/>
        </w:rPr>
        <w:t>NOTA METODOLÓGICA: CORREGIDO: Autor Lwakatare (no Swakatare). Artículo de revista IST Q1 (2020), no actas ICSE Workshop. Citar como referencia técnica MLOps.</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Sistemas de ML a Gran Escala en Producción Industrial y Calidad del Sistema ML en Producción en el contexto del estudio original.</w:t>
            </w:r>
          </w:p>
        </w:tc>
        <w:tc>
          <w:tcPr>
            <w:tcW w:type="dxa" w:w="1512"/>
            <w:vAlign w:val="center"/>
            <w:shd w:fill="F8F9FA" w:val="clear" w:color="auto"/>
          </w:tcPr>
          <w:p>
            <w:pPr>
              <w:jc w:val="left"/>
            </w:pPr>
            <w:r/>
            <w:r>
              <w:rPr>
                <w:rFonts w:ascii="Arial" w:hAnsi="Arial" w:eastAsia="Arial"/>
                <w:b w:val="0"/>
                <w:i w:val="0"/>
                <w:sz w:val="12"/>
              </w:rPr>
              <w:t>Mixto: entrevista + análisis documental</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CORREGIDO: Autor Lwakatare (no Swakatare). Artículo de revista IST Q1 (2020), no actas ICSE Workshop. Citar como referencia técnica MLOps.</w:t>
            </w:r>
          </w:p>
        </w:tc>
        <w:tc>
          <w:tcPr>
            <w:tcW w:type="dxa" w:w="1944"/>
            <w:vAlign w:val="center"/>
            <w:shd w:fill="F8F9FA" w:val="clear" w:color="auto"/>
          </w:tcPr>
          <w:p>
            <w:pPr>
              <w:jc w:val="left"/>
            </w:pPr>
            <w:r/>
            <w:r>
              <w:rPr>
                <w:rFonts w:ascii="Arial" w:hAnsi="Arial" w:eastAsia="Arial"/>
                <w:b w:val="0"/>
                <w:i w:val="0"/>
                <w:sz w:val="12"/>
              </w:rPr>
              <w:t>CORREGIDO: No es Q1. Literatura técnica de referencia sobre MLOps en producción industrial. Los indicadores de data drift, uptime y MTTR son conceptos aplicables al despliegue del servicio de predicción del IRE en ai-service FastAPI desplegado en Render (Docker). Se cita como referencia técnica de respaldo sobre los desafíos de ML en producción, sin declarar cuartil. NO present</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Sistemas de ML a Gran</w:t>
              <w:br/>
              <w:t>Escala en Producción</w:t>
              <w:br/>
              <w:t>Industrial</w:t>
            </w:r>
          </w:p>
        </w:tc>
        <w:tc>
          <w:tcPr>
            <w:tcW w:type="dxa" w:w="1267"/>
            <w:vMerge w:val="restart"/>
            <w:vAlign w:val="center"/>
            <w:shd w:fill="F4F9FD" w:val="clear" w:color="auto"/>
          </w:tcPr>
          <w:p>
            <w:pPr>
              <w:jc w:val="left"/>
            </w:pPr>
            <w:r/>
            <w:r>
              <w:rPr>
                <w:rFonts w:ascii="Arial" w:hAnsi="Arial" w:eastAsia="Arial"/>
                <w:b w:val="0"/>
                <w:i w:val="0"/>
                <w:sz w:val="11"/>
              </w:rPr>
              <w:t>Sistemas de ML a Gran Escala en Producción Industrial: constructo independiente conceptualizado por Lwakatare, L.E. et al. (2020).</w:t>
            </w:r>
          </w:p>
        </w:tc>
        <w:tc>
          <w:tcPr>
            <w:tcW w:type="dxa" w:w="1267"/>
            <w:vMerge w:val="restart"/>
            <w:vAlign w:val="center"/>
            <w:shd w:fill="F4F9FD" w:val="clear" w:color="auto"/>
          </w:tcPr>
          <w:p>
            <w:pPr>
              <w:jc w:val="left"/>
            </w:pPr>
            <w:r/>
            <w:r>
              <w:rPr>
                <w:rFonts w:ascii="Arial" w:hAnsi="Arial" w:eastAsia="Arial"/>
                <w:b w:val="0"/>
                <w:i w:val="0"/>
                <w:sz w:val="11"/>
              </w:rPr>
              <w:t>Medición operativa: MLOps (MLflow, Kubeflow); Monitoreo de datos (Evidently AI, WhyLabs); Docker / Kubernetes; Entrevistas a ingenieros de ML en producción (n=8)</w:t>
            </w:r>
          </w:p>
        </w:tc>
        <w:tc>
          <w:tcPr>
            <w:tcW w:type="dxa" w:w="1181"/>
            <w:vMerge w:val="restart"/>
            <w:vAlign w:val="center"/>
            <w:shd w:fill="D6E4F0" w:val="clear" w:color="auto"/>
          </w:tcPr>
          <w:p>
            <w:pPr>
              <w:jc w:val="center"/>
            </w:pPr>
            <w:r/>
            <w:r>
              <w:rPr>
                <w:rFonts w:ascii="Arial" w:hAnsi="Arial" w:eastAsia="Arial"/>
                <w:b/>
                <w:i w:val="0"/>
                <w:sz w:val="11"/>
              </w:rPr>
              <w:t>Escalabilidad del pipeline ML</w:t>
            </w:r>
          </w:p>
        </w:tc>
        <w:tc>
          <w:tcPr>
            <w:tcW w:type="dxa" w:w="1944"/>
            <w:vAlign w:val="center"/>
            <w:shd w:fill="FFFFFF" w:val="clear" w:color="auto"/>
          </w:tcPr>
          <w:p>
            <w:pPr>
              <w:jc w:val="left"/>
            </w:pPr>
            <w:r/>
            <w:r>
              <w:rPr>
                <w:rFonts w:ascii="Arial" w:hAnsi="Arial" w:eastAsia="Arial"/>
                <w:b w:val="0"/>
                <w:i w:val="0"/>
                <w:sz w:val="11"/>
              </w:rPr>
              <w:t>Volumen de datos procesados (GB/hora)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 ↳ Sistema: ai-service Docker/Render + caché + modelo_estado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reentrenamiento del modelo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 ↳ Sistema: ai-service Docker/Render + caché + modelo_estado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modelos ML en producción simultánea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 ↳ Sistema: ai-service Docker/Render + caché + modelo_estado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Confiabilidad del sistema ML</w:t>
            </w:r>
          </w:p>
        </w:tc>
        <w:tc>
          <w:tcPr>
            <w:tcW w:type="dxa" w:w="1944"/>
            <w:vAlign w:val="center"/>
            <w:shd w:fill="FFFFFF" w:val="clear" w:color="auto"/>
          </w:tcPr>
          <w:p>
            <w:pPr>
              <w:jc w:val="left"/>
            </w:pPr>
            <w:r/>
            <w:r>
              <w:rPr>
                <w:rFonts w:ascii="Arial" w:hAnsi="Arial" w:eastAsia="Arial"/>
                <w:b w:val="0"/>
                <w:i w:val="0"/>
                <w:sz w:val="11"/>
              </w:rPr>
              <w:t>Uptime del sistema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 ↳ Sistema: ai-service Docker/Render + caché + modelo_estado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fallos de predicción en producción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 ↳ Sistema: ai-service Docker/Render + caché + modelo_estado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MTTR — Tiempo medio de recuperación ante fallo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 ↳ Sistema: ai-service Docker/Render + caché + modelo_estado</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Calidad del Sistema ML</w:t>
              <w:br/>
              <w:t>en Producción</w:t>
            </w:r>
          </w:p>
        </w:tc>
        <w:tc>
          <w:tcPr>
            <w:tcW w:type="dxa" w:w="1267"/>
            <w:vMerge w:val="restart"/>
            <w:vAlign w:val="center"/>
            <w:shd w:fill="FFF9EE" w:val="clear" w:color="auto"/>
          </w:tcPr>
          <w:p>
            <w:pPr>
              <w:jc w:val="left"/>
            </w:pPr>
            <w:r/>
            <w:r>
              <w:rPr>
                <w:rFonts w:ascii="Arial" w:hAnsi="Arial" w:eastAsia="Arial"/>
                <w:b w:val="0"/>
                <w:i w:val="0"/>
                <w:sz w:val="11"/>
              </w:rPr>
              <w:t>Calidad del Sistema ML en Producción: constructo dependiente/outcome del estudio Lwakatare, L.E. et al. (2020).</w:t>
            </w:r>
          </w:p>
        </w:tc>
        <w:tc>
          <w:tcPr>
            <w:tcW w:type="dxa" w:w="1267"/>
            <w:vMerge w:val="restart"/>
            <w:vAlign w:val="center"/>
            <w:shd w:fill="FFF9EE" w:val="clear" w:color="auto"/>
          </w:tcPr>
          <w:p>
            <w:pPr>
              <w:jc w:val="left"/>
            </w:pPr>
            <w:r/>
            <w:r>
              <w:rPr>
                <w:rFonts w:ascii="Arial" w:hAnsi="Arial" w:eastAsia="Arial"/>
                <w:b w:val="0"/>
                <w:i w:val="0"/>
                <w:sz w:val="11"/>
              </w:rPr>
              <w:t>Medición operativa: MLOps (MLflow, Kubeflow); Monitoreo de datos (Evidently AI, WhyLabs); Docker / Kubernetes; Entrevistas a ingenieros de ML en producción (n=8)</w:t>
            </w:r>
          </w:p>
        </w:tc>
        <w:tc>
          <w:tcPr>
            <w:tcW w:type="dxa" w:w="1181"/>
            <w:vMerge w:val="restart"/>
            <w:vAlign w:val="center"/>
            <w:shd w:fill="FFF5CC" w:val="clear" w:color="auto"/>
          </w:tcPr>
          <w:p>
            <w:pPr>
              <w:jc w:val="center"/>
            </w:pPr>
            <w:r/>
            <w:r>
              <w:rPr>
                <w:rFonts w:ascii="Arial" w:hAnsi="Arial" w:eastAsia="Arial"/>
                <w:b/>
                <w:i w:val="0"/>
                <w:sz w:val="11"/>
              </w:rPr>
              <w:t>Precisión en producción</w:t>
            </w:r>
          </w:p>
        </w:tc>
        <w:tc>
          <w:tcPr>
            <w:tcW w:type="dxa" w:w="1944"/>
            <w:vAlign w:val="center"/>
            <w:shd w:fill="FFFFFF" w:val="clear" w:color="auto"/>
          </w:tcPr>
          <w:p>
            <w:pPr>
              <w:jc w:val="left"/>
            </w:pPr>
            <w:r/>
            <w:r>
              <w:rPr>
                <w:rFonts w:ascii="Arial" w:hAnsi="Arial" w:eastAsia="Arial"/>
                <w:b w:val="0"/>
                <w:i w:val="0"/>
                <w:sz w:val="11"/>
              </w:rPr>
              <w:t>Delta de accuracy (drift del modelo)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Degradación de F1-score por período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Frecuencia de reentrenamiento necesario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Eficiencia operativa del sistema</w:t>
            </w:r>
          </w:p>
        </w:tc>
        <w:tc>
          <w:tcPr>
            <w:tcW w:type="dxa" w:w="1944"/>
            <w:vAlign w:val="center"/>
            <w:shd w:fill="FFFFFF" w:val="clear" w:color="auto"/>
          </w:tcPr>
          <w:p>
            <w:pPr>
              <w:jc w:val="left"/>
            </w:pPr>
            <w:r/>
            <w:r>
              <w:rPr>
                <w:rFonts w:ascii="Arial" w:hAnsi="Arial" w:eastAsia="Arial"/>
                <w:b w:val="0"/>
                <w:i w:val="0"/>
                <w:sz w:val="11"/>
              </w:rPr>
              <w:t>Costo de inferencia (S/. por 1000 predicciones)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Latencia de predicción p95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Utilización de recursos (CPU %, RAM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MLOps (MLflow, Kubeflow); Monitoreo de datos (Evidently AI, WhyLabs); Docker / Kubernetes</w:t>
            </w:r>
          </w:p>
        </w:tc>
        <w:tc>
          <w:tcPr>
            <w:tcW w:type="dxa" w:w="1181"/>
            <w:vAlign w:val="center"/>
            <w:shd w:fill="FFFFFF" w:val="clear" w:color="auto"/>
          </w:tcPr>
          <w:p>
            <w:pPr>
              <w:jc w:val="left"/>
            </w:pPr>
            <w:r/>
            <w:r>
              <w:rPr>
                <w:rFonts w:ascii="Arial" w:hAnsi="Arial" w:eastAsia="Arial"/>
                <w:b w:val="0"/>
                <w:i w:val="0"/>
                <w:sz w:val="11"/>
              </w:rPr>
              <w:t>Entrevistas a ingenieros de ML en producción (n=8)</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CORREGIDO: No es Q1. Literatura técnica de referencia sobre MLOps en producción industrial. Los indicadores de data drift, uptime y MTTR son conceptos aplicables al despliegue del servicio de predicción del IRE en ai-service FastAPI desplegado en Render (Docker). Se cita como referencia técnica de respaldo sobre los desafíos de ML en producción, sin declarar cuartil. NO presentar como fuente Q1 al jurado.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ai-service desplegado en Docker/Render con caché TTL, persistencia modelo_estado y reentrenamiento bajo demanda; referencia técnica MLOps.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https://doi.org/10.1016/j.infsof.2020.106368</w:t>
      </w:r>
    </w:p>
    <w:p>
      <w:pPr>
        <w:spacing w:before="160" w:after="20"/>
      </w:pPr>
      <w:r>
        <w:rPr>
          <w:rFonts w:ascii="Arial" w:hAnsi="Arial" w:eastAsia="Arial"/>
          <w:b/>
          <w:i w:val="0"/>
          <w:sz w:val="18"/>
        </w:rPr>
        <w:t xml:space="preserve">Artículo [30] — </w:t>
      </w:r>
      <w:r>
        <w:rPr>
          <w:rFonts w:ascii="Arial" w:hAnsi="Arial" w:eastAsia="Arial"/>
          <w:b/>
          <w:i/>
          <w:sz w:val="18"/>
        </w:rPr>
        <w:t>Predicting risk through artificial intelligence based on machine learning algorithms</w:t>
      </w:r>
    </w:p>
    <w:p>
      <w:pPr>
        <w:spacing w:before="0" w:after="40"/>
      </w:pPr>
      <w:r>
        <w:rPr>
          <w:rFonts w:ascii="Arial" w:hAnsi="Arial" w:eastAsia="Arial"/>
          <w:b w:val="0"/>
          <w:i/>
          <w:sz w:val="16"/>
        </w:rPr>
        <w:t>Khalid, U. et al. (2022) — Complexity (Wiley/Hindawi) · verificar cuartil · DOI: 10.1155/2022/6858916</w:t>
      </w:r>
    </w:p>
    <w:p>
      <w:pPr>
        <w:spacing w:before="0" w:after="60"/>
      </w:pPr>
      <w:r>
        <w:rPr>
          <w:rFonts w:ascii="Arial" w:hAnsi="Arial" w:eastAsia="Arial"/>
          <w:b/>
          <w:i w:val="0"/>
          <w:color w:val="C00000"/>
          <w:sz w:val="16"/>
        </w:rPr>
        <w:t>NOTA METODOLÓGICA: JIF 1.89 es bajo para Q1. En Scimago aparece como Q2 en varias categorías. Verificar en scimago.org antes de defender como Q1 ante el jurado. Si es Q2, citar sin declarar cuartil explícito. El tema encaja directamente con predicción de riesgo empresarial con ML en PYMEs.</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Algoritmos de ML para Predicción de Riesgo Empresarial y Índice de Riesgo Empresarial Predicho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PYMEs / contexto latinoamericano</w:t>
            </w:r>
          </w:p>
        </w:tc>
        <w:tc>
          <w:tcPr>
            <w:tcW w:type="dxa" w:w="1512"/>
            <w:vAlign w:val="center"/>
            <w:shd w:fill="F8F9FA" w:val="clear" w:color="auto"/>
          </w:tcPr>
          <w:p>
            <w:pPr>
              <w:jc w:val="left"/>
            </w:pPr>
            <w:r/>
            <w:r>
              <w:rPr>
                <w:rFonts w:ascii="Arial" w:hAnsi="Arial" w:eastAsia="Arial"/>
                <w:b w:val="0"/>
                <w:i w:val="0"/>
                <w:sz w:val="12"/>
              </w:rPr>
              <w:t>Desempeño ML: MAE, RMSE, R², accuracy (según estudio)</w:t>
            </w:r>
          </w:p>
        </w:tc>
        <w:tc>
          <w:tcPr>
            <w:tcW w:type="dxa" w:w="1512"/>
            <w:vAlign w:val="center"/>
            <w:shd w:fill="F8F9FA" w:val="clear" w:color="auto"/>
          </w:tcPr>
          <w:p>
            <w:pPr>
              <w:jc w:val="left"/>
            </w:pPr>
            <w:r/>
            <w:r>
              <w:rPr>
                <w:rFonts w:ascii="Arial" w:hAnsi="Arial" w:eastAsia="Arial"/>
                <w:b w:val="0"/>
                <w:i w:val="0"/>
                <w:sz w:val="12"/>
              </w:rPr>
              <w:t>JIF 1.89 es bajo para Q1. En Scimago aparece como Q2 en varias categorías. Verificar en scimago.org antes de defender como Q1 ante el jurado. Si es Q2, citar sin declarar cuartil explícito. El tema encaja directamente co</w:t>
            </w:r>
          </w:p>
        </w:tc>
        <w:tc>
          <w:tcPr>
            <w:tcW w:type="dxa" w:w="1944"/>
            <w:vAlign w:val="center"/>
            <w:shd w:fill="F8F9FA" w:val="clear" w:color="auto"/>
          </w:tcPr>
          <w:p>
            <w:pPr>
              <w:jc w:val="left"/>
            </w:pPr>
            <w:r/>
            <w:r>
              <w:rPr>
                <w:rFonts w:ascii="Arial" w:hAnsi="Arial" w:eastAsia="Arial"/>
                <w:b w:val="0"/>
                <w:i w:val="0"/>
                <w:sz w:val="12"/>
              </w:rPr>
              <w:t>ARTÍCULO DE MAYOR RELEVANCIA TEMÁTICA DIRECTA. Es el antecedente más próximo al IRE: usa ML para predicción de riesgo empresarial (no quiebra) en PYMEs con datos de Latinoamérica. Random Forest y XGBoost evaluados son los mismos algoritmos candidatos del sistema propuesto. VERIFICAR cuartil en scimago.org antes de defender como Q1; si es Q2, citar sin declarar cuartil (Variable</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Algoritmos de ML para</w:t>
              <w:br/>
              <w:t>Predicción de Riesgo</w:t>
              <w:br/>
              <w:t>Empresarial</w:t>
            </w:r>
          </w:p>
        </w:tc>
        <w:tc>
          <w:tcPr>
            <w:tcW w:type="dxa" w:w="1267"/>
            <w:vMerge w:val="restart"/>
            <w:vAlign w:val="center"/>
            <w:shd w:fill="F4F9FD" w:val="clear" w:color="auto"/>
          </w:tcPr>
          <w:p>
            <w:pPr>
              <w:jc w:val="left"/>
            </w:pPr>
            <w:r/>
            <w:r>
              <w:rPr>
                <w:rFonts w:ascii="Arial" w:hAnsi="Arial" w:eastAsia="Arial"/>
                <w:b w:val="0"/>
                <w:i w:val="0"/>
                <w:sz w:val="11"/>
              </w:rPr>
              <w:t>Algoritmos de ML para Predicción de Riesgo Empresarial: constructo independiente conceptualizado por Khalid, U. et al. (2022).</w:t>
            </w:r>
          </w:p>
        </w:tc>
        <w:tc>
          <w:tcPr>
            <w:tcW w:type="dxa" w:w="1267"/>
            <w:vMerge w:val="restart"/>
            <w:vAlign w:val="center"/>
            <w:shd w:fill="F4F9FD" w:val="clear" w:color="auto"/>
          </w:tcPr>
          <w:p>
            <w:pPr>
              <w:jc w:val="left"/>
            </w:pPr>
            <w:r/>
            <w:r>
              <w:rPr>
                <w:rFonts w:ascii="Arial" w:hAnsi="Arial" w:eastAsia="Arial"/>
                <w:b w:val="0"/>
                <w:i w:val="0"/>
                <w:sz w:val="11"/>
              </w:rPr>
              <w:t>Medición operativa: Python (scikit-learn, XGBoost); Validación cruzada k-fold (k=10); SHAP para interpretabilidad de predicciones; Dataset de PYMEs regionales (Perú/Latinoamérica)</w:t>
            </w:r>
          </w:p>
        </w:tc>
        <w:tc>
          <w:tcPr>
            <w:tcW w:type="dxa" w:w="1181"/>
            <w:vMerge w:val="restart"/>
            <w:vAlign w:val="center"/>
            <w:shd w:fill="D6E4F0" w:val="clear" w:color="auto"/>
          </w:tcPr>
          <w:p>
            <w:pPr>
              <w:jc w:val="center"/>
            </w:pPr>
            <w:r/>
            <w:r>
              <w:rPr>
                <w:rFonts w:ascii="Arial" w:hAnsi="Arial" w:eastAsia="Arial"/>
                <w:b/>
                <w:i w:val="0"/>
                <w:sz w:val="11"/>
              </w:rPr>
              <w:t>Variables de entrada al modelo</w:t>
            </w:r>
          </w:p>
        </w:tc>
        <w:tc>
          <w:tcPr>
            <w:tcW w:type="dxa" w:w="1944"/>
            <w:vAlign w:val="center"/>
            <w:shd w:fill="FFFFFF" w:val="clear" w:color="auto"/>
          </w:tcPr>
          <w:p>
            <w:pPr>
              <w:jc w:val="left"/>
            </w:pPr>
            <w:r/>
            <w:r>
              <w:rPr>
                <w:rFonts w:ascii="Arial" w:hAnsi="Arial" w:eastAsia="Arial"/>
                <w:b w:val="0"/>
                <w:i w:val="0"/>
                <w:sz w:val="11"/>
              </w:rPr>
              <w:t>Indicadores financieros históricos (n.°)</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 ↳ Sistema: IRE + RF sobre datos PYME; ire_historial en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Datos históricos de ventas (períodos mínimos)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 ↳ Sistema: IRE + RF sobre datos PYME; ire_historial en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Variables macroeconómicas relevantes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 ↳ Sistema: IRE + RF sobre datos PYME; ire_historial en Supabase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Algoritmos de ML evaluados y comparados</w:t>
            </w:r>
          </w:p>
        </w:tc>
        <w:tc>
          <w:tcPr>
            <w:tcW w:type="dxa" w:w="1944"/>
            <w:vAlign w:val="center"/>
            <w:shd w:fill="FFFFFF" w:val="clear" w:color="auto"/>
          </w:tcPr>
          <w:p>
            <w:pPr>
              <w:jc w:val="left"/>
            </w:pPr>
            <w:r/>
            <w:r>
              <w:rPr>
                <w:rFonts w:ascii="Arial" w:hAnsi="Arial" w:eastAsia="Arial"/>
                <w:b w:val="0"/>
                <w:i w:val="0"/>
                <w:sz w:val="11"/>
              </w:rPr>
              <w:t>Random Forest Classifier / Regressor</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 ↳ Sistema: IRE + RF sobre datos PYME; ire_historial en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Gradient Boosting (XGBoost, LightGBM)</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 ↳ Sistema: IRE + RF sobre datos PYME; ire_historial en Supabase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K-Nearest Neighbors (KNN) y Naive Bayes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 ↳ Sistema: IRE + RF sobre datos PYME; ire_historial en Supabase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Índice de Riesgo</w:t>
              <w:br/>
              <w:t>Empresarial Predicho</w:t>
            </w:r>
          </w:p>
        </w:tc>
        <w:tc>
          <w:tcPr>
            <w:tcW w:type="dxa" w:w="1267"/>
            <w:vMerge w:val="restart"/>
            <w:vAlign w:val="center"/>
            <w:shd w:fill="FFF9EE" w:val="clear" w:color="auto"/>
          </w:tcPr>
          <w:p>
            <w:pPr>
              <w:jc w:val="left"/>
            </w:pPr>
            <w:r/>
            <w:r>
              <w:rPr>
                <w:rFonts w:ascii="Arial" w:hAnsi="Arial" w:eastAsia="Arial"/>
                <w:b w:val="0"/>
                <w:i w:val="0"/>
                <w:sz w:val="11"/>
              </w:rPr>
              <w:t>Índice de Riesgo Empresarial Predicho: constructo dependiente/outcome del estudio Khalid, U. et al. (2022).</w:t>
            </w:r>
          </w:p>
        </w:tc>
        <w:tc>
          <w:tcPr>
            <w:tcW w:type="dxa" w:w="1267"/>
            <w:vMerge w:val="restart"/>
            <w:vAlign w:val="center"/>
            <w:shd w:fill="FFF9EE" w:val="clear" w:color="auto"/>
          </w:tcPr>
          <w:p>
            <w:pPr>
              <w:jc w:val="left"/>
            </w:pPr>
            <w:r/>
            <w:r>
              <w:rPr>
                <w:rFonts w:ascii="Arial" w:hAnsi="Arial" w:eastAsia="Arial"/>
                <w:b w:val="0"/>
                <w:i w:val="0"/>
                <w:sz w:val="11"/>
              </w:rPr>
              <w:t>Medición operativa: Python (scikit-learn, XGBoost); Validación cruzada k-fold (k=10); SHAP para interpretabilidad de predicciones; Dataset de PYMEs regionales (Perú/Latinoamérica)</w:t>
            </w:r>
          </w:p>
        </w:tc>
        <w:tc>
          <w:tcPr>
            <w:tcW w:type="dxa" w:w="1181"/>
            <w:vMerge w:val="restart"/>
            <w:vAlign w:val="center"/>
            <w:shd w:fill="FFF5CC" w:val="clear" w:color="auto"/>
          </w:tcPr>
          <w:p>
            <w:pPr>
              <w:jc w:val="center"/>
            </w:pPr>
            <w:r/>
            <w:r>
              <w:rPr>
                <w:rFonts w:ascii="Arial" w:hAnsi="Arial" w:eastAsia="Arial"/>
                <w:b/>
                <w:i w:val="0"/>
                <w:sz w:val="11"/>
              </w:rPr>
              <w:t>Exactitud de la predicción de riesgo</w:t>
            </w:r>
          </w:p>
        </w:tc>
        <w:tc>
          <w:tcPr>
            <w:tcW w:type="dxa" w:w="1944"/>
            <w:vAlign w:val="center"/>
            <w:shd w:fill="FFFFFF" w:val="clear" w:color="auto"/>
          </w:tcPr>
          <w:p>
            <w:pPr>
              <w:jc w:val="left"/>
            </w:pPr>
            <w:r/>
            <w:r>
              <w:rPr>
                <w:rFonts w:ascii="Arial" w:hAnsi="Arial" w:eastAsia="Arial"/>
                <w:b w:val="0"/>
                <w:i w:val="0"/>
                <w:sz w:val="11"/>
              </w:rPr>
              <w:t>Accuracy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AUC-ROC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MAE — Error Absoluto Medio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Comparativa entre algoritmos</w:t>
            </w:r>
          </w:p>
        </w:tc>
        <w:tc>
          <w:tcPr>
            <w:tcW w:type="dxa" w:w="1944"/>
            <w:vAlign w:val="center"/>
            <w:shd w:fill="FFFFFF" w:val="clear" w:color="auto"/>
          </w:tcPr>
          <w:p>
            <w:pPr>
              <w:jc w:val="left"/>
            </w:pPr>
            <w:r/>
            <w:r>
              <w:rPr>
                <w:rFonts w:ascii="Arial" w:hAnsi="Arial" w:eastAsia="Arial"/>
                <w:b w:val="0"/>
                <w:i w:val="0"/>
                <w:sz w:val="11"/>
              </w:rPr>
              <w:t>Mejor algoritmo por métrica de evaluación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entrenamiento (segundos)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Robustez ante datos faltantes o ruidosos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XGBoost); Validación cruzada k-fold (k=10); SHAP para interpretabilidad de predicciones</w:t>
            </w:r>
          </w:p>
        </w:tc>
        <w:tc>
          <w:tcPr>
            <w:tcW w:type="dxa" w:w="1181"/>
            <w:vAlign w:val="center"/>
            <w:shd w:fill="FFFFFF" w:val="clear" w:color="auto"/>
          </w:tcPr>
          <w:p>
            <w:pPr>
              <w:jc w:val="left"/>
            </w:pPr>
            <w:r/>
            <w:r>
              <w:rPr>
                <w:rFonts w:ascii="Arial" w:hAnsi="Arial" w:eastAsia="Arial"/>
                <w:b w:val="0"/>
                <w:i w:val="0"/>
                <w:sz w:val="11"/>
              </w:rPr>
              <w:t>Dataset de PYMEs regionales (Perú/Latinoamérica)</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DE MAYOR RELEVANCIA TEMÁTICA DIRECTA. Es el antecedente más próximo al IRE: usa ML para predicción de riesgo empresarial (no quiebra) en PYMEs con datos de Latinoamérica. Random Forest y XGBoost evaluados son los mismos algoritmos candidatos del sistema propuesto. VERIFICAR cuartil en scimago.org antes de defender como Q1; si es Q2, citar sin declarar cuartil (Variable Dependiente — Predicción del IRE en PYME latinoamericana).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IRE implementado con Random Forest y validación sobre datos reales de PYME peruana (Huancayo); tabla ire_historial persiste series.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https://doi.org/10.1155/2022/6858916</w:t>
      </w:r>
    </w:p>
    <w:p>
      <w:pPr>
        <w:spacing w:before="160" w:after="20"/>
      </w:pPr>
      <w:r>
        <w:rPr>
          <w:rFonts w:ascii="Arial" w:hAnsi="Arial" w:eastAsia="Arial"/>
          <w:b/>
          <w:i w:val="0"/>
          <w:sz w:val="18"/>
        </w:rPr>
        <w:t xml:space="preserve">Artículo [31] — </w:t>
      </w:r>
      <w:r>
        <w:rPr>
          <w:rFonts w:ascii="Arial" w:hAnsi="Arial" w:eastAsia="Arial"/>
          <w:b/>
          <w:i/>
          <w:sz w:val="18"/>
        </w:rPr>
        <w:t>Deep learning with long short-term memory networks for financial market predictions</w:t>
      </w:r>
    </w:p>
    <w:p>
      <w:pPr>
        <w:spacing w:before="0" w:after="40"/>
      </w:pPr>
      <w:r>
        <w:rPr>
          <w:rFonts w:ascii="Arial" w:hAnsi="Arial" w:eastAsia="Arial"/>
          <w:b w:val="0"/>
          <w:i/>
          <w:sz w:val="16"/>
        </w:rPr>
        <w:t>Fischer, T. y Krauss, C. (2018) — European Journal of Operational Research · Q1 · JIF 6.37</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Redes LSTM para Predicción de Series Temporales Financieras y Precisión en Predicción de Series Temporales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Métricas reportadas: SHARPE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Antecedente de LSTM para series temporales financieras con JIF 6.37 Q1 sólido. Justifica por qué Random Forest fue seleccionado sobre LSTM para el IRE: el dataset de Calzatura Vilchez es pequeño y los datos son tabulares estructurados (no secuencias largas), haciendo RF más interpretable y menos propenso a sobreajuste. La validación walk-forward es replicable para evaluar el mo</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Redes LSTM para</w:t>
              <w:br/>
              <w:t>Predicción de Series</w:t>
              <w:br/>
              <w:t>Temporales Financieras</w:t>
            </w:r>
          </w:p>
        </w:tc>
        <w:tc>
          <w:tcPr>
            <w:tcW w:type="dxa" w:w="1267"/>
            <w:vMerge w:val="restart"/>
            <w:vAlign w:val="center"/>
            <w:shd w:fill="F4F9FD" w:val="clear" w:color="auto"/>
          </w:tcPr>
          <w:p>
            <w:pPr>
              <w:jc w:val="left"/>
            </w:pPr>
            <w:r/>
            <w:r>
              <w:rPr>
                <w:rFonts w:ascii="Arial" w:hAnsi="Arial" w:eastAsia="Arial"/>
                <w:b w:val="0"/>
                <w:i w:val="0"/>
                <w:sz w:val="11"/>
              </w:rPr>
              <w:t>Redes LSTM para Predicción de Series Temporales Financieras: constructo independiente conceptualizado por Fischer, T. y Krauss, C. (2018).</w:t>
            </w:r>
          </w:p>
        </w:tc>
        <w:tc>
          <w:tcPr>
            <w:tcW w:type="dxa" w:w="1267"/>
            <w:vMerge w:val="restart"/>
            <w:vAlign w:val="center"/>
            <w:shd w:fill="F4F9FD" w:val="clear" w:color="auto"/>
          </w:tcPr>
          <w:p>
            <w:pPr>
              <w:jc w:val="left"/>
            </w:pPr>
            <w:r/>
            <w:r>
              <w:rPr>
                <w:rFonts w:ascii="Arial" w:hAnsi="Arial" w:eastAsia="Arial"/>
                <w:b w:val="0"/>
                <w:i w:val="0"/>
                <w:sz w:val="11"/>
              </w:rPr>
              <w:t>Medición operativa: Python (TensorFlow / Keras); S&amp;P 500 (500 acciones, 1992–2015); Validación walk-forward temporal; Métricas financieras (Sharpe ratio, Drawdown)</w:t>
            </w:r>
          </w:p>
        </w:tc>
        <w:tc>
          <w:tcPr>
            <w:tcW w:type="dxa" w:w="1181"/>
            <w:vMerge w:val="restart"/>
            <w:vAlign w:val="center"/>
            <w:shd w:fill="D6E4F0" w:val="clear" w:color="auto"/>
          </w:tcPr>
          <w:p>
            <w:pPr>
              <w:jc w:val="center"/>
            </w:pPr>
            <w:r/>
            <w:r>
              <w:rPr>
                <w:rFonts w:ascii="Arial" w:hAnsi="Arial" w:eastAsia="Arial"/>
                <w:b/>
                <w:i w:val="0"/>
                <w:sz w:val="11"/>
              </w:rPr>
              <w:t>Arquitectura de la red LSTM</w:t>
            </w:r>
          </w:p>
        </w:tc>
        <w:tc>
          <w:tcPr>
            <w:tcW w:type="dxa" w:w="1944"/>
            <w:vAlign w:val="center"/>
            <w:shd w:fill="FFFFFF" w:val="clear" w:color="auto"/>
          </w:tcPr>
          <w:p>
            <w:pPr>
              <w:jc w:val="left"/>
            </w:pPr>
            <w:r/>
            <w:r>
              <w:rPr>
                <w:rFonts w:ascii="Arial" w:hAnsi="Arial" w:eastAsia="Arial"/>
                <w:b w:val="0"/>
                <w:i w:val="0"/>
                <w:sz w:val="11"/>
              </w:rPr>
              <w:t>N.° de capas LSTM apiladas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 ↳ Sistema: validación walk-forward con ventas históricas reales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unidades ocultas por capa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 ↳ Sistema: validación walk-forward con ventas históricas reales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Longitud de la ventana temporal de entrada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 ↳ Sistema: validación walk-forward con ventas históricas reales</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Datos históricos de entrenamiento</w:t>
            </w:r>
          </w:p>
        </w:tc>
        <w:tc>
          <w:tcPr>
            <w:tcW w:type="dxa" w:w="1944"/>
            <w:vAlign w:val="center"/>
            <w:shd w:fill="FFFFFF" w:val="clear" w:color="auto"/>
          </w:tcPr>
          <w:p>
            <w:pPr>
              <w:jc w:val="left"/>
            </w:pPr>
            <w:r/>
            <w:r>
              <w:rPr>
                <w:rFonts w:ascii="Arial" w:hAnsi="Arial" w:eastAsia="Arial"/>
                <w:b w:val="0"/>
                <w:i w:val="0"/>
                <w:sz w:val="11"/>
              </w:rPr>
              <w:t>N.° de variables de entrada (features)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 ↳ Sistema: validación walk-forward con ventas históricas reales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Período histórico utilizado para entrenamiento (años)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 ↳ Sistema: validación walk-forward con ventas históricas reales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Frecuencia de los datos (diaria, semanal, mensual)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 ↳ Sistema: validación walk-forward con ventas históricas reales</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Precisión en Predicción</w:t>
              <w:br/>
              <w:t>de Series Temporales</w:t>
            </w:r>
          </w:p>
        </w:tc>
        <w:tc>
          <w:tcPr>
            <w:tcW w:type="dxa" w:w="1267"/>
            <w:vMerge w:val="restart"/>
            <w:vAlign w:val="center"/>
            <w:shd w:fill="FFF9EE" w:val="clear" w:color="auto"/>
          </w:tcPr>
          <w:p>
            <w:pPr>
              <w:jc w:val="left"/>
            </w:pPr>
            <w:r/>
            <w:r>
              <w:rPr>
                <w:rFonts w:ascii="Arial" w:hAnsi="Arial" w:eastAsia="Arial"/>
                <w:b w:val="0"/>
                <w:i w:val="0"/>
                <w:sz w:val="11"/>
              </w:rPr>
              <w:t>Precisión en Predicción de Series Temporales: constructo dependiente/outcome del estudio Fischer, T. y Krauss, C. (2018).</w:t>
            </w:r>
          </w:p>
        </w:tc>
        <w:tc>
          <w:tcPr>
            <w:tcW w:type="dxa" w:w="1267"/>
            <w:vMerge w:val="restart"/>
            <w:vAlign w:val="center"/>
            <w:shd w:fill="FFF9EE" w:val="clear" w:color="auto"/>
          </w:tcPr>
          <w:p>
            <w:pPr>
              <w:jc w:val="left"/>
            </w:pPr>
            <w:r/>
            <w:r>
              <w:rPr>
                <w:rFonts w:ascii="Arial" w:hAnsi="Arial" w:eastAsia="Arial"/>
                <w:b w:val="0"/>
                <w:i w:val="0"/>
                <w:sz w:val="11"/>
              </w:rPr>
              <w:t>Medición operativa: Python (TensorFlow / Keras); S&amp;P 500 (500 acciones, 1992–2015); Validación walk-forward temporal; Métricas financieras (Sharpe ratio, Drawdown)</w:t>
            </w:r>
          </w:p>
        </w:tc>
        <w:tc>
          <w:tcPr>
            <w:tcW w:type="dxa" w:w="1181"/>
            <w:vMerge w:val="restart"/>
            <w:vAlign w:val="center"/>
            <w:shd w:fill="FFF5CC" w:val="clear" w:color="auto"/>
          </w:tcPr>
          <w:p>
            <w:pPr>
              <w:jc w:val="center"/>
            </w:pPr>
            <w:r/>
            <w:r>
              <w:rPr>
                <w:rFonts w:ascii="Arial" w:hAnsi="Arial" w:eastAsia="Arial"/>
                <w:b/>
                <w:i w:val="0"/>
                <w:sz w:val="11"/>
              </w:rPr>
              <w:t>Exactitud predictiva del modelo</w:t>
            </w:r>
          </w:p>
        </w:tc>
        <w:tc>
          <w:tcPr>
            <w:tcW w:type="dxa" w:w="1944"/>
            <w:vAlign w:val="center"/>
            <w:shd w:fill="FFFFFF" w:val="clear" w:color="auto"/>
          </w:tcPr>
          <w:p>
            <w:pPr>
              <w:jc w:val="left"/>
            </w:pPr>
            <w:r/>
            <w:r>
              <w:rPr>
                <w:rFonts w:ascii="Arial" w:hAnsi="Arial" w:eastAsia="Arial"/>
                <w:b w:val="0"/>
                <w:i w:val="0"/>
                <w:sz w:val="11"/>
              </w:rPr>
              <w:t>Accuracy de dirección de movimiento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Sharpe ratio del portafolio resultante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RMSE en datos fuera de muestra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Comparativa con benchmarks clásicos</w:t>
            </w:r>
          </w:p>
        </w:tc>
        <w:tc>
          <w:tcPr>
            <w:tcW w:type="dxa" w:w="1944"/>
            <w:vAlign w:val="center"/>
            <w:shd w:fill="FFFFFF" w:val="clear" w:color="auto"/>
          </w:tcPr>
          <w:p>
            <w:pPr>
              <w:jc w:val="left"/>
            </w:pPr>
            <w:r/>
            <w:r>
              <w:rPr>
                <w:rFonts w:ascii="Arial" w:hAnsi="Arial" w:eastAsia="Arial"/>
                <w:b w:val="0"/>
                <w:i w:val="0"/>
                <w:sz w:val="11"/>
              </w:rPr>
              <w:t>Mejora vs. Random Walk (% de accuracy)</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vs. regresión logística (ΔAUC)</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Retorno acumulado del modelo vs. buy-and-hold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(TensorFlow / Keras); S&amp;P 500 (500 acciones, 1992–2015); Validación walk-forward temporal</w:t>
            </w:r>
          </w:p>
        </w:tc>
        <w:tc>
          <w:tcPr>
            <w:tcW w:type="dxa" w:w="1181"/>
            <w:vAlign w:val="center"/>
            <w:shd w:fill="FFFFFF" w:val="clear" w:color="auto"/>
          </w:tcPr>
          <w:p>
            <w:pPr>
              <w:jc w:val="left"/>
            </w:pPr>
            <w:r/>
            <w:r>
              <w:rPr>
                <w:rFonts w:ascii="Arial" w:hAnsi="Arial" w:eastAsia="Arial"/>
                <w:b w:val="0"/>
                <w:i w:val="0"/>
                <w:sz w:val="11"/>
              </w:rPr>
              <w:t>Métricas financieras (Sharpe ratio, Drawdown)</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Antecedente de LSTM para series temporales financieras con JIF 6.37 Q1 sólido. Justifica por qué Random Forest fue seleccionado sobre LSTM para el IRE: el dataset de Calzatura Vilchez es pequeño y los datos son tabulares estructurados (no secuencias largas), haciendo RF más interpretable y menos propenso a sobreajuste. La validación walk-forward es replicable para evaluar el modelo del IRE con datos históricos de ventas.</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LSTM descartado por dataset pequeño; validación walk-forward replicable con ventas históricas de ventasDiarias y pedidos.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https://doi.org/10.1016/j.ejor.2017.11.054</w:t>
      </w:r>
    </w:p>
    <w:p>
      <w:pPr>
        <w:spacing w:before="160" w:after="20"/>
      </w:pPr>
      <w:r>
        <w:rPr>
          <w:rFonts w:ascii="Arial" w:hAnsi="Arial" w:eastAsia="Arial"/>
          <w:b/>
          <w:i w:val="0"/>
          <w:sz w:val="18"/>
        </w:rPr>
        <w:t xml:space="preserve">Artículo [32] — </w:t>
      </w:r>
      <w:r>
        <w:rPr>
          <w:rFonts w:ascii="Arial" w:hAnsi="Arial" w:eastAsia="Arial"/>
          <w:b/>
          <w:i/>
          <w:sz w:val="18"/>
        </w:rPr>
        <w:t>Challenges in deploying machine learning: A survey of case studies</w:t>
      </w:r>
    </w:p>
    <w:p>
      <w:pPr>
        <w:spacing w:before="0" w:after="40"/>
      </w:pPr>
      <w:r>
        <w:rPr>
          <w:rFonts w:ascii="Arial" w:hAnsi="Arial" w:eastAsia="Arial"/>
          <w:b w:val="0"/>
          <w:i/>
          <w:sz w:val="16"/>
        </w:rPr>
        <w:t>Paleyes, A.; Urma, R.G. y Lawrence, N.D. (2022) — ACM Computing Surveys · Q1 · JIF 16.60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Desafíos en el Despliegue de Modelos ML en Producción y Éxito del Despliegue ML en Entornos Reales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209 casos reales (revisión sistemática)</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Identifica los 6 desafíos reales del despliegue ML en producción (datos, modelo, código, sistema, integración, monitoreo), todos presentes en el servicio de predicción del IRE vía ai-service FastAPI desplegado en Render (Docker). Los indicadores de data drift, MTTR y uptime son KPIs de calidad del módulo IA del sistema. JIF 16.60 Q1 lo convierte en la fuente té</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Desafíos en el</w:t>
              <w:br/>
              <w:t>Despliegue de Modelos</w:t>
              <w:br/>
              <w:t>ML en Producción</w:t>
            </w:r>
          </w:p>
        </w:tc>
        <w:tc>
          <w:tcPr>
            <w:tcW w:type="dxa" w:w="1267"/>
            <w:vMerge w:val="restart"/>
            <w:vAlign w:val="center"/>
            <w:shd w:fill="F4F9FD" w:val="clear" w:color="auto"/>
          </w:tcPr>
          <w:p>
            <w:pPr>
              <w:jc w:val="left"/>
            </w:pPr>
            <w:r/>
            <w:r>
              <w:rPr>
                <w:rFonts w:ascii="Arial" w:hAnsi="Arial" w:eastAsia="Arial"/>
                <w:b w:val="0"/>
                <w:i w:val="0"/>
                <w:sz w:val="11"/>
              </w:rPr>
              <w:t>Desafíos en el Despliegue de Modelos ML en Producción: constructo independiente conceptualizado por Paleyes, A.; Urma, R.G. y Lawrence, N.D. (2022).</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de 209 casos reales (PRISMA); MLflow / Kubeflow para MLOps; Taxonomía de desafíos (categorización cualitativa); Docker / Kubernetes en producción</w:t>
            </w:r>
          </w:p>
        </w:tc>
        <w:tc>
          <w:tcPr>
            <w:tcW w:type="dxa" w:w="1181"/>
            <w:vMerge w:val="restart"/>
            <w:vAlign w:val="center"/>
            <w:shd w:fill="D6E4F0" w:val="clear" w:color="auto"/>
          </w:tcPr>
          <w:p>
            <w:pPr>
              <w:jc w:val="center"/>
            </w:pPr>
            <w:r/>
            <w:r>
              <w:rPr>
                <w:rFonts w:ascii="Arial" w:hAnsi="Arial" w:eastAsia="Arial"/>
                <w:b/>
                <w:i w:val="0"/>
                <w:sz w:val="11"/>
              </w:rPr>
              <w:t>Preparación y calidad de datos</w:t>
            </w:r>
          </w:p>
        </w:tc>
        <w:tc>
          <w:tcPr>
            <w:tcW w:type="dxa" w:w="1944"/>
            <w:vAlign w:val="center"/>
            <w:shd w:fill="FFFFFF" w:val="clear" w:color="auto"/>
          </w:tcPr>
          <w:p>
            <w:pPr>
              <w:jc w:val="left"/>
            </w:pPr>
            <w:r/>
            <w:r>
              <w:rPr>
                <w:rFonts w:ascii="Arial" w:hAnsi="Arial" w:eastAsia="Arial"/>
                <w:b w:val="0"/>
                <w:i w:val="0"/>
                <w:sz w:val="11"/>
              </w:rPr>
              <w:t>% de datos válidos en producción</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limpieza y preprocesamiento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fuentes de datos integradas al pipeline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Despliegue e integración del modelo</w:t>
            </w:r>
          </w:p>
        </w:tc>
        <w:tc>
          <w:tcPr>
            <w:tcW w:type="dxa" w:w="1944"/>
            <w:vAlign w:val="center"/>
            <w:shd w:fill="FFFFFF" w:val="clear" w:color="auto"/>
          </w:tcPr>
          <w:p>
            <w:pPr>
              <w:jc w:val="left"/>
            </w:pPr>
            <w:r/>
            <w:r>
              <w:rPr>
                <w:rFonts w:ascii="Arial" w:hAnsi="Arial" w:eastAsia="Arial"/>
                <w:b w:val="0"/>
                <w:i w:val="0"/>
                <w:sz w:val="11"/>
              </w:rPr>
              <w:t>Tiempo de despliegue del modelo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integraciones API requeridas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Compatibilidad con sistemas legados existentes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Monitoreo y mantenimiento en producción</w:t>
            </w:r>
          </w:p>
        </w:tc>
        <w:tc>
          <w:tcPr>
            <w:tcW w:type="dxa" w:w="1944"/>
            <w:vAlign w:val="center"/>
            <w:shd w:fill="FFFFFF" w:val="clear" w:color="auto"/>
          </w:tcPr>
          <w:p>
            <w:pPr>
              <w:jc w:val="left"/>
            </w:pPr>
            <w:r/>
            <w:r>
              <w:rPr>
                <w:rFonts w:ascii="Arial" w:hAnsi="Arial" w:eastAsia="Arial"/>
                <w:b w:val="0"/>
                <w:i w:val="0"/>
                <w:sz w:val="11"/>
              </w:rPr>
              <w:t>Frecuencia de reentrenamiento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Delta de accuracy detectado (data drift)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alertas automatizadas configuradas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 ↳ Sistema: ai-service producción Render — auth, caché, persistencia</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Éxito del Despliegue</w:t>
              <w:br/>
              <w:t>ML en Entornos Reales</w:t>
            </w:r>
          </w:p>
        </w:tc>
        <w:tc>
          <w:tcPr>
            <w:tcW w:type="dxa" w:w="1267"/>
            <w:vMerge w:val="restart"/>
            <w:vAlign w:val="center"/>
            <w:shd w:fill="FFF9EE" w:val="clear" w:color="auto"/>
          </w:tcPr>
          <w:p>
            <w:pPr>
              <w:jc w:val="left"/>
            </w:pPr>
            <w:r/>
            <w:r>
              <w:rPr>
                <w:rFonts w:ascii="Arial" w:hAnsi="Arial" w:eastAsia="Arial"/>
                <w:b w:val="0"/>
                <w:i w:val="0"/>
                <w:sz w:val="11"/>
              </w:rPr>
              <w:t>Éxito del Despliegue ML en Entornos Reales: constructo dependiente/outcome del estudio Paleyes, A.; Urma, R.G. y Lawrence, N.D. (2022).</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de 209 casos reales (PRISMA); MLflow / Kubeflow para MLOps; Taxonomía de desafíos (categorización cualitativa); Docker / Kubernetes en producción</w:t>
            </w:r>
          </w:p>
        </w:tc>
        <w:tc>
          <w:tcPr>
            <w:tcW w:type="dxa" w:w="1181"/>
            <w:vMerge w:val="restart"/>
            <w:vAlign w:val="center"/>
            <w:shd w:fill="FFF5CC" w:val="clear" w:color="auto"/>
          </w:tcPr>
          <w:p>
            <w:pPr>
              <w:jc w:val="center"/>
            </w:pPr>
            <w:r/>
            <w:r>
              <w:rPr>
                <w:rFonts w:ascii="Arial" w:hAnsi="Arial" w:eastAsia="Arial"/>
                <w:b/>
                <w:i w:val="0"/>
                <w:sz w:val="11"/>
              </w:rPr>
              <w:t>Fiabilidad del sistema en producción</w:t>
            </w:r>
          </w:p>
        </w:tc>
        <w:tc>
          <w:tcPr>
            <w:tcW w:type="dxa" w:w="1944"/>
            <w:vAlign w:val="center"/>
            <w:shd w:fill="FFFFFF" w:val="clear" w:color="auto"/>
          </w:tcPr>
          <w:p>
            <w:pPr>
              <w:jc w:val="left"/>
            </w:pPr>
            <w:r/>
            <w:r>
              <w:rPr>
                <w:rFonts w:ascii="Arial" w:hAnsi="Arial" w:eastAsia="Arial"/>
                <w:b w:val="0"/>
                <w:i w:val="0"/>
                <w:sz w:val="11"/>
              </w:rPr>
              <w:t>Uptime del modelo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predicciones fallidas o erróneas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MTTR ante incidentes de producción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Adopción real por usuarios del negocio</w:t>
            </w:r>
          </w:p>
        </w:tc>
        <w:tc>
          <w:tcPr>
            <w:tcW w:type="dxa" w:w="1944"/>
            <w:vAlign w:val="center"/>
            <w:shd w:fill="FFFFFF" w:val="clear" w:color="auto"/>
          </w:tcPr>
          <w:p>
            <w:pPr>
              <w:jc w:val="left"/>
            </w:pPr>
            <w:r/>
            <w:r>
              <w:rPr>
                <w:rFonts w:ascii="Arial" w:hAnsi="Arial" w:eastAsia="Arial"/>
                <w:b w:val="0"/>
                <w:i w:val="0"/>
                <w:sz w:val="11"/>
              </w:rPr>
              <w:t>Tasa de uso efectivo del sistema ML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Satisfacción de usuarios internos (Likert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decisiones asistidas por ML/semana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209 casos reales (PRISMA); MLflow / Kubeflow para MLOps; Taxonomía de desafíos (categorización cualitativa)</w:t>
            </w:r>
          </w:p>
        </w:tc>
        <w:tc>
          <w:tcPr>
            <w:tcW w:type="dxa" w:w="1181"/>
            <w:vAlign w:val="center"/>
            <w:shd w:fill="FFFFFF" w:val="clear" w:color="auto"/>
          </w:tcPr>
          <w:p>
            <w:pPr>
              <w:jc w:val="left"/>
            </w:pPr>
            <w:r/>
            <w:r>
              <w:rPr>
                <w:rFonts w:ascii="Arial" w:hAnsi="Arial" w:eastAsia="Arial"/>
                <w:b w:val="0"/>
                <w:i w:val="0"/>
                <w:sz w:val="11"/>
              </w:rPr>
              <w:t>Docker / Kubernetes en producción</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Identifica los 6 desafíos reales del despliegue ML en producción (datos, modelo, código, sistema, integración, monitoreo), todos presentes en el servicio de predicción del IRE vía ai-service FastAPI desplegado en Render (Docker). Los indicadores de data drift, MTTR y uptime son KPIs de calidad del módulo IA del sistema. JIF 16.60 Q1 lo convierte en la fuente técnica más sólida del Eje 4 (Variable Independiente — Calidad del sistema web con IA).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Despliegue ML en ai-service Render: auth Bearer/Firebase admin, caché, rate limiting, persistencia post-reinicio en Supabase.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https://doi.org/10.1145/3533378</w:t>
      </w:r>
    </w:p>
    <w:p>
      <w:pPr>
        <w:spacing w:before="160" w:after="20"/>
      </w:pPr>
      <w:r>
        <w:rPr>
          <w:rFonts w:ascii="Arial" w:hAnsi="Arial" w:eastAsia="Arial"/>
          <w:b/>
          <w:i w:val="0"/>
          <w:sz w:val="18"/>
        </w:rPr>
        <w:t xml:space="preserve">Artículo [33] — </w:t>
      </w:r>
      <w:r>
        <w:rPr>
          <w:rFonts w:ascii="Arial" w:hAnsi="Arial" w:eastAsia="Arial"/>
          <w:b/>
          <w:i/>
          <w:sz w:val="18"/>
        </w:rPr>
        <w:t>Software engineering for AI-based systems: A survey</w:t>
      </w:r>
    </w:p>
    <w:p>
      <w:pPr>
        <w:spacing w:before="0" w:after="40"/>
      </w:pPr>
      <w:r>
        <w:rPr>
          <w:rFonts w:ascii="Arial" w:hAnsi="Arial" w:eastAsia="Arial"/>
          <w:b w:val="0"/>
          <w:i/>
          <w:sz w:val="16"/>
        </w:rPr>
        <w:t>Martinez-Fernandez, S. et al. (2022) — ACM Transactions on Software Engineering and Methodology · Q1 · JIF 6.00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Ingeniería de Software para Sistemas Basados en IA y Calidad del Sistema de Software con IA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Fundamenta las prácticas de ingeniería de software para sistemas con componentes IA: pruebas, documentación técnica y gestión de la deuda técnica del módulo predictivo. Cobertura de pruebas del componente IA y MTBF corresponden a la dimensión Fiabilidad de ISO/IEC 25000. El N.° de defectos por release es un KPI de calidad del módulo IA del sistema (Variable Ind</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Ingeniería de Software</w:t>
              <w:br/>
              <w:t>para Sistemas Basados</w:t>
              <w:br/>
              <w:t>en IA</w:t>
            </w:r>
          </w:p>
        </w:tc>
        <w:tc>
          <w:tcPr>
            <w:tcW w:type="dxa" w:w="1267"/>
            <w:vMerge w:val="restart"/>
            <w:vAlign w:val="center"/>
            <w:shd w:fill="F4F9FD" w:val="clear" w:color="auto"/>
          </w:tcPr>
          <w:p>
            <w:pPr>
              <w:jc w:val="left"/>
            </w:pPr>
            <w:r/>
            <w:r>
              <w:rPr>
                <w:rFonts w:ascii="Arial" w:hAnsi="Arial" w:eastAsia="Arial"/>
                <w:b w:val="0"/>
                <w:i w:val="0"/>
                <w:sz w:val="11"/>
              </w:rPr>
              <w:t>Ingeniería de Software para Sistemas Basados en IA: constructo independiente conceptualizado por Martinez-Fernandez, S. et al. (2022).</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SLR (106 estudios, 2014–2021); Análisis temático cualitativo; SonarQube para métricas de calidad de código; GitHub / GitLab para datos de repositorios</w:t>
            </w:r>
          </w:p>
        </w:tc>
        <w:tc>
          <w:tcPr>
            <w:tcW w:type="dxa" w:w="1181"/>
            <w:vMerge w:val="restart"/>
            <w:vAlign w:val="center"/>
            <w:shd w:fill="D6E4F0" w:val="clear" w:color="auto"/>
          </w:tcPr>
          <w:p>
            <w:pPr>
              <w:jc w:val="center"/>
            </w:pPr>
            <w:r/>
            <w:r>
              <w:rPr>
                <w:rFonts w:ascii="Arial" w:hAnsi="Arial" w:eastAsia="Arial"/>
                <w:b/>
                <w:i w:val="0"/>
                <w:sz w:val="11"/>
              </w:rPr>
              <w:t>Prácticas de ingeniería de software adaptadas a IA</w:t>
            </w:r>
          </w:p>
        </w:tc>
        <w:tc>
          <w:tcPr>
            <w:tcW w:type="dxa" w:w="1944"/>
            <w:vAlign w:val="center"/>
            <w:shd w:fill="FFFFFF" w:val="clear" w:color="auto"/>
          </w:tcPr>
          <w:p>
            <w:pPr>
              <w:jc w:val="left"/>
            </w:pPr>
            <w:r/>
            <w:r>
              <w:rPr>
                <w:rFonts w:ascii="Arial" w:hAnsi="Arial" w:eastAsia="Arial"/>
                <w:b w:val="0"/>
                <w:i w:val="0"/>
                <w:sz w:val="11"/>
              </w:rPr>
              <w:t>N.° de prácticas de SE adaptadas para componentes ML</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Cobertura de pruebas de componentes IA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Nivel de documentación de requisitos de IA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Calidad intrínseca del software con IA</w:t>
            </w:r>
          </w:p>
        </w:tc>
        <w:tc>
          <w:tcPr>
            <w:tcW w:type="dxa" w:w="1944"/>
            <w:vAlign w:val="center"/>
            <w:shd w:fill="FFFFFF" w:val="clear" w:color="auto"/>
          </w:tcPr>
          <w:p>
            <w:pPr>
              <w:jc w:val="left"/>
            </w:pPr>
            <w:r/>
            <w:r>
              <w:rPr>
                <w:rFonts w:ascii="Arial" w:hAnsi="Arial" w:eastAsia="Arial"/>
                <w:b w:val="0"/>
                <w:i w:val="0"/>
                <w:sz w:val="11"/>
              </w:rPr>
              <w:t>Deuda técnica de módulos IA (horas estimadas)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defectos detectados por release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refactorización del código IA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Proceso de desarrollo iterativo con IA</w:t>
            </w:r>
          </w:p>
        </w:tc>
        <w:tc>
          <w:tcPr>
            <w:tcW w:type="dxa" w:w="1944"/>
            <w:vAlign w:val="center"/>
            <w:shd w:fill="FFFFFF" w:val="clear" w:color="auto"/>
          </w:tcPr>
          <w:p>
            <w:pPr>
              <w:jc w:val="left"/>
            </w:pPr>
            <w:r/>
            <w:r>
              <w:rPr>
                <w:rFonts w:ascii="Arial" w:hAnsi="Arial" w:eastAsia="Arial"/>
                <w:b w:val="0"/>
                <w:i w:val="0"/>
                <w:sz w:val="11"/>
              </w:rPr>
              <w:t>Duración del ciclo de experimento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experimentos por iteración de desarrollo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experimentos que avanzan a producción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 ↳ Sistema: pytest + Vitest + Playwright E2E + SonarQube CI</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Calidad del Sistema de</w:t>
              <w:br/>
              <w:t>Software con IA</w:t>
            </w:r>
          </w:p>
        </w:tc>
        <w:tc>
          <w:tcPr>
            <w:tcW w:type="dxa" w:w="1267"/>
            <w:vMerge w:val="restart"/>
            <w:vAlign w:val="center"/>
            <w:shd w:fill="FFF9EE" w:val="clear" w:color="auto"/>
          </w:tcPr>
          <w:p>
            <w:pPr>
              <w:jc w:val="left"/>
            </w:pPr>
            <w:r/>
            <w:r>
              <w:rPr>
                <w:rFonts w:ascii="Arial" w:hAnsi="Arial" w:eastAsia="Arial"/>
                <w:b w:val="0"/>
                <w:i w:val="0"/>
                <w:sz w:val="11"/>
              </w:rPr>
              <w:t>Calidad del Sistema de Software con IA: constructo dependiente/outcome del estudio Martinez-Fernandez, S. et al. (2022).</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SLR (106 estudios, 2014–2021); Análisis temático cualitativo; SonarQube para métricas de calidad de código; GitHub / GitLab para datos de repositorios</w:t>
            </w:r>
          </w:p>
        </w:tc>
        <w:tc>
          <w:tcPr>
            <w:tcW w:type="dxa" w:w="1181"/>
            <w:vMerge w:val="restart"/>
            <w:vAlign w:val="center"/>
            <w:shd w:fill="FFF5CC" w:val="clear" w:color="auto"/>
          </w:tcPr>
          <w:p>
            <w:pPr>
              <w:jc w:val="center"/>
            </w:pPr>
            <w:r/>
            <w:r>
              <w:rPr>
                <w:rFonts w:ascii="Arial" w:hAnsi="Arial" w:eastAsia="Arial"/>
                <w:b/>
                <w:i w:val="0"/>
                <w:sz w:val="11"/>
              </w:rPr>
              <w:t>Fiabilidad del sistema</w:t>
            </w:r>
          </w:p>
        </w:tc>
        <w:tc>
          <w:tcPr>
            <w:tcW w:type="dxa" w:w="1944"/>
            <w:vAlign w:val="center"/>
            <w:shd w:fill="FFFFFF" w:val="clear" w:color="auto"/>
          </w:tcPr>
          <w:p>
            <w:pPr>
              <w:jc w:val="left"/>
            </w:pPr>
            <w:r/>
            <w:r>
              <w:rPr>
                <w:rFonts w:ascii="Arial" w:hAnsi="Arial" w:eastAsia="Arial"/>
                <w:b w:val="0"/>
                <w:i w:val="0"/>
                <w:sz w:val="11"/>
              </w:rPr>
              <w:t>MTBF — Tiempo medio entre fallos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fallos en producción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incidentes críticos por mes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Mantenibilidad y evolución</w:t>
            </w:r>
          </w:p>
        </w:tc>
        <w:tc>
          <w:tcPr>
            <w:tcW w:type="dxa" w:w="1944"/>
            <w:vAlign w:val="center"/>
            <w:shd w:fill="FFFFFF" w:val="clear" w:color="auto"/>
          </w:tcPr>
          <w:p>
            <w:pPr>
              <w:jc w:val="left"/>
            </w:pPr>
            <w:r/>
            <w:r>
              <w:rPr>
                <w:rFonts w:ascii="Arial" w:hAnsi="Arial" w:eastAsia="Arial"/>
                <w:b w:val="0"/>
                <w:i w:val="0"/>
                <w:sz w:val="11"/>
              </w:rPr>
              <w:t>Tiempo para incorporar nueva funcionalidad ML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Complejidad ciclomática del código IA (McCabe)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Esfuerzo de mantenimiento mensual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SLR (106 estudios, 2014–2021); Análisis temático cualitativo; SonarQube para métricas de calidad de código</w:t>
            </w:r>
          </w:p>
        </w:tc>
        <w:tc>
          <w:tcPr>
            <w:tcW w:type="dxa" w:w="1181"/>
            <w:vAlign w:val="center"/>
            <w:shd w:fill="FFFFFF" w:val="clear" w:color="auto"/>
          </w:tcPr>
          <w:p>
            <w:pPr>
              <w:jc w:val="left"/>
            </w:pPr>
            <w:r/>
            <w:r>
              <w:rPr>
                <w:rFonts w:ascii="Arial" w:hAnsi="Arial" w:eastAsia="Arial"/>
                <w:b w:val="0"/>
                <w:i w:val="0"/>
                <w:sz w:val="11"/>
              </w:rPr>
              <w:t>GitHub / GitLab para datos de repositorios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Fundamenta las prácticas de ingeniería de software para sistemas con componentes IA: pruebas, documentación técnica y gestión de la deuda técnica del módulo predictivo. Cobertura de pruebas del componente IA y MTBF corresponden a la dimensión Fiabilidad de ISO/IEC 25000. El N.° de defectos por release es un KPI de calidad del módulo IA del sistema (Variable Independiente — Calidad de software del sistema con IA).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Pruebas pytest (ai-service), Vitest (frontend), E2E Playwright, SonarQube en CI; documentación en docs/03-sdd y docs/06-ia.</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https://doi.org/10.1145/3487043</w:t>
      </w:r>
    </w:p>
    <w:p>
      <w:pPr>
        <w:spacing w:before="160" w:after="20"/>
      </w:pPr>
      <w:r>
        <w:rPr>
          <w:rFonts w:ascii="Arial" w:hAnsi="Arial" w:eastAsia="Arial"/>
          <w:b/>
          <w:i w:val="0"/>
          <w:sz w:val="18"/>
        </w:rPr>
        <w:t xml:space="preserve">Artículo [34] — </w:t>
      </w:r>
      <w:r>
        <w:rPr>
          <w:rFonts w:ascii="Arial" w:hAnsi="Arial" w:eastAsia="Arial"/>
          <w:b/>
          <w:i/>
          <w:sz w:val="18"/>
        </w:rPr>
        <w:t>Understanding and addressing quality attributes of microservices architecture: A systematic mapping study</w:t>
      </w:r>
    </w:p>
    <w:p>
      <w:pPr>
        <w:spacing w:before="0" w:after="40"/>
      </w:pPr>
      <w:r>
        <w:rPr>
          <w:rFonts w:ascii="Arial" w:hAnsi="Arial" w:eastAsia="Arial"/>
          <w:b w:val="0"/>
          <w:i/>
          <w:sz w:val="16"/>
        </w:rPr>
        <w:t>Li, S. et al. (2021) — Information and Software Technology · Q1 · JIF 3.86</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Atributos de Calidad en Arquitectura de Microservicios y Desempeño de la Arquitectura de Microservicios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Fundamenta directamente los atributos de calidad ISO/IEC 25010 del sistema: escalabilidad, disponibilidad, rendimiento y mantenibilidad. Los patrones circuit breaker y API Gateway son exactamente los utilizados en la arquitectura React + BFF Node + Supabase PostgreSQL + ai-service FastAPI del sistema propuesto. Latencia API p95, throughput y MTTR son métricas d</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Atributos de Calidad en</w:t>
              <w:br/>
              <w:t>Arquitectura de</w:t>
              <w:br/>
              <w:t>Microservicios</w:t>
            </w:r>
          </w:p>
        </w:tc>
        <w:tc>
          <w:tcPr>
            <w:tcW w:type="dxa" w:w="1267"/>
            <w:vMerge w:val="restart"/>
            <w:vAlign w:val="center"/>
            <w:shd w:fill="F4F9FD" w:val="clear" w:color="auto"/>
          </w:tcPr>
          <w:p>
            <w:pPr>
              <w:jc w:val="left"/>
            </w:pPr>
            <w:r/>
            <w:r>
              <w:rPr>
                <w:rFonts w:ascii="Arial" w:hAnsi="Arial" w:eastAsia="Arial"/>
                <w:b w:val="0"/>
                <w:i w:val="0"/>
                <w:sz w:val="11"/>
              </w:rPr>
              <w:t>Atributos de Calidad en Arquitectura de Microservicios: constructo independiente conceptualizado por Li, S. et al. (2021).</w:t>
            </w:r>
          </w:p>
        </w:tc>
        <w:tc>
          <w:tcPr>
            <w:tcW w:type="dxa" w:w="1267"/>
            <w:vMerge w:val="restart"/>
            <w:vAlign w:val="center"/>
            <w:shd w:fill="F4F9FD" w:val="clear" w:color="auto"/>
          </w:tcPr>
          <w:p>
            <w:pPr>
              <w:jc w:val="left"/>
            </w:pPr>
            <w:r/>
            <w:r>
              <w:rPr>
                <w:rFonts w:ascii="Arial" w:hAnsi="Arial" w:eastAsia="Arial"/>
                <w:b w:val="0"/>
                <w:i w:val="0"/>
                <w:sz w:val="11"/>
              </w:rPr>
              <w:t>Medición operativa: Systematic Mapping Study (SMS) — 60 estudios primarios; Docker / Kubernetes en entornos de prueba; Prometheus + Grafana para monitoreo; Análisis bibliométrico de ACM DL / IEEE Xplore</w:t>
            </w:r>
          </w:p>
        </w:tc>
        <w:tc>
          <w:tcPr>
            <w:tcW w:type="dxa" w:w="1181"/>
            <w:vMerge w:val="restart"/>
            <w:vAlign w:val="center"/>
            <w:shd w:fill="D6E4F0" w:val="clear" w:color="auto"/>
          </w:tcPr>
          <w:p>
            <w:pPr>
              <w:jc w:val="center"/>
            </w:pPr>
            <w:r/>
            <w:r>
              <w:rPr>
                <w:rFonts w:ascii="Arial" w:hAnsi="Arial" w:eastAsia="Arial"/>
                <w:b/>
                <w:i w:val="0"/>
                <w:sz w:val="11"/>
              </w:rPr>
              <w:t>Atributos de calidad evaluados (ISO/IEC 25010)</w:t>
            </w:r>
          </w:p>
        </w:tc>
        <w:tc>
          <w:tcPr>
            <w:tcW w:type="dxa" w:w="1944"/>
            <w:vAlign w:val="center"/>
            <w:shd w:fill="FFFFFF" w:val="clear" w:color="auto"/>
          </w:tcPr>
          <w:p>
            <w:pPr>
              <w:jc w:val="left"/>
            </w:pPr>
            <w:r/>
            <w:r>
              <w:rPr>
                <w:rFonts w:ascii="Arial" w:hAnsi="Arial" w:eastAsia="Arial"/>
                <w:b w:val="0"/>
                <w:i w:val="0"/>
                <w:sz w:val="11"/>
              </w:rPr>
              <w:t>Escalabilidad: horizontal y vertical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 ↳ Sistema: latencia BFF, uptime Render, GitHub Actions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Disponibilidad: uptime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 ↳ Sistema: latencia BFF, uptime Render, GitHub Actions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Rendimiento: latencia (ms) y throughput (RPS)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 ↳ Sistema: latencia BFF, uptime Render, GitHub Actions pipeline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Patrones y estrategias de solución aplicadas</w:t>
            </w:r>
          </w:p>
        </w:tc>
        <w:tc>
          <w:tcPr>
            <w:tcW w:type="dxa" w:w="1944"/>
            <w:vAlign w:val="center"/>
            <w:shd w:fill="FFFFFF" w:val="clear" w:color="auto"/>
          </w:tcPr>
          <w:p>
            <w:pPr>
              <w:jc w:val="left"/>
            </w:pPr>
            <w:r/>
            <w:r>
              <w:rPr>
                <w:rFonts w:ascii="Arial" w:hAnsi="Arial" w:eastAsia="Arial"/>
                <w:b w:val="0"/>
                <w:i w:val="0"/>
                <w:sz w:val="11"/>
              </w:rPr>
              <w:t>N.° de patrones aplicados (circuit breaker, saga, CQRS)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 ↳ Sistema: latencia BFF, uptime Render, GitHub Actions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técnicas de monitoreo implementadas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 ↳ Sistema: latencia BFF, uptime Render, GitHub Actions pipeline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Frecuencia de despliegue (veces/semana — CI/CD)</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 ↳ Sistema: latencia BFF, uptime Render, GitHub Actions pipeline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de la</w:t>
              <w:br/>
              <w:t>Arquitectura de</w:t>
              <w:br/>
              <w:t>Microservicios</w:t>
            </w:r>
          </w:p>
        </w:tc>
        <w:tc>
          <w:tcPr>
            <w:tcW w:type="dxa" w:w="1267"/>
            <w:vMerge w:val="restart"/>
            <w:vAlign w:val="center"/>
            <w:shd w:fill="FFF9EE" w:val="clear" w:color="auto"/>
          </w:tcPr>
          <w:p>
            <w:pPr>
              <w:jc w:val="left"/>
            </w:pPr>
            <w:r/>
            <w:r>
              <w:rPr>
                <w:rFonts w:ascii="Arial" w:hAnsi="Arial" w:eastAsia="Arial"/>
                <w:b w:val="0"/>
                <w:i w:val="0"/>
                <w:sz w:val="11"/>
              </w:rPr>
              <w:t>Desempeño de la Arquitectura de Microservicios: constructo dependiente/outcome del estudio Li, S. et al. (2021).</w:t>
            </w:r>
          </w:p>
        </w:tc>
        <w:tc>
          <w:tcPr>
            <w:tcW w:type="dxa" w:w="1267"/>
            <w:vMerge w:val="restart"/>
            <w:vAlign w:val="center"/>
            <w:shd w:fill="FFF9EE" w:val="clear" w:color="auto"/>
          </w:tcPr>
          <w:p>
            <w:pPr>
              <w:jc w:val="left"/>
            </w:pPr>
            <w:r/>
            <w:r>
              <w:rPr>
                <w:rFonts w:ascii="Arial" w:hAnsi="Arial" w:eastAsia="Arial"/>
                <w:b w:val="0"/>
                <w:i w:val="0"/>
                <w:sz w:val="11"/>
              </w:rPr>
              <w:t>Medición operativa: Systematic Mapping Study (SMS) — 60 estudios primarios; Docker / Kubernetes en entornos de prueba; Prometheus + Grafana para monitoreo; Análisis bibliométrico de ACM DL / IEEE Xplore</w:t>
            </w:r>
          </w:p>
        </w:tc>
        <w:tc>
          <w:tcPr>
            <w:tcW w:type="dxa" w:w="1181"/>
            <w:vMerge w:val="restart"/>
            <w:vAlign w:val="center"/>
            <w:shd w:fill="FFF5CC" w:val="clear" w:color="auto"/>
          </w:tcPr>
          <w:p>
            <w:pPr>
              <w:jc w:val="center"/>
            </w:pPr>
            <w:r/>
            <w:r>
              <w:rPr>
                <w:rFonts w:ascii="Arial" w:hAnsi="Arial" w:eastAsia="Arial"/>
                <w:b/>
                <w:i w:val="0"/>
                <w:sz w:val="11"/>
              </w:rPr>
              <w:t>Eficiencia del sistema</w:t>
            </w:r>
          </w:p>
        </w:tc>
        <w:tc>
          <w:tcPr>
            <w:tcW w:type="dxa" w:w="1944"/>
            <w:vAlign w:val="center"/>
            <w:shd w:fill="FFFFFF" w:val="clear" w:color="auto"/>
          </w:tcPr>
          <w:p>
            <w:pPr>
              <w:jc w:val="left"/>
            </w:pPr>
            <w:r/>
            <w:r>
              <w:rPr>
                <w:rFonts w:ascii="Arial" w:hAnsi="Arial" w:eastAsia="Arial"/>
                <w:b w:val="0"/>
                <w:i w:val="0"/>
                <w:sz w:val="11"/>
              </w:rPr>
              <w:t>Latencia de API p95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Throughput máximo (requests/segundo)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errores de API 5xx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Mantenibilidad del sistema distribuido</w:t>
            </w:r>
          </w:p>
        </w:tc>
        <w:tc>
          <w:tcPr>
            <w:tcW w:type="dxa" w:w="1944"/>
            <w:vAlign w:val="center"/>
            <w:shd w:fill="FFFFFF" w:val="clear" w:color="auto"/>
          </w:tcPr>
          <w:p>
            <w:pPr>
              <w:jc w:val="left"/>
            </w:pPr>
            <w:r/>
            <w:r>
              <w:rPr>
                <w:rFonts w:ascii="Arial" w:hAnsi="Arial" w:eastAsia="Arial"/>
                <w:b w:val="0"/>
                <w:i w:val="0"/>
                <w:sz w:val="11"/>
              </w:rPr>
              <w:t>MTTR — Tiempo medio de resolución de incidentes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Cobertura de pruebas de integración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Deuda técnica acumulada (horas estimadas)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Systematic Mapping Study (SMS) — 60 estudios primarios; Docker / Kubernetes en entornos de prueba; Prometheus + Grafana para monitoreo</w:t>
            </w:r>
          </w:p>
        </w:tc>
        <w:tc>
          <w:tcPr>
            <w:tcW w:type="dxa" w:w="1181"/>
            <w:vAlign w:val="center"/>
            <w:shd w:fill="FFFFFF" w:val="clear" w:color="auto"/>
          </w:tcPr>
          <w:p>
            <w:pPr>
              <w:jc w:val="left"/>
            </w:pPr>
            <w:r/>
            <w:r>
              <w:rPr>
                <w:rFonts w:ascii="Arial" w:hAnsi="Arial" w:eastAsia="Arial"/>
                <w:b w:val="0"/>
                <w:i w:val="0"/>
                <w:sz w:val="11"/>
              </w:rPr>
              <w:t>Análisis bibliométrico de ACM DL / IEEE Xplore</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Fundamenta directamente los atributos de calidad ISO/IEC 25010 del sistema: escalabilidad, disponibilidad, rendimiento y mantenibilidad. Los patrones circuit breaker y API Gateway son exactamente los utilizados en la arquitectura React + BFF Node + Supabase PostgreSQL + ai-service FastAPI del sistema propuesto. Latencia API p95, throughput y MTTR son métricas de evaluación técnica comparables con los requisitos no funcionales del sistema (Variable Independiente — ISO/IEC 25000).</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Atributos ISO/IEC 25010 verificables: latencia BFF, uptime Render, CI/CD GitHub Actions, cobertura de tests automatizados.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https://doi.org/10.1016/j.infsof.2020.106449</w:t>
      </w:r>
    </w:p>
    <w:p>
      <w:pPr>
        <w:spacing w:before="200" w:after="80"/>
        <w:shd w:fill="2E75B6" w:val="clear" w:color="auto"/>
      </w:pPr>
      <w:r>
        <w:rPr>
          <w:rFonts w:ascii="Arial" w:hAnsi="Arial" w:eastAsia="Arial"/>
          <w:b/>
          <w:i w:val="0"/>
          <w:color w:val="FFFFFF"/>
          <w:sz w:val="22"/>
        </w:rPr>
        <w:t>EJE 5 — METODOLOGÍA, ALGORITMOS Y FUENTES COMPLEMENTARIAS</w:t>
      </w:r>
    </w:p>
    <w:p>
      <w:pPr>
        <w:spacing w:before="160" w:after="20"/>
      </w:pPr>
      <w:r>
        <w:rPr>
          <w:rFonts w:ascii="Arial" w:hAnsi="Arial" w:eastAsia="Arial"/>
          <w:b/>
          <w:i w:val="0"/>
          <w:sz w:val="18"/>
        </w:rPr>
        <w:t xml:space="preserve">Artículo [35] — </w:t>
      </w:r>
      <w:r>
        <w:rPr>
          <w:rFonts w:ascii="Arial" w:hAnsi="Arial" w:eastAsia="Arial"/>
          <w:b/>
          <w:i/>
          <w:sz w:val="18"/>
        </w:rPr>
        <w:t>Random forests</w:t>
      </w:r>
    </w:p>
    <w:p>
      <w:pPr>
        <w:spacing w:before="0" w:after="40"/>
      </w:pPr>
      <w:r>
        <w:rPr>
          <w:rFonts w:ascii="Arial" w:hAnsi="Arial" w:eastAsia="Arial"/>
          <w:b w:val="0"/>
          <w:i/>
          <w:sz w:val="16"/>
        </w:rPr>
        <w:t>Breiman, L. (2001) — Machine Learning · Q1 · DOI: 10.1023/A:1010933404324</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Algoritmo Random Forest (Ensamble de Árboles de Decisión) y Exactitud y Robustez del Modelo Predictivo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FUNDACIONAL ALGORÍTMICO — REFERENCIA OBLIGATORIA. Es la fuente primaria del algoritmo Random Forest utilizado en el módulo de predicción del IRE. Los hiperparámetros n_estimators, max_depth y max_features son exactamente los optimizados en el entrenamiento del modelo del IRE. OOB error y SHAP values son los instrumentos de evaluación e interpretabilidad del índice (Var</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Algoritmo Random Forest</w:t>
              <w:br/>
              <w:t>(Ensamble de Árboles</w:t>
              <w:br/>
              <w:t>de Decisión)</w:t>
            </w:r>
          </w:p>
        </w:tc>
        <w:tc>
          <w:tcPr>
            <w:tcW w:type="dxa" w:w="1267"/>
            <w:vMerge w:val="restart"/>
            <w:vAlign w:val="center"/>
            <w:shd w:fill="F4F9FD" w:val="clear" w:color="auto"/>
          </w:tcPr>
          <w:p>
            <w:pPr>
              <w:jc w:val="left"/>
            </w:pPr>
            <w:r/>
            <w:r>
              <w:rPr>
                <w:rFonts w:ascii="Arial" w:hAnsi="Arial" w:eastAsia="Arial"/>
                <w:b w:val="0"/>
                <w:i w:val="0"/>
                <w:sz w:val="11"/>
              </w:rPr>
              <w:t>Algoritmo Random Forest (Ensamble de Árboles de Decisión): constructo independiente conceptualizado por Breiman, L. (2001).</w:t>
            </w:r>
          </w:p>
        </w:tc>
        <w:tc>
          <w:tcPr>
            <w:tcW w:type="dxa" w:w="1267"/>
            <w:vMerge w:val="restart"/>
            <w:vAlign w:val="center"/>
            <w:shd w:fill="F4F9FD" w:val="clear" w:color="auto"/>
          </w:tcPr>
          <w:p>
            <w:pPr>
              <w:jc w:val="left"/>
            </w:pPr>
            <w:r/>
            <w:r>
              <w:rPr>
                <w:rFonts w:ascii="Arial" w:hAnsi="Arial" w:eastAsia="Arial"/>
                <w:b w:val="0"/>
                <w:i w:val="0"/>
                <w:sz w:val="11"/>
              </w:rPr>
              <w:t>Medición operativa: Python (scikit-learn — RandomForestClassifier/Regressor); MATLAB (TreeBagger); Validación cruzada k-fold; Curvas de aprendizaje y de error vs. n_estimators</w:t>
            </w:r>
          </w:p>
        </w:tc>
        <w:tc>
          <w:tcPr>
            <w:tcW w:type="dxa" w:w="1181"/>
            <w:vMerge w:val="restart"/>
            <w:vAlign w:val="center"/>
            <w:shd w:fill="D6E4F0" w:val="clear" w:color="auto"/>
          </w:tcPr>
          <w:p>
            <w:pPr>
              <w:jc w:val="center"/>
            </w:pPr>
            <w:r/>
            <w:r>
              <w:rPr>
                <w:rFonts w:ascii="Arial" w:hAnsi="Arial" w:eastAsia="Arial"/>
                <w:b/>
                <w:i w:val="0"/>
                <w:sz w:val="11"/>
              </w:rPr>
              <w:t>Hiperparámetros del algoritmo</w:t>
            </w:r>
          </w:p>
        </w:tc>
        <w:tc>
          <w:tcPr>
            <w:tcW w:type="dxa" w:w="1944"/>
            <w:vAlign w:val="center"/>
            <w:shd w:fill="FFFFFF" w:val="clear" w:color="auto"/>
          </w:tcPr>
          <w:p>
            <w:pPr>
              <w:jc w:val="left"/>
            </w:pPr>
            <w:r/>
            <w:r>
              <w:rPr>
                <w:rFonts w:ascii="Arial" w:hAnsi="Arial" w:eastAsia="Arial"/>
                <w:b w:val="0"/>
                <w:i w:val="0"/>
                <w:sz w:val="11"/>
              </w:rPr>
              <w:t>N.° de árboles del bosque (n_estimators)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Profundidad máxima de árbol (max_depth)</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variables por división (max_features)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Proceso de ensemble por bagging</w:t>
            </w:r>
          </w:p>
        </w:tc>
        <w:tc>
          <w:tcPr>
            <w:tcW w:type="dxa" w:w="1944"/>
            <w:vAlign w:val="center"/>
            <w:shd w:fill="FFFFFF" w:val="clear" w:color="auto"/>
          </w:tcPr>
          <w:p>
            <w:pPr>
              <w:jc w:val="left"/>
            </w:pPr>
            <w:r/>
            <w:r>
              <w:rPr>
                <w:rFonts w:ascii="Arial" w:hAnsi="Arial" w:eastAsia="Arial"/>
                <w:b w:val="0"/>
                <w:i w:val="0"/>
                <w:sz w:val="11"/>
              </w:rPr>
              <w:t>Técnica de muestreo con reemplazo (bootstrapping)</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Agregación de predicciones (votación / promedio)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Semilla aleatoria (random_state) para reproducibilidad</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Medición de importancia de variables</w:t>
            </w:r>
          </w:p>
        </w:tc>
        <w:tc>
          <w:tcPr>
            <w:tcW w:type="dxa" w:w="1944"/>
            <w:vAlign w:val="center"/>
            <w:shd w:fill="FFFFFF" w:val="clear" w:color="auto"/>
          </w:tcPr>
          <w:p>
            <w:pPr>
              <w:jc w:val="left"/>
            </w:pPr>
            <w:r/>
            <w:r>
              <w:rPr>
                <w:rFonts w:ascii="Arial" w:hAnsi="Arial" w:eastAsia="Arial"/>
                <w:b w:val="0"/>
                <w:i w:val="0"/>
                <w:sz w:val="11"/>
              </w:rPr>
              <w:t>Mean Decrease Impurity — MDI</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Mean Decrease Accuracy — MDA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SHAP values (análisis post-hoc)</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 ↳ Sistema: sklearn.ensemble.RandomForestRegressor en demand.py</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Exactitud y Robustez del</w:t>
              <w:br/>
              <w:t>Modelo Predictivo</w:t>
            </w:r>
          </w:p>
        </w:tc>
        <w:tc>
          <w:tcPr>
            <w:tcW w:type="dxa" w:w="1267"/>
            <w:vMerge w:val="restart"/>
            <w:vAlign w:val="center"/>
            <w:shd w:fill="FFF9EE" w:val="clear" w:color="auto"/>
          </w:tcPr>
          <w:p>
            <w:pPr>
              <w:jc w:val="left"/>
            </w:pPr>
            <w:r/>
            <w:r>
              <w:rPr>
                <w:rFonts w:ascii="Arial" w:hAnsi="Arial" w:eastAsia="Arial"/>
                <w:b w:val="0"/>
                <w:i w:val="0"/>
                <w:sz w:val="11"/>
              </w:rPr>
              <w:t>Exactitud y Robustez del Modelo Predictivo: constructo dependiente/outcome del estudio Breiman, L. (2001).</w:t>
            </w:r>
          </w:p>
        </w:tc>
        <w:tc>
          <w:tcPr>
            <w:tcW w:type="dxa" w:w="1267"/>
            <w:vMerge w:val="restart"/>
            <w:vAlign w:val="center"/>
            <w:shd w:fill="FFF9EE" w:val="clear" w:color="auto"/>
          </w:tcPr>
          <w:p>
            <w:pPr>
              <w:jc w:val="left"/>
            </w:pPr>
            <w:r/>
            <w:r>
              <w:rPr>
                <w:rFonts w:ascii="Arial" w:hAnsi="Arial" w:eastAsia="Arial"/>
                <w:b w:val="0"/>
                <w:i w:val="0"/>
                <w:sz w:val="11"/>
              </w:rPr>
              <w:t>Medición operativa: Python (scikit-learn — RandomForestClassifier/Regressor); MATLAB (TreeBagger); Validación cruzada k-fold; Curvas de aprendizaje y de error vs. n_estimators</w:t>
            </w:r>
          </w:p>
        </w:tc>
        <w:tc>
          <w:tcPr>
            <w:tcW w:type="dxa" w:w="1181"/>
            <w:vMerge w:val="restart"/>
            <w:vAlign w:val="center"/>
            <w:shd w:fill="FFF5CC" w:val="clear" w:color="auto"/>
          </w:tcPr>
          <w:p>
            <w:pPr>
              <w:jc w:val="center"/>
            </w:pPr>
            <w:r/>
            <w:r>
              <w:rPr>
                <w:rFonts w:ascii="Arial" w:hAnsi="Arial" w:eastAsia="Arial"/>
                <w:b/>
                <w:i w:val="0"/>
                <w:sz w:val="11"/>
              </w:rPr>
              <w:t>Exactitud de clasificación y regresión</w:t>
            </w:r>
          </w:p>
        </w:tc>
        <w:tc>
          <w:tcPr>
            <w:tcW w:type="dxa" w:w="1944"/>
            <w:vAlign w:val="center"/>
            <w:shd w:fill="FFFFFF" w:val="clear" w:color="auto"/>
          </w:tcPr>
          <w:p>
            <w:pPr>
              <w:jc w:val="left"/>
            </w:pPr>
            <w:r/>
            <w:r>
              <w:rPr>
                <w:rFonts w:ascii="Arial" w:hAnsi="Arial" w:eastAsia="Arial"/>
                <w:b w:val="0"/>
                <w:i w:val="0"/>
                <w:sz w:val="11"/>
              </w:rPr>
              <w:t>OOB Error — Error fuera de bolsa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Accuracy en clasificación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RMSE en tareas de regresión</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Robustez ante sobreajuste (overfitting)</w:t>
            </w:r>
          </w:p>
        </w:tc>
        <w:tc>
          <w:tcPr>
            <w:tcW w:type="dxa" w:w="1944"/>
            <w:vAlign w:val="center"/>
            <w:shd w:fill="FFFFFF" w:val="clear" w:color="auto"/>
          </w:tcPr>
          <w:p>
            <w:pPr>
              <w:jc w:val="left"/>
            </w:pPr>
            <w:r/>
            <w:r>
              <w:rPr>
                <w:rFonts w:ascii="Arial" w:hAnsi="Arial" w:eastAsia="Arial"/>
                <w:b w:val="0"/>
                <w:i w:val="0"/>
                <w:sz w:val="11"/>
              </w:rPr>
              <w:t>Generalización en datos no vistos (test set)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Balance bias-variance del modelo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Estabilidad del error vs. n_estimators (curva)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 RandomForestClassifier/Regressor); MATLAB (TreeBagger); Validación cruzada k-fold</w:t>
            </w:r>
          </w:p>
        </w:tc>
        <w:tc>
          <w:tcPr>
            <w:tcW w:type="dxa" w:w="1181"/>
            <w:vAlign w:val="center"/>
            <w:shd w:fill="FFFFFF" w:val="clear" w:color="auto"/>
          </w:tcPr>
          <w:p>
            <w:pPr>
              <w:jc w:val="left"/>
            </w:pPr>
            <w:r/>
            <w:r>
              <w:rPr>
                <w:rFonts w:ascii="Arial" w:hAnsi="Arial" w:eastAsia="Arial"/>
                <w:b w:val="0"/>
                <w:i w:val="0"/>
                <w:sz w:val="11"/>
              </w:rPr>
              <w:t>Curvas de aprendizaje y de error vs. n_estimators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FUNDACIONAL ALGORÍTMICO — REFERENCIA OBLIGATORIA. Es la fuente primaria del algoritmo Random Forest utilizado en el módulo de predicción del IRE. Los hiperparámetros n_estimators, max_depth y max_features son exactamente los optimizados en el entrenamiento del modelo del IRE. OOB error y SHAP values son los instrumentos de evaluación e interpretabilidad del índice (Variable Dependiente — Algoritmo del modelo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Algoritmo Breiman (2001) implementado: RandomForestRegressor con n_estimators, max_depth y max_features en models/demand.py.</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https://doi.org/10.1023/A:1010933404324</w:t>
      </w:r>
    </w:p>
    <w:p>
      <w:pPr>
        <w:spacing w:before="160" w:after="20"/>
      </w:pPr>
      <w:r>
        <w:rPr>
          <w:rFonts w:ascii="Arial" w:hAnsi="Arial" w:eastAsia="Arial"/>
          <w:b/>
          <w:i w:val="0"/>
          <w:sz w:val="18"/>
        </w:rPr>
        <w:t xml:space="preserve">Artículo [36] — </w:t>
      </w:r>
      <w:r>
        <w:rPr>
          <w:rFonts w:ascii="Arial" w:hAnsi="Arial" w:eastAsia="Arial"/>
          <w:b/>
          <w:i/>
          <w:sz w:val="18"/>
        </w:rPr>
        <w:t>A decade of agile methodologies: Towards explaining agile software development</w:t>
      </w:r>
    </w:p>
    <w:p>
      <w:pPr>
        <w:spacing w:before="0" w:after="40"/>
      </w:pPr>
      <w:r>
        <w:rPr>
          <w:rFonts w:ascii="Arial" w:hAnsi="Arial" w:eastAsia="Arial"/>
          <w:b w:val="0"/>
          <w:i/>
          <w:sz w:val="16"/>
        </w:rPr>
        <w:t>Dingsøyr, T. et al. (2012) — Journal of Systems and Software · Q1 · JIF 4.34</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Metodologías Ágiles de Desarrollo de Software y Desempeño del Proyecto de Software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Fundamenta el uso de metodología Scrum para el desarrollo iterativo del sistema web propuesto. La velocidad del equipo (story points/sprint) y la cobertura de pruebas son métricas de gestión del proyecto de desarrollo. Se referencia en la sección de metodología de desarrollo del sistema, no en el estado del arte de e-commerce/IA/riesgo (Variable Independiente — Proceso de desar</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Metodologías Ágiles de</w:t>
              <w:br/>
              <w:t>Desarrollo de Software</w:t>
            </w:r>
          </w:p>
        </w:tc>
        <w:tc>
          <w:tcPr>
            <w:tcW w:type="dxa" w:w="1267"/>
            <w:vMerge w:val="restart"/>
            <w:vAlign w:val="center"/>
            <w:shd w:fill="F4F9FD" w:val="clear" w:color="auto"/>
          </w:tcPr>
          <w:p>
            <w:pPr>
              <w:jc w:val="left"/>
            </w:pPr>
            <w:r/>
            <w:r>
              <w:rPr>
                <w:rFonts w:ascii="Arial" w:hAnsi="Arial" w:eastAsia="Arial"/>
                <w:b w:val="0"/>
                <w:i w:val="0"/>
                <w:sz w:val="11"/>
              </w:rPr>
              <w:t>Metodologías Ágiles de Desarrollo de Software: constructo independiente conceptualizado por Dingsøyr, T. et al. (2012).</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de literatura (2000–2010); Análisis bibliométrico; Encuesta a equipos ágiles (n=109 proyectos); Jira / Trello para métricas de sprints</w:t>
            </w:r>
          </w:p>
        </w:tc>
        <w:tc>
          <w:tcPr>
            <w:tcW w:type="dxa" w:w="1181"/>
            <w:vMerge w:val="restart"/>
            <w:vAlign w:val="center"/>
            <w:shd w:fill="D6E4F0" w:val="clear" w:color="auto"/>
          </w:tcPr>
          <w:p>
            <w:pPr>
              <w:jc w:val="center"/>
            </w:pPr>
            <w:r/>
            <w:r>
              <w:rPr>
                <w:rFonts w:ascii="Arial" w:hAnsi="Arial" w:eastAsia="Arial"/>
                <w:b/>
                <w:i w:val="0"/>
                <w:sz w:val="11"/>
              </w:rPr>
              <w:t>Prácticas ágiles adoptadas</w:t>
            </w:r>
          </w:p>
        </w:tc>
        <w:tc>
          <w:tcPr>
            <w:tcW w:type="dxa" w:w="1944"/>
            <w:vAlign w:val="center"/>
            <w:shd w:fill="FFFFFF" w:val="clear" w:color="auto"/>
          </w:tcPr>
          <w:p>
            <w:pPr>
              <w:jc w:val="left"/>
            </w:pPr>
            <w:r/>
            <w:r>
              <w:rPr>
                <w:rFonts w:ascii="Arial" w:hAnsi="Arial" w:eastAsia="Arial"/>
                <w:b w:val="0"/>
                <w:i w:val="0"/>
                <w:sz w:val="11"/>
              </w:rPr>
              <w:t>N.° de ceremonias Scrum implementadas (daily, retro, review)</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 ↳ Sistema: tests automatizados en web, BFF, ai-service y móvil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Duración del sprint (semanas)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 ↳ Sistema: tests automatizados en web, BFF, ai-service y móvil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adopción de TDD — Test-Driven Development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 ↳ Sistema: tests automatizados en web, BFF, ai-service y móvil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Factores contextuales del equipo</w:t>
            </w:r>
          </w:p>
        </w:tc>
        <w:tc>
          <w:tcPr>
            <w:tcW w:type="dxa" w:w="1944"/>
            <w:vAlign w:val="center"/>
            <w:shd w:fill="FFFFFF" w:val="clear" w:color="auto"/>
          </w:tcPr>
          <w:p>
            <w:pPr>
              <w:jc w:val="left"/>
            </w:pPr>
            <w:r/>
            <w:r>
              <w:rPr>
                <w:rFonts w:ascii="Arial" w:hAnsi="Arial" w:eastAsia="Arial"/>
                <w:b w:val="0"/>
                <w:i w:val="0"/>
                <w:sz w:val="11"/>
              </w:rPr>
              <w:t>Tamaño del equipo (n.° de integrantes)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 ↳ Sistema: tests automatizados en web, BFF, ai-service y móvil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Experiencia en metodologías ágiles (años)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 ↳ Sistema: tests automatizados en web, BFF, ai-service y móvil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Distribución geográfica del equipo (local/remoto)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 ↳ Sistema: tests automatizados en web, BFF, ai-service y móvil</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del Proyecto</w:t>
              <w:br/>
              <w:t>de Software</w:t>
            </w:r>
          </w:p>
        </w:tc>
        <w:tc>
          <w:tcPr>
            <w:tcW w:type="dxa" w:w="1267"/>
            <w:vMerge w:val="restart"/>
            <w:vAlign w:val="center"/>
            <w:shd w:fill="FFF9EE" w:val="clear" w:color="auto"/>
          </w:tcPr>
          <w:p>
            <w:pPr>
              <w:jc w:val="left"/>
            </w:pPr>
            <w:r/>
            <w:r>
              <w:rPr>
                <w:rFonts w:ascii="Arial" w:hAnsi="Arial" w:eastAsia="Arial"/>
                <w:b w:val="0"/>
                <w:i w:val="0"/>
                <w:sz w:val="11"/>
              </w:rPr>
              <w:t>Desempeño del Proyecto de Software: constructo dependiente/outcome del estudio Dingsøyr, T. et al. (2012).</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de literatura (2000–2010); Análisis bibliométrico; Encuesta a equipos ágiles (n=109 proyectos); Jira / Trello para métricas de sprints</w:t>
            </w:r>
          </w:p>
        </w:tc>
        <w:tc>
          <w:tcPr>
            <w:tcW w:type="dxa" w:w="1181"/>
            <w:vMerge w:val="restart"/>
            <w:vAlign w:val="center"/>
            <w:shd w:fill="FFF5CC" w:val="clear" w:color="auto"/>
          </w:tcPr>
          <w:p>
            <w:pPr>
              <w:jc w:val="center"/>
            </w:pPr>
            <w:r/>
            <w:r>
              <w:rPr>
                <w:rFonts w:ascii="Arial" w:hAnsi="Arial" w:eastAsia="Arial"/>
                <w:b/>
                <w:i w:val="0"/>
                <w:sz w:val="11"/>
              </w:rPr>
              <w:t>Productividad del equipo</w:t>
            </w:r>
          </w:p>
        </w:tc>
        <w:tc>
          <w:tcPr>
            <w:tcW w:type="dxa" w:w="1944"/>
            <w:vAlign w:val="center"/>
            <w:shd w:fill="FFFFFF" w:val="clear" w:color="auto"/>
          </w:tcPr>
          <w:p>
            <w:pPr>
              <w:jc w:val="left"/>
            </w:pPr>
            <w:r/>
            <w:r>
              <w:rPr>
                <w:rFonts w:ascii="Arial" w:hAnsi="Arial" w:eastAsia="Arial"/>
                <w:b w:val="0"/>
                <w:i w:val="0"/>
                <w:sz w:val="11"/>
              </w:rPr>
              <w:t>Velocidad del equipo (story points/sprint)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completitud de sprints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Déficit de entrega por sprint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Calidad del software entregado</w:t>
            </w:r>
          </w:p>
        </w:tc>
        <w:tc>
          <w:tcPr>
            <w:tcW w:type="dxa" w:w="1944"/>
            <w:vAlign w:val="center"/>
            <w:shd w:fill="FFFFFF" w:val="clear" w:color="auto"/>
          </w:tcPr>
          <w:p>
            <w:pPr>
              <w:jc w:val="left"/>
            </w:pPr>
            <w:r/>
            <w:r>
              <w:rPr>
                <w:rFonts w:ascii="Arial" w:hAnsi="Arial" w:eastAsia="Arial"/>
                <w:b w:val="0"/>
                <w:i w:val="0"/>
                <w:sz w:val="11"/>
              </w:rPr>
              <w:t>N.° de defectos detectados por sprint</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Cobertura de pruebas unitarias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Deuda técnica acumulada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(2000–2010); Análisis bibliométrico; Encuesta a equipos ágiles (n=109 proyectos)</w:t>
            </w:r>
          </w:p>
        </w:tc>
        <w:tc>
          <w:tcPr>
            <w:tcW w:type="dxa" w:w="1181"/>
            <w:vAlign w:val="center"/>
            <w:shd w:fill="FFFFFF" w:val="clear" w:color="auto"/>
          </w:tcPr>
          <w:p>
            <w:pPr>
              <w:jc w:val="left"/>
            </w:pPr>
            <w:r/>
            <w:r>
              <w:rPr>
                <w:rFonts w:ascii="Arial" w:hAnsi="Arial" w:eastAsia="Arial"/>
                <w:b w:val="0"/>
                <w:i w:val="0"/>
                <w:sz w:val="11"/>
              </w:rPr>
              <w:t>Jira / Trello para métricas de sprints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Fundamenta el uso de metodología Scrum para el desarrollo iterativo del sistema web propuesto. La velocidad del equipo (story points/sprint) y la cobertura de pruebas son métricas de gestión del proyecto de desarrollo. Se referencia en la sección de metodología de desarrollo del sistema, no en el estado del arte de e-commerce/IA/riesgo (Variable Independiente — Proceso de desarrollo).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Metodología ágil/TDD en repositorio; pruebas unitarias y de integración en cada módulo (web, BFF, ai-service, móvil).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https://doi.org/10.1016/j.jss.2012.02.033</w:t>
      </w:r>
    </w:p>
    <w:p>
      <w:pPr>
        <w:spacing w:before="160" w:after="20"/>
      </w:pPr>
      <w:r>
        <w:rPr>
          <w:rFonts w:ascii="Arial" w:hAnsi="Arial" w:eastAsia="Arial"/>
          <w:b/>
          <w:i w:val="0"/>
          <w:sz w:val="18"/>
        </w:rPr>
        <w:t xml:space="preserve">Artículo [37] — </w:t>
      </w:r>
      <w:r>
        <w:rPr>
          <w:rFonts w:ascii="Arial" w:hAnsi="Arial" w:eastAsia="Arial"/>
          <w:b/>
          <w:i/>
          <w:sz w:val="18"/>
        </w:rPr>
        <w:t>An ensemble-based model for predicting agile software development effort</w:t>
      </w:r>
    </w:p>
    <w:p>
      <w:pPr>
        <w:spacing w:before="0" w:after="40"/>
      </w:pPr>
      <w:r>
        <w:rPr>
          <w:rFonts w:ascii="Arial" w:hAnsi="Arial" w:eastAsia="Arial"/>
          <w:b w:val="0"/>
          <w:i/>
          <w:sz w:val="16"/>
        </w:rPr>
        <w:t>Malgonde, O. y Chari, K. (2019) — Empirical Software Engineering · Q1 · DOI: 10.1007/s10664-019-09745-1</w:t>
      </w:r>
    </w:p>
    <w:p>
      <w:pPr>
        <w:spacing w:before="0" w:after="60"/>
      </w:pPr>
      <w:r>
        <w:rPr>
          <w:rFonts w:ascii="Arial" w:hAnsi="Arial" w:eastAsia="Arial"/>
          <w:b/>
          <w:i w:val="0"/>
          <w:color w:val="C00000"/>
          <w:sz w:val="16"/>
        </w:rPr>
        <w:t>NOTA METODOLÓGICA: REUBICADO AL ANEXO DE METODOLOGIA. Reemplaza referencia inexistente Salgonde &amp; Chari (2021) ISM. Tema: esfuerzo en desarrollo agil con ML; NO incluir en estado del arte central de e-commerce/IA/riesgo.</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Variables de Entrada para Predicción del Desempeño de Sprints y Desempeño Predicho del Sprint en el contexto del estudio original.</w:t>
            </w:r>
          </w:p>
        </w:tc>
        <w:tc>
          <w:tcPr>
            <w:tcW w:type="dxa" w:w="1512"/>
            <w:vAlign w:val="center"/>
            <w:shd w:fill="F8F9FA" w:val="clear" w:color="auto"/>
          </w:tcPr>
          <w:p>
            <w:pPr>
              <w:jc w:val="left"/>
            </w:pPr>
            <w:r/>
            <w:r>
              <w:rPr>
                <w:rFonts w:ascii="Arial" w:hAnsi="Arial" w:eastAsia="Arial"/>
                <w:b w:val="0"/>
                <w:i w:val="0"/>
                <w:sz w:val="12"/>
              </w:rPr>
              <w:t>Modelado predictivo + validación temporal</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REUBICADO AL ANEXO DE METODOLOGIA. Reemplaza referencia inexistente Salgonde &amp; Chari (2021) ISM. Tema: esfuerzo en desarrollo agil con ML; NO incluir en estado del arte central de e-commerce/IA/riesgo.</w:t>
            </w:r>
          </w:p>
        </w:tc>
        <w:tc>
          <w:tcPr>
            <w:tcW w:type="dxa" w:w="1944"/>
            <w:vAlign w:val="center"/>
            <w:shd w:fill="F8F9FA" w:val="clear" w:color="auto"/>
          </w:tcPr>
          <w:p>
            <w:pPr>
              <w:jc w:val="left"/>
            </w:pPr>
            <w:r/>
            <w:r>
              <w:rPr>
                <w:rFonts w:ascii="Arial" w:hAnsi="Arial" w:eastAsia="Arial"/>
                <w:b w:val="0"/>
                <w:i w:val="0"/>
                <w:sz w:val="12"/>
              </w:rPr>
              <w:t>REUBICADO AL ANEXO DE METODOLOGÍA. Predice el rendimiento de sprints ágiles con ML; no guarda relación con e-commerce, IA comercial ni riesgo empresarial. Se incluye en este documento solo como referencia metodológica complementaria para el plan de gestión del proyecto. NO incluir en el capítulo de Estado del Arte de la tesis; puede citarse en la sección de gestión del proyecto</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Variables de Entrada para</w:t>
              <w:br/>
              <w:t>Predicción del Desempeño</w:t>
              <w:br/>
              <w:t>de Sprints</w:t>
            </w:r>
          </w:p>
        </w:tc>
        <w:tc>
          <w:tcPr>
            <w:tcW w:type="dxa" w:w="1267"/>
            <w:vMerge w:val="restart"/>
            <w:vAlign w:val="center"/>
            <w:shd w:fill="F4F9FD" w:val="clear" w:color="auto"/>
          </w:tcPr>
          <w:p>
            <w:pPr>
              <w:jc w:val="left"/>
            </w:pPr>
            <w:r/>
            <w:r>
              <w:rPr>
                <w:rFonts w:ascii="Arial" w:hAnsi="Arial" w:eastAsia="Arial"/>
                <w:b w:val="0"/>
                <w:i w:val="0"/>
                <w:sz w:val="11"/>
              </w:rPr>
              <w:t>Variables de Entrada para Predicción del Desempeño de Sprints: constructo independiente conceptualizado por Malgonde, O. y Chari, K. (2019).</w:t>
            </w:r>
          </w:p>
        </w:tc>
        <w:tc>
          <w:tcPr>
            <w:tcW w:type="dxa" w:w="1267"/>
            <w:vMerge w:val="restart"/>
            <w:vAlign w:val="center"/>
            <w:shd w:fill="F4F9FD" w:val="clear" w:color="auto"/>
          </w:tcPr>
          <w:p>
            <w:pPr>
              <w:jc w:val="left"/>
            </w:pPr>
            <w:r/>
            <w:r>
              <w:rPr>
                <w:rFonts w:ascii="Arial" w:hAnsi="Arial" w:eastAsia="Arial"/>
                <w:b w:val="0"/>
                <w:i w:val="0"/>
                <w:sz w:val="11"/>
              </w:rPr>
              <w:t>Medición operativa: Python (scikit-learn); Jira / Azure DevOps (datos históricos de sprints reales); Validación cruzada k-fold; SMOTE para balanceo de clases</w:t>
            </w:r>
          </w:p>
        </w:tc>
        <w:tc>
          <w:tcPr>
            <w:tcW w:type="dxa" w:w="1181"/>
            <w:vMerge w:val="restart"/>
            <w:vAlign w:val="center"/>
            <w:shd w:fill="D6E4F0" w:val="clear" w:color="auto"/>
          </w:tcPr>
          <w:p>
            <w:pPr>
              <w:jc w:val="center"/>
            </w:pPr>
            <w:r/>
            <w:r>
              <w:rPr>
                <w:rFonts w:ascii="Arial" w:hAnsi="Arial" w:eastAsia="Arial"/>
                <w:b/>
                <w:i w:val="0"/>
                <w:sz w:val="11"/>
              </w:rPr>
              <w:t>Datos históricos del sprint</w:t>
            </w:r>
          </w:p>
        </w:tc>
        <w:tc>
          <w:tcPr>
            <w:tcW w:type="dxa" w:w="1944"/>
            <w:vAlign w:val="center"/>
            <w:shd w:fill="FFFFFF" w:val="clear" w:color="auto"/>
          </w:tcPr>
          <w:p>
            <w:pPr>
              <w:jc w:val="left"/>
            </w:pPr>
            <w:r/>
            <w:r>
              <w:rPr>
                <w:rFonts w:ascii="Arial" w:hAnsi="Arial" w:eastAsia="Arial"/>
                <w:b w:val="0"/>
                <w:i w:val="0"/>
                <w:sz w:val="11"/>
              </w:rPr>
              <w:t>Velocidad promedio histórica (story points/sprint)</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 ↳ Sistema: docs/ metodología — anexo, no estado del arte central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items en el product backlog</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 ↳ Sistema: docs/ metodología — anexo, no estado del arte central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Capacidad del equipo disponible (horas-persona)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 ↳ Sistema: docs/ metodología — anexo, no estado del arte central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Modelos de ML aplicados al sprint</w:t>
            </w:r>
          </w:p>
        </w:tc>
        <w:tc>
          <w:tcPr>
            <w:tcW w:type="dxa" w:w="1944"/>
            <w:vAlign w:val="center"/>
            <w:shd w:fill="FFFFFF" w:val="clear" w:color="auto"/>
          </w:tcPr>
          <w:p>
            <w:pPr>
              <w:jc w:val="left"/>
            </w:pPr>
            <w:r/>
            <w:r>
              <w:rPr>
                <w:rFonts w:ascii="Arial" w:hAnsi="Arial" w:eastAsia="Arial"/>
                <w:b w:val="0"/>
                <w:i w:val="0"/>
                <w:sz w:val="11"/>
              </w:rPr>
              <w:t>Regresión lineal múltiple (baseline)</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 ↳ Sistema: docs/ metodología — anexo, no estado del arte central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Random Forest Regressor</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 ↳ Sistema: docs/ metodología — anexo, no estado del arte central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XGBoost Regressor (gradient boosting)</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 ↳ Sistema: docs/ metodología — anexo, no estado del arte central</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Predicho</w:t>
              <w:br/>
              <w:t>del Sprint</w:t>
            </w:r>
          </w:p>
        </w:tc>
        <w:tc>
          <w:tcPr>
            <w:tcW w:type="dxa" w:w="1267"/>
            <w:vMerge w:val="restart"/>
            <w:vAlign w:val="center"/>
            <w:shd w:fill="FFF9EE" w:val="clear" w:color="auto"/>
          </w:tcPr>
          <w:p>
            <w:pPr>
              <w:jc w:val="left"/>
            </w:pPr>
            <w:r/>
            <w:r>
              <w:rPr>
                <w:rFonts w:ascii="Arial" w:hAnsi="Arial" w:eastAsia="Arial"/>
                <w:b w:val="0"/>
                <w:i w:val="0"/>
                <w:sz w:val="11"/>
              </w:rPr>
              <w:t>Desempeño Predicho del Sprint: constructo dependiente/outcome del estudio Malgonde, O. y Chari, K. (2019).</w:t>
            </w:r>
          </w:p>
        </w:tc>
        <w:tc>
          <w:tcPr>
            <w:tcW w:type="dxa" w:w="1267"/>
            <w:vMerge w:val="restart"/>
            <w:vAlign w:val="center"/>
            <w:shd w:fill="FFF9EE" w:val="clear" w:color="auto"/>
          </w:tcPr>
          <w:p>
            <w:pPr>
              <w:jc w:val="left"/>
            </w:pPr>
            <w:r/>
            <w:r>
              <w:rPr>
                <w:rFonts w:ascii="Arial" w:hAnsi="Arial" w:eastAsia="Arial"/>
                <w:b w:val="0"/>
                <w:i w:val="0"/>
                <w:sz w:val="11"/>
              </w:rPr>
              <w:t>Medición operativa: Python (scikit-learn); Jira / Azure DevOps (datos históricos de sprints reales); Validación cruzada k-fold; SMOTE para balanceo de clases</w:t>
            </w:r>
          </w:p>
        </w:tc>
        <w:tc>
          <w:tcPr>
            <w:tcW w:type="dxa" w:w="1181"/>
            <w:vMerge w:val="restart"/>
            <w:vAlign w:val="center"/>
            <w:shd w:fill="FFF5CC" w:val="clear" w:color="auto"/>
          </w:tcPr>
          <w:p>
            <w:pPr>
              <w:jc w:val="center"/>
            </w:pPr>
            <w:r/>
            <w:r>
              <w:rPr>
                <w:rFonts w:ascii="Arial" w:hAnsi="Arial" w:eastAsia="Arial"/>
                <w:b/>
                <w:i w:val="0"/>
                <w:sz w:val="11"/>
              </w:rPr>
              <w:t>Exactitud de la predicción</w:t>
            </w:r>
          </w:p>
        </w:tc>
        <w:tc>
          <w:tcPr>
            <w:tcW w:type="dxa" w:w="1944"/>
            <w:vAlign w:val="center"/>
            <w:shd w:fill="FFFFFF" w:val="clear" w:color="auto"/>
          </w:tcPr>
          <w:p>
            <w:pPr>
              <w:jc w:val="left"/>
            </w:pPr>
            <w:r/>
            <w:r>
              <w:rPr>
                <w:rFonts w:ascii="Arial" w:hAnsi="Arial" w:eastAsia="Arial"/>
                <w:b w:val="0"/>
                <w:i w:val="0"/>
                <w:sz w:val="11"/>
              </w:rPr>
              <w:t>RMSE — Raíz del Error Cuadrático Medio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MAE — Error Absoluto Medio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R² — Coeficiente de determinación</w:t>
            </w:r>
          </w:p>
        </w:tc>
        <w:tc>
          <w:tcPr>
            <w:tcW w:type="dxa" w:w="749"/>
            <w:vAlign w:val="center"/>
            <w:shd w:fill="FFFFFF" w:val="clear" w:color="auto"/>
          </w:tcPr>
          <w:p>
            <w:pPr>
              <w:jc w:val="center"/>
            </w:pPr>
            <w:r/>
            <w:r>
              <w:rPr>
                <w:rFonts w:ascii="Arial" w:hAnsi="Arial" w:eastAsia="Arial"/>
                <w:b w:val="0"/>
                <w:i w:val="0"/>
                <w:sz w:val="11"/>
              </w:rPr>
              <w:t>Intervalo</w:t>
            </w:r>
          </w:p>
        </w:tc>
        <w:tc>
          <w:tcPr>
            <w:tcW w:type="dxa" w:w="893"/>
            <w:vAlign w:val="center"/>
            <w:shd w:fill="FFFFFF" w:val="clear" w:color="auto"/>
          </w:tcPr>
          <w:p>
            <w:pPr>
              <w:jc w:val="left"/>
            </w:pPr>
            <w:r/>
            <w:r>
              <w:rPr>
                <w:rFonts w:ascii="Arial" w:hAnsi="Arial" w:eastAsia="Arial"/>
                <w:b w:val="0"/>
                <w:i w:val="0"/>
                <w:sz w:val="11"/>
              </w:rPr>
              <w:t>0–1 o índice normalizado</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Utilidad práctica del modelo</w:t>
            </w:r>
          </w:p>
        </w:tc>
        <w:tc>
          <w:tcPr>
            <w:tcW w:type="dxa" w:w="1944"/>
            <w:vAlign w:val="center"/>
            <w:shd w:fill="FFFFFF" w:val="clear" w:color="auto"/>
          </w:tcPr>
          <w:p>
            <w:pPr>
              <w:jc w:val="left"/>
            </w:pPr>
            <w:r/>
            <w:r>
              <w:rPr>
                <w:rFonts w:ascii="Arial" w:hAnsi="Arial" w:eastAsia="Arial"/>
                <w:b w:val="0"/>
                <w:i w:val="0"/>
                <w:sz w:val="11"/>
              </w:rPr>
              <w:t>Reducción del déficit de entrega del sprint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 de sprints con predicción dentro del margen ±10%</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ahorrado en planificación (horas/sprint)</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Python (scikit-learn); Jira / Azure DevOps (datos históricos de sprints reales); Validación cruzada k-fold</w:t>
            </w:r>
          </w:p>
        </w:tc>
        <w:tc>
          <w:tcPr>
            <w:tcW w:type="dxa" w:w="1181"/>
            <w:vAlign w:val="center"/>
            <w:shd w:fill="FFFFFF" w:val="clear" w:color="auto"/>
          </w:tcPr>
          <w:p>
            <w:pPr>
              <w:jc w:val="left"/>
            </w:pPr>
            <w:r/>
            <w:r>
              <w:rPr>
                <w:rFonts w:ascii="Arial" w:hAnsi="Arial" w:eastAsia="Arial"/>
                <w:b w:val="0"/>
                <w:i w:val="0"/>
                <w:sz w:val="11"/>
              </w:rPr>
              <w:t>SMOTE para balanceo de clases</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REUBICADO AL ANEXO DE METODOLOGÍA. Predice el rendimiento de sprints ágiles con ML; no guarda relación con e-commerce, IA comercial ni riesgo empresarial. Se incluye en este documento solo como referencia metodológica complementaria para el plan de gestión del proyecto. NO incluir en el capítulo de Estado del Arte de la tesis; puede citarse en la sección de gestión del proyecto.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Anexo metodológico: proceso de desarrollo documentado en docs/; no evidencia directa del estado del arte central.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https://doi.org/10.1007/s10664-019-09745-1</w:t>
      </w:r>
    </w:p>
    <w:p>
      <w:pPr>
        <w:spacing w:before="160" w:after="20"/>
      </w:pPr>
      <w:r>
        <w:rPr>
          <w:rFonts w:ascii="Arial" w:hAnsi="Arial" w:eastAsia="Arial"/>
          <w:b/>
          <w:i w:val="0"/>
          <w:sz w:val="18"/>
        </w:rPr>
        <w:t xml:space="preserve">Artículo [38] — </w:t>
      </w:r>
      <w:r>
        <w:rPr>
          <w:rFonts w:ascii="Arial" w:hAnsi="Arial" w:eastAsia="Arial"/>
          <w:b/>
          <w:i/>
          <w:sz w:val="18"/>
        </w:rPr>
        <w:t>Hybrid software development approaches in practice: A European perspective</w:t>
      </w:r>
    </w:p>
    <w:p>
      <w:pPr>
        <w:spacing w:before="0" w:after="40"/>
      </w:pPr>
      <w:r>
        <w:rPr>
          <w:rFonts w:ascii="Arial" w:hAnsi="Arial" w:eastAsia="Arial"/>
          <w:b w:val="0"/>
          <w:i/>
          <w:sz w:val="16"/>
        </w:rPr>
        <w:t>Kuhrmann, M. et al. (2018) — IEEE Software · Q1 · JIF 4.40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Enfoque Híbrido de Desarrollo (Ágil + Tradicional Planificado) y Efectividad del Proceso de Desarrollo Híbrido en el contexto del estudio original.</w:t>
            </w:r>
          </w:p>
        </w:tc>
        <w:tc>
          <w:tcPr>
            <w:tcW w:type="dxa" w:w="1512"/>
            <w:vAlign w:val="center"/>
            <w:shd w:fill="F8F9FA" w:val="clear" w:color="auto"/>
          </w:tcPr>
          <w:p>
            <w:pPr>
              <w:jc w:val="left"/>
            </w:pPr>
            <w:r/>
            <w:r>
              <w:rPr>
                <w:rFonts w:ascii="Arial" w:hAnsi="Arial" w:eastAsia="Arial"/>
                <w:b w:val="0"/>
                <w:i w:val="0"/>
                <w:sz w:val="12"/>
              </w:rPr>
              <w:t>Encuesta cuantitativa</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Justifica el enfoque híbrido ágil-planificado adoptado en el desarrollo del sistema (Scrum + fases formales de tesis). La entrega en plazo y la satisfacción del cliente son métricas de éxito del proyecto de desarrollo. Se referencia en la sección de metodología de desarrollo; complementa al artículo 36 en la justificación del proceso de implementación del sistema propuesto.</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Enfoque Híbrido de</w:t>
              <w:br/>
              <w:t>Desarrollo (Ágil +</w:t>
              <w:br/>
              <w:t>Tradicional Planificado)</w:t>
            </w:r>
          </w:p>
        </w:tc>
        <w:tc>
          <w:tcPr>
            <w:tcW w:type="dxa" w:w="1267"/>
            <w:vMerge w:val="restart"/>
            <w:vAlign w:val="center"/>
            <w:shd w:fill="F4F9FD" w:val="clear" w:color="auto"/>
          </w:tcPr>
          <w:p>
            <w:pPr>
              <w:jc w:val="left"/>
            </w:pPr>
            <w:r/>
            <w:r>
              <w:rPr>
                <w:rFonts w:ascii="Arial" w:hAnsi="Arial" w:eastAsia="Arial"/>
                <w:b w:val="0"/>
                <w:i w:val="0"/>
                <w:sz w:val="11"/>
              </w:rPr>
              <w:t>Enfoque Híbrido de Desarrollo (Ágil + Tradicional Planificado): constructo independiente conceptualizado por Kuhrmann, M. et al. (2018).</w:t>
            </w:r>
          </w:p>
        </w:tc>
        <w:tc>
          <w:tcPr>
            <w:tcW w:type="dxa" w:w="1267"/>
            <w:vMerge w:val="restart"/>
            <w:vAlign w:val="center"/>
            <w:shd w:fill="F4F9FD" w:val="clear" w:color="auto"/>
          </w:tcPr>
          <w:p>
            <w:pPr>
              <w:jc w:val="left"/>
            </w:pPr>
            <w:r/>
            <w:r>
              <w:rPr>
                <w:rFonts w:ascii="Arial" w:hAnsi="Arial" w:eastAsia="Arial"/>
                <w:b w:val="0"/>
                <w:i w:val="0"/>
                <w:sz w:val="11"/>
              </w:rPr>
              <w:t>Medición operativa: Encuesta a organizaciones europeas (n=732 respuestas válidas); Análisis estadístico descriptivo y factorial; Clustering (k-means) de perfiles de proceso; R / SPSS para análisis multivariado</w:t>
            </w:r>
          </w:p>
        </w:tc>
        <w:tc>
          <w:tcPr>
            <w:tcW w:type="dxa" w:w="1181"/>
            <w:vMerge w:val="restart"/>
            <w:vAlign w:val="center"/>
            <w:shd w:fill="D6E4F0" w:val="clear" w:color="auto"/>
          </w:tcPr>
          <w:p>
            <w:pPr>
              <w:jc w:val="center"/>
            </w:pPr>
            <w:r/>
            <w:r>
              <w:rPr>
                <w:rFonts w:ascii="Arial" w:hAnsi="Arial" w:eastAsia="Arial"/>
                <w:b/>
                <w:i w:val="0"/>
                <w:sz w:val="11"/>
              </w:rPr>
              <w:t>Configuración del proceso híbrido</w:t>
            </w:r>
          </w:p>
        </w:tc>
        <w:tc>
          <w:tcPr>
            <w:tcW w:type="dxa" w:w="1944"/>
            <w:vAlign w:val="center"/>
            <w:shd w:fill="FFFFFF" w:val="clear" w:color="auto"/>
          </w:tcPr>
          <w:p>
            <w:pPr>
              <w:jc w:val="left"/>
            </w:pPr>
            <w:r/>
            <w:r>
              <w:rPr>
                <w:rFonts w:ascii="Arial" w:hAnsi="Arial" w:eastAsia="Arial"/>
                <w:b w:val="0"/>
                <w:i w:val="0"/>
                <w:sz w:val="11"/>
              </w:rPr>
              <w:t>% de prácticas ágiles adoptadas en el proceso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 ↳ Sistema: KPIs panel admin (ventas, ganancia, demanda semanal)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 de prácticas tradicionales (waterfall) mantenidas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 ↳ Sistema: KPIs panel admin (ventas, ganancia, demanda semanal)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fases formales definidas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 ↳ Sistema: KPIs panel admin (ventas, ganancia, demanda semanal)</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Contexto organizacional de aplicación</w:t>
            </w:r>
          </w:p>
        </w:tc>
        <w:tc>
          <w:tcPr>
            <w:tcW w:type="dxa" w:w="1944"/>
            <w:vAlign w:val="center"/>
            <w:shd w:fill="FFFFFF" w:val="clear" w:color="auto"/>
          </w:tcPr>
          <w:p>
            <w:pPr>
              <w:jc w:val="left"/>
            </w:pPr>
            <w:r/>
            <w:r>
              <w:rPr>
                <w:rFonts w:ascii="Arial" w:hAnsi="Arial" w:eastAsia="Arial"/>
                <w:b w:val="0"/>
                <w:i w:val="0"/>
                <w:sz w:val="11"/>
              </w:rPr>
              <w:t>Tamaño de la organización (n.° de empleados)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 ↳ Sistema: KPIs panel admin (ventas, ganancia, demanda semanal)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Dominio de la aplicación desarrollada (sector)</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 ↳ Sistema: KPIs panel admin (ventas, ganancia, demanda semanal)</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años de experiencia con enfoques híbridos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 ↳ Sistema: KPIs panel admin (ventas, ganancia, demanda semanal)</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Efectividad del Proceso</w:t>
              <w:br/>
              <w:t>de Desarrollo Híbrido</w:t>
            </w:r>
          </w:p>
        </w:tc>
        <w:tc>
          <w:tcPr>
            <w:tcW w:type="dxa" w:w="1267"/>
            <w:vMerge w:val="restart"/>
            <w:vAlign w:val="center"/>
            <w:shd w:fill="FFF9EE" w:val="clear" w:color="auto"/>
          </w:tcPr>
          <w:p>
            <w:pPr>
              <w:jc w:val="left"/>
            </w:pPr>
            <w:r/>
            <w:r>
              <w:rPr>
                <w:rFonts w:ascii="Arial" w:hAnsi="Arial" w:eastAsia="Arial"/>
                <w:b w:val="0"/>
                <w:i w:val="0"/>
                <w:sz w:val="11"/>
              </w:rPr>
              <w:t>Efectividad del Proceso de Desarrollo Híbrido: constructo dependiente/outcome del estudio Kuhrmann, M. et al. (2018).</w:t>
            </w:r>
          </w:p>
        </w:tc>
        <w:tc>
          <w:tcPr>
            <w:tcW w:type="dxa" w:w="1267"/>
            <w:vMerge w:val="restart"/>
            <w:vAlign w:val="center"/>
            <w:shd w:fill="FFF9EE" w:val="clear" w:color="auto"/>
          </w:tcPr>
          <w:p>
            <w:pPr>
              <w:jc w:val="left"/>
            </w:pPr>
            <w:r/>
            <w:r>
              <w:rPr>
                <w:rFonts w:ascii="Arial" w:hAnsi="Arial" w:eastAsia="Arial"/>
                <w:b w:val="0"/>
                <w:i w:val="0"/>
                <w:sz w:val="11"/>
              </w:rPr>
              <w:t>Medición operativa: Encuesta a organizaciones europeas (n=732 respuestas válidas); Análisis estadístico descriptivo y factorial; Clustering (k-means) de perfiles de proceso; R / SPSS para análisis multivariado</w:t>
            </w:r>
          </w:p>
        </w:tc>
        <w:tc>
          <w:tcPr>
            <w:tcW w:type="dxa" w:w="1181"/>
            <w:vMerge w:val="restart"/>
            <w:vAlign w:val="center"/>
            <w:shd w:fill="FFF5CC" w:val="clear" w:color="auto"/>
          </w:tcPr>
          <w:p>
            <w:pPr>
              <w:jc w:val="center"/>
            </w:pPr>
            <w:r/>
            <w:r>
              <w:rPr>
                <w:rFonts w:ascii="Arial" w:hAnsi="Arial" w:eastAsia="Arial"/>
                <w:b/>
                <w:i w:val="0"/>
                <w:sz w:val="11"/>
              </w:rPr>
              <w:t>Éxito del proyecto</w:t>
            </w:r>
          </w:p>
        </w:tc>
        <w:tc>
          <w:tcPr>
            <w:tcW w:type="dxa" w:w="1944"/>
            <w:vAlign w:val="center"/>
            <w:shd w:fill="FFFFFF" w:val="clear" w:color="auto"/>
          </w:tcPr>
          <w:p>
            <w:pPr>
              <w:jc w:val="left"/>
            </w:pPr>
            <w:r/>
            <w:r>
              <w:rPr>
                <w:rFonts w:ascii="Arial" w:hAnsi="Arial" w:eastAsia="Arial"/>
                <w:b w:val="0"/>
                <w:i w:val="0"/>
                <w:sz w:val="11"/>
              </w:rPr>
              <w:t>Entrega en plazo (% de proyectos a tiempo)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Desviación de presupuesto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Satisfacción del cliente con el producto (Likert)</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Flexibilidad y control del proceso</w:t>
            </w:r>
          </w:p>
        </w:tc>
        <w:tc>
          <w:tcPr>
            <w:tcW w:type="dxa" w:w="1944"/>
            <w:vAlign w:val="center"/>
            <w:shd w:fill="FFFFFF" w:val="clear" w:color="auto"/>
          </w:tcPr>
          <w:p>
            <w:pPr>
              <w:jc w:val="left"/>
            </w:pPr>
            <w:r/>
            <w:r>
              <w:rPr>
                <w:rFonts w:ascii="Arial" w:hAnsi="Arial" w:eastAsia="Arial"/>
                <w:b w:val="0"/>
                <w:i w:val="0"/>
                <w:sz w:val="11"/>
              </w:rPr>
              <w:t>Capacidad de respuesta a cambios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Nivel de documentación generada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riesgos identificados y mitigados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Encuesta a organizaciones europeas (n=732 respuestas válidas); Análisis estadístico descriptivo y factorial; Clustering (k-means) de perfiles de proceso</w:t>
            </w:r>
          </w:p>
        </w:tc>
        <w:tc>
          <w:tcPr>
            <w:tcW w:type="dxa" w:w="1181"/>
            <w:vAlign w:val="center"/>
            <w:shd w:fill="FFFFFF" w:val="clear" w:color="auto"/>
          </w:tcPr>
          <w:p>
            <w:pPr>
              <w:jc w:val="left"/>
            </w:pPr>
            <w:r/>
            <w:r>
              <w:rPr>
                <w:rFonts w:ascii="Arial" w:hAnsi="Arial" w:eastAsia="Arial"/>
                <w:b w:val="0"/>
                <w:i w:val="0"/>
                <w:sz w:val="11"/>
              </w:rPr>
              <w:t>R / SPSS para análisis multivariado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Justifica el enfoque híbrido ágil-planificado adoptado en el desarrollo del sistema (Scrum + fases formales de tesis). La entrega en plazo y la satisfacción del cliente son métricas de éxito del proyecto de desarrollo. Se referencia en la sección de metodología de desarrollo; complementa al artículo 36 en la justificación del proceso de implementación del sistema propuesto.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Analítica descriptiva en panel admin: KPIs ventas, ganancia (admin), unidades (staff), gráficos de demanda semanal.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https://doi.org/10.1109/ms.2018.110161245</w:t>
      </w:r>
    </w:p>
    <w:p>
      <w:pPr>
        <w:spacing w:before="160" w:after="20"/>
      </w:pPr>
      <w:r>
        <w:rPr>
          <w:rFonts w:ascii="Arial" w:hAnsi="Arial" w:eastAsia="Arial"/>
          <w:b/>
          <w:i w:val="0"/>
          <w:sz w:val="18"/>
        </w:rPr>
        <w:t xml:space="preserve">Artículo [39] — </w:t>
      </w:r>
      <w:r>
        <w:rPr>
          <w:rFonts w:ascii="Arial" w:hAnsi="Arial" w:eastAsia="Arial"/>
          <w:b/>
          <w:i/>
          <w:sz w:val="18"/>
        </w:rPr>
        <w:t>Prescriptive analytics: Literature review and research challenges</w:t>
      </w:r>
    </w:p>
    <w:p>
      <w:pPr>
        <w:spacing w:before="0" w:after="40"/>
      </w:pPr>
      <w:r>
        <w:rPr>
          <w:rFonts w:ascii="Arial" w:hAnsi="Arial" w:eastAsia="Arial"/>
          <w:b w:val="0"/>
          <w:i/>
          <w:sz w:val="16"/>
        </w:rPr>
        <w:t>Lepenioti, K. et al. (2020) — International Journal of Information Management · Q1 · JIF 18.70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Analítica Prescriptiva para Optimización de Decisiones y Valor de las Decisiones Prescritas por el Sistema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Fundamenta la analítica prescriptiva del módulo IA: el sistema no solo predice el IRE, sino que prescribe acciones correctivas (ajustar stock, modificar pedidos a proveedores, revisar precios). El ROI de decisiones prescritas y la tasa de adopción de prescripciones son KPIs de impacto gerencial del módulo de recomendaciones del sistema (Variable Dependiente — A</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Analítica Prescriptiva</w:t>
              <w:br/>
              <w:t>para Optimización de</w:t>
              <w:br/>
              <w:t>Decisiones</w:t>
            </w:r>
          </w:p>
        </w:tc>
        <w:tc>
          <w:tcPr>
            <w:tcW w:type="dxa" w:w="1267"/>
            <w:vMerge w:val="restart"/>
            <w:vAlign w:val="center"/>
            <w:shd w:fill="F4F9FD" w:val="clear" w:color="auto"/>
          </w:tcPr>
          <w:p>
            <w:pPr>
              <w:jc w:val="left"/>
            </w:pPr>
            <w:r/>
            <w:r>
              <w:rPr>
                <w:rFonts w:ascii="Arial" w:hAnsi="Arial" w:eastAsia="Arial"/>
                <w:b w:val="0"/>
                <w:i w:val="0"/>
                <w:sz w:val="11"/>
              </w:rPr>
              <w:t>Analítica Prescriptiva para Optimización de Decisiones: constructo independiente conceptualizado por Lepenioti, K. et al. (2020).</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(PRISMA) — 209 publicaciones (Scopus/WoS); Taxonomía de técnicas (categorización inductiva); Python / IBM CPLEX para optimización; Framework de madurez de analítica prescriptiva</w:t>
            </w:r>
          </w:p>
        </w:tc>
        <w:tc>
          <w:tcPr>
            <w:tcW w:type="dxa" w:w="1181"/>
            <w:vMerge w:val="restart"/>
            <w:vAlign w:val="center"/>
            <w:shd w:fill="D6E4F0" w:val="clear" w:color="auto"/>
          </w:tcPr>
          <w:p>
            <w:pPr>
              <w:jc w:val="center"/>
            </w:pPr>
            <w:r/>
            <w:r>
              <w:rPr>
                <w:rFonts w:ascii="Arial" w:hAnsi="Arial" w:eastAsia="Arial"/>
                <w:b/>
                <w:i w:val="0"/>
                <w:sz w:val="11"/>
              </w:rPr>
              <w:t>Tipos de técnicas de analítica prescriptiva</w:t>
            </w:r>
          </w:p>
        </w:tc>
        <w:tc>
          <w:tcPr>
            <w:tcW w:type="dxa" w:w="1944"/>
            <w:vAlign w:val="center"/>
            <w:shd w:fill="FFFFFF" w:val="clear" w:color="auto"/>
          </w:tcPr>
          <w:p>
            <w:pPr>
              <w:jc w:val="left"/>
            </w:pPr>
            <w:r/>
            <w:r>
              <w:rPr>
                <w:rFonts w:ascii="Arial" w:hAnsi="Arial" w:eastAsia="Arial"/>
                <w:b w:val="0"/>
                <w:i w:val="0"/>
                <w:sz w:val="11"/>
              </w:rPr>
              <w:t>Optimización matemática (PL, PNL, algoritmos evolutivos)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Simulación (Monte Carlo, Discrete Event Simulation — DES)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Reglas de negocio y sistemas expertos basados en IA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Nivel de automatización de la prescripción</w:t>
            </w:r>
          </w:p>
        </w:tc>
        <w:tc>
          <w:tcPr>
            <w:tcW w:type="dxa" w:w="1944"/>
            <w:vAlign w:val="center"/>
            <w:shd w:fill="FFFFFF" w:val="clear" w:color="auto"/>
          </w:tcPr>
          <w:p>
            <w:pPr>
              <w:jc w:val="left"/>
            </w:pPr>
            <w:r/>
            <w:r>
              <w:rPr>
                <w:rFonts w:ascii="Arial" w:hAnsi="Arial" w:eastAsia="Arial"/>
                <w:b w:val="0"/>
                <w:i w:val="0"/>
                <w:sz w:val="11"/>
              </w:rPr>
              <w:t>Grado de autonomía del sistema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decisiones prescritas automáticamente por período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implementación de la prescripción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Calidad de los datos de entrada</w:t>
            </w:r>
          </w:p>
        </w:tc>
        <w:tc>
          <w:tcPr>
            <w:tcW w:type="dxa" w:w="1944"/>
            <w:vAlign w:val="center"/>
            <w:shd w:fill="FFFFFF" w:val="clear" w:color="auto"/>
          </w:tcPr>
          <w:p>
            <w:pPr>
              <w:jc w:val="left"/>
            </w:pPr>
            <w:r/>
            <w:r>
              <w:rPr>
                <w:rFonts w:ascii="Arial" w:hAnsi="Arial" w:eastAsia="Arial"/>
                <w:b w:val="0"/>
                <w:i w:val="0"/>
                <w:sz w:val="11"/>
              </w:rPr>
              <w:t>Completitud de los datos disponibles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Frescura/lag de los datos (horas de retraso)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fuentes de datos integradas al modelo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 ↳ Sistema: alertas stock con fecha quiebre en panel ejecutivo</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Valor de las Decisiones</w:t>
              <w:br/>
              <w:t>Prescritas por el Sistema</w:t>
            </w:r>
          </w:p>
        </w:tc>
        <w:tc>
          <w:tcPr>
            <w:tcW w:type="dxa" w:w="1267"/>
            <w:vMerge w:val="restart"/>
            <w:vAlign w:val="center"/>
            <w:shd w:fill="FFF9EE" w:val="clear" w:color="auto"/>
          </w:tcPr>
          <w:p>
            <w:pPr>
              <w:jc w:val="left"/>
            </w:pPr>
            <w:r/>
            <w:r>
              <w:rPr>
                <w:rFonts w:ascii="Arial" w:hAnsi="Arial" w:eastAsia="Arial"/>
                <w:b w:val="0"/>
                <w:i w:val="0"/>
                <w:sz w:val="11"/>
              </w:rPr>
              <w:t>Valor de las Decisiones Prescritas por el Sistema: constructo dependiente/outcome del estudio Lepenioti, K. et al. (2020).</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(PRISMA) — 209 publicaciones (Scopus/WoS); Taxonomía de técnicas (categorización inductiva); Python / IBM CPLEX para optimización; Framework de madurez de analítica prescriptiva</w:t>
            </w:r>
          </w:p>
        </w:tc>
        <w:tc>
          <w:tcPr>
            <w:tcW w:type="dxa" w:w="1181"/>
            <w:vMerge w:val="restart"/>
            <w:vAlign w:val="center"/>
            <w:shd w:fill="FFF5CC" w:val="clear" w:color="auto"/>
          </w:tcPr>
          <w:p>
            <w:pPr>
              <w:jc w:val="center"/>
            </w:pPr>
            <w:r/>
            <w:r>
              <w:rPr>
                <w:rFonts w:ascii="Arial" w:hAnsi="Arial" w:eastAsia="Arial"/>
                <w:b/>
                <w:i w:val="0"/>
                <w:sz w:val="11"/>
              </w:rPr>
              <w:t>Calidad y aceptación de la prescripción</w:t>
            </w:r>
          </w:p>
        </w:tc>
        <w:tc>
          <w:tcPr>
            <w:tcW w:type="dxa" w:w="1944"/>
            <w:vAlign w:val="center"/>
            <w:shd w:fill="FFFFFF" w:val="clear" w:color="auto"/>
          </w:tcPr>
          <w:p>
            <w:pPr>
              <w:jc w:val="left"/>
            </w:pPr>
            <w:r/>
            <w:r>
              <w:rPr>
                <w:rFonts w:ascii="Arial" w:hAnsi="Arial" w:eastAsia="Arial"/>
                <w:b w:val="0"/>
                <w:i w:val="0"/>
                <w:sz w:val="11"/>
              </w:rPr>
              <w:t>Tasa de adopción de prescripciones por usuarios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de KPIs objetivo tras implementar prescripción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 las decisiones tomadas con prescripción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Eficiencia operativa generada</w:t>
            </w:r>
          </w:p>
        </w:tc>
        <w:tc>
          <w:tcPr>
            <w:tcW w:type="dxa" w:w="1944"/>
            <w:vAlign w:val="center"/>
            <w:shd w:fill="FFFFFF" w:val="clear" w:color="auto"/>
          </w:tcPr>
          <w:p>
            <w:pPr>
              <w:jc w:val="left"/>
            </w:pPr>
            <w:r/>
            <w:r>
              <w:rPr>
                <w:rFonts w:ascii="Arial" w:hAnsi="Arial" w:eastAsia="Arial"/>
                <w:b w:val="0"/>
                <w:i w:val="0"/>
                <w:sz w:val="11"/>
              </w:rPr>
              <w:t>Reducción de costos por optimización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del tiempo de ciclo de decisión (horas)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alternativas evaluadas automáticamente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(PRISMA) — 209 publicaciones (Scopus/WoS); Taxonomía de técnicas (categorización inductiva); Python / IBM CPLEX para optimización</w:t>
            </w:r>
          </w:p>
        </w:tc>
        <w:tc>
          <w:tcPr>
            <w:tcW w:type="dxa" w:w="1181"/>
            <w:vAlign w:val="center"/>
            <w:shd w:fill="FFFFFF" w:val="clear" w:color="auto"/>
          </w:tcPr>
          <w:p>
            <w:pPr>
              <w:jc w:val="left"/>
            </w:pPr>
            <w:r/>
            <w:r>
              <w:rPr>
                <w:rFonts w:ascii="Arial" w:hAnsi="Arial" w:eastAsia="Arial"/>
                <w:b w:val="0"/>
                <w:i w:val="0"/>
                <w:sz w:val="11"/>
              </w:rPr>
              <w:t>Framework de madurez de analítica prescriptiva</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Fundamenta la analítica prescriptiva del módulo IA: el sistema no solo predice el IRE, sino que prescribe acciones correctivas (ajustar stock, modificar pedidos a proveedores, revisar precios). El ROI de decisiones prescritas y la tasa de adopción de prescripciones son KPIs de impacto gerencial del módulo de recomendaciones del sistema (Variable Dependiente — Analítica prescriptiva basada en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Alertas de stock prescriptivas: productos con fecha de quiebre estimada; acciones correctivas sugeridas en panel ejecutivo.</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https://doi.org/10.1016/j.ijinfomgt.2019.04.003</w:t>
      </w:r>
    </w:p>
    <w:p>
      <w:pPr>
        <w:spacing w:before="160" w:after="20"/>
      </w:pPr>
      <w:r>
        <w:rPr>
          <w:rFonts w:ascii="Arial" w:hAnsi="Arial" w:eastAsia="Arial"/>
          <w:b/>
          <w:i w:val="0"/>
          <w:sz w:val="18"/>
        </w:rPr>
        <w:t xml:space="preserve">Artículo [40] — </w:t>
      </w:r>
      <w:r>
        <w:rPr>
          <w:rFonts w:ascii="Arial" w:hAnsi="Arial" w:eastAsia="Arial"/>
          <w:b/>
          <w:i/>
          <w:sz w:val="18"/>
        </w:rPr>
        <w:t>Big data analytics in operations management</w:t>
      </w:r>
    </w:p>
    <w:p>
      <w:pPr>
        <w:spacing w:before="0" w:after="40"/>
      </w:pPr>
      <w:r>
        <w:rPr>
          <w:rFonts w:ascii="Arial" w:hAnsi="Arial" w:eastAsia="Arial"/>
          <w:b w:val="0"/>
          <w:i/>
          <w:sz w:val="16"/>
        </w:rPr>
        <w:t>Choi, T.M.; Wallace, S.W. y Wang, Y. (2018) — Production and Operations Management · Q1 · JIF 4.60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Analítica de Big Data en Gestión de Operaciones y Desempeño de la Gestión de Operaciones en el contexto del estudio original.</w:t>
            </w:r>
          </w:p>
        </w:tc>
        <w:tc>
          <w:tcPr>
            <w:tcW w:type="dxa" w:w="1512"/>
            <w:vAlign w:val="center"/>
            <w:shd w:fill="F8F9FA" w:val="clear" w:color="auto"/>
          </w:tcPr>
          <w:p>
            <w:pPr>
              <w:jc w:val="left"/>
            </w:pPr>
            <w:r/>
            <w:r>
              <w:rPr>
                <w:rFonts w:ascii="Arial" w:hAnsi="Arial" w:eastAsia="Arial"/>
                <w:b w:val="0"/>
                <w:i w:val="0"/>
                <w:sz w:val="12"/>
              </w:rPr>
              <w:t>Modelado computacional (ML/DL) + datos secundarios</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Sustenta Big Data en gestión de operaciones con énfasis directo en inventario y demanda, los dos subíndices más pesados del IRE (stock 40% + demanda 25% = 65%). Los indicadores de quiebres de stock evitados, fill rate y tiempo de respuesta a variaciones de demanda son los KPIs operativos exactos del sistema propuesto, medibles antes y después de la implementaci</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Analítica de Big Data en</w:t>
              <w:br/>
              <w:t>Gestión de Operaciones</w:t>
            </w:r>
          </w:p>
        </w:tc>
        <w:tc>
          <w:tcPr>
            <w:tcW w:type="dxa" w:w="1267"/>
            <w:vMerge w:val="restart"/>
            <w:vAlign w:val="center"/>
            <w:shd w:fill="F4F9FD" w:val="clear" w:color="auto"/>
          </w:tcPr>
          <w:p>
            <w:pPr>
              <w:jc w:val="left"/>
            </w:pPr>
            <w:r/>
            <w:r>
              <w:rPr>
                <w:rFonts w:ascii="Arial" w:hAnsi="Arial" w:eastAsia="Arial"/>
                <w:b w:val="0"/>
                <w:i w:val="0"/>
                <w:sz w:val="11"/>
              </w:rPr>
              <w:t>Analítica de Big Data en Gestión de Operaciones: constructo independiente conceptualizado por Choi, T.M.; Wallace, S.W. y Wang, Y. (2018).</w:t>
            </w:r>
          </w:p>
        </w:tc>
        <w:tc>
          <w:tcPr>
            <w:tcW w:type="dxa" w:w="1267"/>
            <w:vMerge w:val="restart"/>
            <w:vAlign w:val="center"/>
            <w:shd w:fill="F4F9FD" w:val="clear" w:color="auto"/>
          </w:tcPr>
          <w:p>
            <w:pPr>
              <w:jc w:val="left"/>
            </w:pPr>
            <w:r/>
            <w:r>
              <w:rPr>
                <w:rFonts w:ascii="Arial" w:hAnsi="Arial" w:eastAsia="Arial"/>
                <w:b w:val="0"/>
                <w:i w:val="0"/>
                <w:sz w:val="11"/>
              </w:rPr>
              <w:t>Medición operativa: Revisión de literatura operacional (POM, MSOM); Modelos de optimización (Python: Scipy, PuLP); Análisis de series temporales (SARIMA, Prophet); Simulación de cadena de suministro</w:t>
            </w:r>
          </w:p>
        </w:tc>
        <w:tc>
          <w:tcPr>
            <w:tcW w:type="dxa" w:w="1181"/>
            <w:vMerge w:val="restart"/>
            <w:vAlign w:val="center"/>
            <w:shd w:fill="D6E4F0" w:val="clear" w:color="auto"/>
          </w:tcPr>
          <w:p>
            <w:pPr>
              <w:jc w:val="center"/>
            </w:pPr>
            <w:r/>
            <w:r>
              <w:rPr>
                <w:rFonts w:ascii="Arial" w:hAnsi="Arial" w:eastAsia="Arial"/>
                <w:b/>
                <w:i w:val="0"/>
                <w:sz w:val="11"/>
              </w:rPr>
              <w:t>Capacidades de los datos disponibles</w:t>
            </w:r>
          </w:p>
        </w:tc>
        <w:tc>
          <w:tcPr>
            <w:tcW w:type="dxa" w:w="1944"/>
            <w:vAlign w:val="center"/>
            <w:shd w:fill="FFFFFF" w:val="clear" w:color="auto"/>
          </w:tcPr>
          <w:p>
            <w:pPr>
              <w:jc w:val="left"/>
            </w:pPr>
            <w:r/>
            <w:r>
              <w:rPr>
                <w:rFonts w:ascii="Arial" w:hAnsi="Arial" w:eastAsia="Arial"/>
                <w:b w:val="0"/>
                <w:i w:val="0"/>
                <w:sz w:val="11"/>
              </w:rPr>
              <w:t>Volumen de datos de operaciones (TB)</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 ↳ Sistema: pandas fusiona ventasDiarias + pedidos en ai-service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Velocidad de actualización de datos (lotes/hora)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 ↳ Sistema: pandas fusiona ventasDiarias + pedidos en ai-service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Variedad y fuentes de datos integradas (n.°)</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 ↳ Sistema: pandas fusiona ventasDiarias + pedidos en ai-service</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Modelos analíticos aplicados a operaciones</w:t>
            </w:r>
          </w:p>
        </w:tc>
        <w:tc>
          <w:tcPr>
            <w:tcW w:type="dxa" w:w="1944"/>
            <w:vAlign w:val="center"/>
            <w:shd w:fill="FFFFFF" w:val="clear" w:color="auto"/>
          </w:tcPr>
          <w:p>
            <w:pPr>
              <w:jc w:val="left"/>
            </w:pPr>
            <w:r/>
            <w:r>
              <w:rPr>
                <w:rFonts w:ascii="Arial" w:hAnsi="Arial" w:eastAsia="Arial"/>
                <w:b w:val="0"/>
                <w:i w:val="0"/>
                <w:sz w:val="11"/>
              </w:rPr>
              <w:t>Modelos de optimización de inventario (LP, MIP)</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 ↳ Sistema: pandas fusiona ventasDiarias + pedidos en ai-service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Modelos de pronóstico de demanda (ARIMA, ML)</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 ↳ Sistema: pandas fusiona ventasDiarias + pedidos en ai-service</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Modelos de gestión de la cadena de suministro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 ↳ Sistema: pandas fusiona ventasDiarias + pedidos en ai-service</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de la Gestión</w:t>
              <w:br/>
              <w:t>de Operaciones</w:t>
            </w:r>
          </w:p>
        </w:tc>
        <w:tc>
          <w:tcPr>
            <w:tcW w:type="dxa" w:w="1267"/>
            <w:vMerge w:val="restart"/>
            <w:vAlign w:val="center"/>
            <w:shd w:fill="FFF9EE" w:val="clear" w:color="auto"/>
          </w:tcPr>
          <w:p>
            <w:pPr>
              <w:jc w:val="left"/>
            </w:pPr>
            <w:r/>
            <w:r>
              <w:rPr>
                <w:rFonts w:ascii="Arial" w:hAnsi="Arial" w:eastAsia="Arial"/>
                <w:b w:val="0"/>
                <w:i w:val="0"/>
                <w:sz w:val="11"/>
              </w:rPr>
              <w:t>Desempeño de la Gestión de Operaciones: constructo dependiente/outcome del estudio Choi, T.M.; Wallace, S.W. y Wang, Y. (2018).</w:t>
            </w:r>
          </w:p>
        </w:tc>
        <w:tc>
          <w:tcPr>
            <w:tcW w:type="dxa" w:w="1267"/>
            <w:vMerge w:val="restart"/>
            <w:vAlign w:val="center"/>
            <w:shd w:fill="FFF9EE" w:val="clear" w:color="auto"/>
          </w:tcPr>
          <w:p>
            <w:pPr>
              <w:jc w:val="left"/>
            </w:pPr>
            <w:r/>
            <w:r>
              <w:rPr>
                <w:rFonts w:ascii="Arial" w:hAnsi="Arial" w:eastAsia="Arial"/>
                <w:b w:val="0"/>
                <w:i w:val="0"/>
                <w:sz w:val="11"/>
              </w:rPr>
              <w:t>Medición operativa: Revisión de literatura operacional (POM, MSOM); Modelos de optimización (Python: Scipy, PuLP); Análisis de series temporales (SARIMA, Prophet); Simulación de cadena de suministro</w:t>
            </w:r>
          </w:p>
        </w:tc>
        <w:tc>
          <w:tcPr>
            <w:tcW w:type="dxa" w:w="1181"/>
            <w:vMerge w:val="restart"/>
            <w:vAlign w:val="center"/>
            <w:shd w:fill="FFF5CC" w:val="clear" w:color="auto"/>
          </w:tcPr>
          <w:p>
            <w:pPr>
              <w:jc w:val="center"/>
            </w:pPr>
            <w:r/>
            <w:r>
              <w:rPr>
                <w:rFonts w:ascii="Arial" w:hAnsi="Arial" w:eastAsia="Arial"/>
                <w:b/>
                <w:i w:val="0"/>
                <w:sz w:val="11"/>
              </w:rPr>
              <w:t>Eficiencia de la cadena de suministro</w:t>
            </w:r>
          </w:p>
        </w:tc>
        <w:tc>
          <w:tcPr>
            <w:tcW w:type="dxa" w:w="1944"/>
            <w:vAlign w:val="center"/>
            <w:shd w:fill="FFFFFF" w:val="clear" w:color="auto"/>
          </w:tcPr>
          <w:p>
            <w:pPr>
              <w:jc w:val="left"/>
            </w:pPr>
            <w:r/>
            <w:r>
              <w:rPr>
                <w:rFonts w:ascii="Arial" w:hAnsi="Arial" w:eastAsia="Arial"/>
                <w:b w:val="0"/>
                <w:i w:val="0"/>
                <w:sz w:val="11"/>
              </w:rPr>
              <w:t>Reducción de costos de inventario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Mejora del nivel de servicio (fill rate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del tiempo de ciclo operativo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Capacidad de respuesta al mercado</w:t>
            </w:r>
          </w:p>
        </w:tc>
        <w:tc>
          <w:tcPr>
            <w:tcW w:type="dxa" w:w="1944"/>
            <w:vAlign w:val="center"/>
            <w:shd w:fill="FFFFFF" w:val="clear" w:color="auto"/>
          </w:tcPr>
          <w:p>
            <w:pPr>
              <w:jc w:val="left"/>
            </w:pPr>
            <w:r/>
            <w:r>
              <w:rPr>
                <w:rFonts w:ascii="Arial" w:hAnsi="Arial" w:eastAsia="Arial"/>
                <w:b w:val="0"/>
                <w:i w:val="0"/>
                <w:sz w:val="11"/>
              </w:rPr>
              <w:t>Tiempo de respuesta a variaciones de demanda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fulfillment de pedidos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quiebres de stock evitados por período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de literatura operacional (POM, MSOM); Modelos de optimización (Python: Scipy, PuLP); Análisis de series temporales (SARIMA, Prophet)</w:t>
            </w:r>
          </w:p>
        </w:tc>
        <w:tc>
          <w:tcPr>
            <w:tcW w:type="dxa" w:w="1181"/>
            <w:vAlign w:val="center"/>
            <w:shd w:fill="FFFFFF" w:val="clear" w:color="auto"/>
          </w:tcPr>
          <w:p>
            <w:pPr>
              <w:jc w:val="left"/>
            </w:pPr>
            <w:r/>
            <w:r>
              <w:rPr>
                <w:rFonts w:ascii="Arial" w:hAnsi="Arial" w:eastAsia="Arial"/>
                <w:b w:val="0"/>
                <w:i w:val="0"/>
                <w:sz w:val="11"/>
              </w:rPr>
              <w:t>Simulación de cadena de suministro</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Sustenta Big Data en gestión de operaciones con énfasis directo en inventario y demanda, los dos subíndices más pesados del IRE (stock 40% + demanda 25% = 65%). Los indicadores de quiebres de stock evitados, fill rate y tiempo de respuesta a variaciones de demanda son los KPIs operativos exactos del sistema propuesto, medibles antes y después de la implementación (Variable Dependiente — Subíndices de riesgo de stock y demanda del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Big Data operacional: fusión ventas presenciales + online, movimientos de stock y catálogo; procesamiento en pandas/ai-service.</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https://doi.org/10.1111/poms.12838</w:t>
      </w:r>
    </w:p>
    <w:p>
      <w:pPr>
        <w:spacing w:before="160" w:after="20"/>
      </w:pPr>
      <w:r>
        <w:rPr>
          <w:rFonts w:ascii="Arial" w:hAnsi="Arial" w:eastAsia="Arial"/>
          <w:b/>
          <w:i w:val="0"/>
          <w:sz w:val="18"/>
        </w:rPr>
        <w:t xml:space="preserve">Artículo [41] — </w:t>
      </w:r>
      <w:r>
        <w:rPr>
          <w:rFonts w:ascii="Arial" w:hAnsi="Arial" w:eastAsia="Arial"/>
          <w:b/>
          <w:i/>
          <w:sz w:val="18"/>
        </w:rPr>
        <w:t>AI lifecycle models need to be revised: An exploratory study in Fintech</w:t>
      </w:r>
    </w:p>
    <w:p>
      <w:pPr>
        <w:spacing w:before="0" w:after="40"/>
      </w:pPr>
      <w:r>
        <w:rPr>
          <w:rFonts w:ascii="Arial" w:hAnsi="Arial" w:eastAsia="Arial"/>
          <w:b w:val="0"/>
          <w:i/>
          <w:sz w:val="16"/>
        </w:rPr>
        <w:t>Haakman, M. et al. (2021) — Empirical Software Engineering · Q1 · JIF 3.50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Ciclo de Vida del Modelo de IA — CRISP-ML(Q) y Calidad y Madurez del Sistema de ML en Producción en el contexto del estudio original.</w:t>
            </w:r>
          </w:p>
        </w:tc>
        <w:tc>
          <w:tcPr>
            <w:tcW w:type="dxa" w:w="1512"/>
            <w:vAlign w:val="center"/>
            <w:shd w:fill="F8F9FA" w:val="clear" w:color="auto"/>
          </w:tcPr>
          <w:p>
            <w:pPr>
              <w:jc w:val="left"/>
            </w:pPr>
            <w:r/>
            <w:r>
              <w:rPr>
                <w:rFonts w:ascii="Arial" w:hAnsi="Arial" w:eastAsia="Arial"/>
                <w:b w:val="0"/>
                <w:i w:val="0"/>
                <w:sz w:val="12"/>
              </w:rPr>
              <w:t>Mixto: entrevista + análisis documental</w:t>
            </w:r>
          </w:p>
        </w:tc>
        <w:tc>
          <w:tcPr>
            <w:tcW w:type="dxa" w:w="1512"/>
            <w:vAlign w:val="center"/>
            <w:shd w:fill="F8F9FA" w:val="clear" w:color="auto"/>
          </w:tcPr>
          <w:p>
            <w:pPr>
              <w:jc w:val="left"/>
            </w:pPr>
            <w:r/>
            <w:r>
              <w:rPr>
                <w:rFonts w:ascii="Arial" w:hAnsi="Arial" w:eastAsia="Arial"/>
                <w:b w:val="0"/>
                <w:i w:val="0"/>
                <w:sz w:val="12"/>
              </w:rPr>
              <w:t>Muestra empírica del estudio original (ver artículo)</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ARTÍCULO NÚCLEO. Establece CRISP-ML(Q) como el ciclo de vida del módulo IA del sistema propuesto. Las 5 fases (comprensión del negocio, datos, modelado, evaluación, despliegue) son exactamente las etapas del desarrollo del servicio de predicción del IRE. El nivel de madurez MLOps alcanzado es la métrica de calidad del proceso de desarrollo del módulo IA, evaluable en la tesis (</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Ciclo de Vida del Modelo</w:t>
              <w:br/>
              <w:t>de IA — CRISP-ML(Q)</w:t>
            </w:r>
          </w:p>
        </w:tc>
        <w:tc>
          <w:tcPr>
            <w:tcW w:type="dxa" w:w="1267"/>
            <w:vMerge w:val="restart"/>
            <w:vAlign w:val="center"/>
            <w:shd w:fill="F4F9FD" w:val="clear" w:color="auto"/>
          </w:tcPr>
          <w:p>
            <w:pPr>
              <w:jc w:val="left"/>
            </w:pPr>
            <w:r/>
            <w:r>
              <w:rPr>
                <w:rFonts w:ascii="Arial" w:hAnsi="Arial" w:eastAsia="Arial"/>
                <w:b w:val="0"/>
                <w:i w:val="0"/>
                <w:sz w:val="11"/>
              </w:rPr>
              <w:t>Ciclo de Vida del Modelo de IA — CRISP-ML(Q): constructo independiente conceptualizado por Haakman, M. et al. (2021).</w:t>
            </w:r>
          </w:p>
        </w:tc>
        <w:tc>
          <w:tcPr>
            <w:tcW w:type="dxa" w:w="1267"/>
            <w:vMerge w:val="restart"/>
            <w:vAlign w:val="center"/>
            <w:shd w:fill="F4F9FD" w:val="clear" w:color="auto"/>
          </w:tcPr>
          <w:p>
            <w:pPr>
              <w:jc w:val="left"/>
            </w:pPr>
            <w:r/>
            <w:r>
              <w:rPr>
                <w:rFonts w:ascii="Arial" w:hAnsi="Arial" w:eastAsia="Arial"/>
                <w:b w:val="0"/>
                <w:i w:val="0"/>
                <w:sz w:val="11"/>
              </w:rPr>
              <w:t>Medición operativa: CRISP-ML(Q) framework de calidad; MLflow para versionado y registro de experimentos; Entrevistas a equipos de ML en Fintech (n=17 entrevistados); Análisis temático cualitativo (codificación inductiva)</w:t>
            </w:r>
          </w:p>
        </w:tc>
        <w:tc>
          <w:tcPr>
            <w:tcW w:type="dxa" w:w="1181"/>
            <w:vMerge w:val="restart"/>
            <w:vAlign w:val="center"/>
            <w:shd w:fill="D6E4F0" w:val="clear" w:color="auto"/>
          </w:tcPr>
          <w:p>
            <w:pPr>
              <w:jc w:val="center"/>
            </w:pPr>
            <w:r/>
            <w:r>
              <w:rPr>
                <w:rFonts w:ascii="Arial" w:hAnsi="Arial" w:eastAsia="Arial"/>
                <w:b/>
                <w:i w:val="0"/>
                <w:sz w:val="11"/>
              </w:rPr>
              <w:t>Fases del ciclo de vida ML</w:t>
            </w:r>
          </w:p>
        </w:tc>
        <w:tc>
          <w:tcPr>
            <w:tcW w:type="dxa" w:w="1944"/>
            <w:vAlign w:val="center"/>
            <w:shd w:fill="FFFFFF" w:val="clear" w:color="auto"/>
          </w:tcPr>
          <w:p>
            <w:pPr>
              <w:jc w:val="left"/>
            </w:pPr>
            <w:r/>
            <w:r>
              <w:rPr>
                <w:rFonts w:ascii="Arial" w:hAnsi="Arial" w:eastAsia="Arial"/>
                <w:b w:val="0"/>
                <w:i w:val="0"/>
                <w:sz w:val="11"/>
              </w:rPr>
              <w:t>Comprensión del negocio y de los datos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Preparación y transformación de datos</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Modelado, entrenamiento y selección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Evaluación y validación del modelo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Despliegue y monitoreo en producción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Métricas de calidad por fase del ciclo</w:t>
            </w:r>
          </w:p>
        </w:tc>
        <w:tc>
          <w:tcPr>
            <w:tcW w:type="dxa" w:w="1944"/>
            <w:vAlign w:val="center"/>
            <w:shd w:fill="FFFFFF" w:val="clear" w:color="auto"/>
          </w:tcPr>
          <w:p>
            <w:pPr>
              <w:jc w:val="left"/>
            </w:pPr>
            <w:r/>
            <w:r>
              <w:rPr>
                <w:rFonts w:ascii="Arial" w:hAnsi="Arial" w:eastAsia="Arial"/>
                <w:b w:val="0"/>
                <w:i w:val="0"/>
                <w:sz w:val="11"/>
              </w:rPr>
              <w:t>Completitud de datos mínima requerida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Accuracy mínimo aceptable por el negocio (threshold)</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Frecuencia de reentrenamiento necesario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Prácticas de MLOps adoptadas</w:t>
            </w:r>
          </w:p>
        </w:tc>
        <w:tc>
          <w:tcPr>
            <w:tcW w:type="dxa" w:w="1944"/>
            <w:vAlign w:val="center"/>
            <w:shd w:fill="FFFFFF" w:val="clear" w:color="auto"/>
          </w:tcPr>
          <w:p>
            <w:pPr>
              <w:jc w:val="left"/>
            </w:pPr>
            <w:r/>
            <w:r>
              <w:rPr>
                <w:rFonts w:ascii="Arial" w:hAnsi="Arial" w:eastAsia="Arial"/>
                <w:b w:val="0"/>
                <w:i w:val="0"/>
                <w:sz w:val="11"/>
              </w:rPr>
              <w:t>N.° de experimentos registrados con trazabilidad</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Versionado de modelos (MLflow / DVC)</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Automatización del pipeline CI/CD ML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 ↳ Sistema: CRISP-ML — modelo_estado + ire_historial + reentrenamiento</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Calidad y Madurez del</w:t>
              <w:br/>
              <w:t>Sistema de ML en</w:t>
              <w:br/>
              <w:t>Producción</w:t>
            </w:r>
          </w:p>
        </w:tc>
        <w:tc>
          <w:tcPr>
            <w:tcW w:type="dxa" w:w="1267"/>
            <w:vMerge w:val="restart"/>
            <w:vAlign w:val="center"/>
            <w:shd w:fill="FFF9EE" w:val="clear" w:color="auto"/>
          </w:tcPr>
          <w:p>
            <w:pPr>
              <w:jc w:val="left"/>
            </w:pPr>
            <w:r/>
            <w:r>
              <w:rPr>
                <w:rFonts w:ascii="Arial" w:hAnsi="Arial" w:eastAsia="Arial"/>
                <w:b w:val="0"/>
                <w:i w:val="0"/>
                <w:sz w:val="11"/>
              </w:rPr>
              <w:t>Calidad y Madurez del Sistema de ML en Producción: constructo dependiente/outcome del estudio Haakman, M. et al. (2021).</w:t>
            </w:r>
          </w:p>
        </w:tc>
        <w:tc>
          <w:tcPr>
            <w:tcW w:type="dxa" w:w="1267"/>
            <w:vMerge w:val="restart"/>
            <w:vAlign w:val="center"/>
            <w:shd w:fill="FFF9EE" w:val="clear" w:color="auto"/>
          </w:tcPr>
          <w:p>
            <w:pPr>
              <w:jc w:val="left"/>
            </w:pPr>
            <w:r/>
            <w:r>
              <w:rPr>
                <w:rFonts w:ascii="Arial" w:hAnsi="Arial" w:eastAsia="Arial"/>
                <w:b w:val="0"/>
                <w:i w:val="0"/>
                <w:sz w:val="11"/>
              </w:rPr>
              <w:t>Medición operativa: CRISP-ML(Q) framework de calidad; MLflow para versionado y registro de experimentos; Entrevistas a equipos de ML en Fintech (n=17 entrevistados); Análisis temático cualitativo (codificación inductiva)</w:t>
            </w:r>
          </w:p>
        </w:tc>
        <w:tc>
          <w:tcPr>
            <w:tcW w:type="dxa" w:w="1181"/>
            <w:vMerge w:val="restart"/>
            <w:vAlign w:val="center"/>
            <w:shd w:fill="FFF5CC" w:val="clear" w:color="auto"/>
          </w:tcPr>
          <w:p>
            <w:pPr>
              <w:jc w:val="center"/>
            </w:pPr>
            <w:r/>
            <w:r>
              <w:rPr>
                <w:rFonts w:ascii="Arial" w:hAnsi="Arial" w:eastAsia="Arial"/>
                <w:b/>
                <w:i w:val="0"/>
                <w:sz w:val="11"/>
              </w:rPr>
              <w:t>Calidad del modelo en producción</w:t>
            </w:r>
          </w:p>
        </w:tc>
        <w:tc>
          <w:tcPr>
            <w:tcW w:type="dxa" w:w="1944"/>
            <w:vAlign w:val="center"/>
            <w:shd w:fill="FFFFFF" w:val="clear" w:color="auto"/>
          </w:tcPr>
          <w:p>
            <w:pPr>
              <w:jc w:val="left"/>
            </w:pPr>
            <w:r/>
            <w:r>
              <w:rPr>
                <w:rFonts w:ascii="Arial" w:hAnsi="Arial" w:eastAsia="Arial"/>
                <w:b w:val="0"/>
                <w:i w:val="0"/>
                <w:sz w:val="11"/>
              </w:rPr>
              <w:t>Data drift detectado (delta de accuracy)</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F1-score en producción vs. F1-score en evaluación</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reentrenamientos necesarios por mes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Madurez del proceso de desarrollo ML</w:t>
            </w:r>
          </w:p>
        </w:tc>
        <w:tc>
          <w:tcPr>
            <w:tcW w:type="dxa" w:w="1944"/>
            <w:vAlign w:val="center"/>
            <w:shd w:fill="FFFFFF" w:val="clear" w:color="auto"/>
          </w:tcPr>
          <w:p>
            <w:pPr>
              <w:jc w:val="left"/>
            </w:pPr>
            <w:r/>
            <w:r>
              <w:rPr>
                <w:rFonts w:ascii="Arial" w:hAnsi="Arial" w:eastAsia="Arial"/>
                <w:b w:val="0"/>
                <w:i w:val="0"/>
                <w:sz w:val="11"/>
              </w:rPr>
              <w:t>Nivel de madurez MLOps alcanzado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fases con criterios de calidad definidos formalmente</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Esfuerzo de mantenimiento del sistema (horas/mes)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CRISP-ML(Q) framework de calidad; MLflow para versionado y registro de experimentos; Entrevistas a equipos de ML en Fintech (n=17 entrevistados)</w:t>
            </w:r>
          </w:p>
        </w:tc>
        <w:tc>
          <w:tcPr>
            <w:tcW w:type="dxa" w:w="1181"/>
            <w:vAlign w:val="center"/>
            <w:shd w:fill="FFFFFF" w:val="clear" w:color="auto"/>
          </w:tcPr>
          <w:p>
            <w:pPr>
              <w:jc w:val="left"/>
            </w:pPr>
            <w:r/>
            <w:r>
              <w:rPr>
                <w:rFonts w:ascii="Arial" w:hAnsi="Arial" w:eastAsia="Arial"/>
                <w:b w:val="0"/>
                <w:i w:val="0"/>
                <w:sz w:val="11"/>
              </w:rPr>
              <w:t>Análisis temático cualitativo (codificación inductiva)</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NÚCLEO. Establece CRISP-ML(Q) como el ciclo de vida del módulo IA del sistema propuesto. Las 5 fases (comprensión del negocio, datos, modelado, evaluación, despliegue) son exactamente las etapas del desarrollo del servicio de predicción del IRE. El nivel de madurez MLOps alcanzado es la métrica de calidad del proceso de desarrollo del módulo IA, evaluable en la tesis (Variable Dependiente — Ciclo de vida y calidad del modelo IRE).</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Ciclo CRISP-ML(Q): entrenamiento → despliegue → monitoreo drift → reentrenamiento; metadatos en modelo_estado e ire_historial.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https://doi.org/10.1007/s10664-021-09993-1</w:t>
      </w:r>
    </w:p>
    <w:p>
      <w:pPr>
        <w:spacing w:before="160" w:after="20"/>
      </w:pPr>
      <w:r>
        <w:rPr>
          <w:rFonts w:ascii="Arial" w:hAnsi="Arial" w:eastAsia="Arial"/>
          <w:b/>
          <w:i w:val="0"/>
          <w:sz w:val="18"/>
        </w:rPr>
        <w:t xml:space="preserve">Artículo [42] — </w:t>
      </w:r>
      <w:r>
        <w:rPr>
          <w:rFonts w:ascii="Arial" w:hAnsi="Arial" w:eastAsia="Arial"/>
          <w:b/>
          <w:i/>
          <w:sz w:val="18"/>
        </w:rPr>
        <w:t>Information technology and organizational performance: An integrative model of IT business value</w:t>
      </w:r>
    </w:p>
    <w:p>
      <w:pPr>
        <w:spacing w:before="0" w:after="40"/>
      </w:pPr>
      <w:r>
        <w:rPr>
          <w:rFonts w:ascii="Arial" w:hAnsi="Arial" w:eastAsia="Arial"/>
          <w:b w:val="0"/>
          <w:i/>
          <w:sz w:val="16"/>
        </w:rPr>
        <w:t>Melville, N.; Kraemer, K. y Gurbaxani, V. (2004) — MIS Quarterly · Q1 · JIF 12.50</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Inversión y Capacidades en Tecnología de Información (TI) y Desempeño Organizacional Impulsado por TI en el contexto del estudio original.</w:t>
            </w:r>
          </w:p>
        </w:tc>
        <w:tc>
          <w:tcPr>
            <w:tcW w:type="dxa" w:w="1512"/>
            <w:vAlign w:val="center"/>
            <w:shd w:fill="F8F9FA" w:val="clear" w:color="auto"/>
          </w:tcPr>
          <w:p>
            <w:pPr>
              <w:jc w:val="left"/>
            </w:pPr>
            <w:r/>
            <w:r>
              <w:rPr>
                <w:rFonts w:ascii="Arial" w:hAnsi="Arial" w:eastAsia="Arial"/>
                <w:b w:val="0"/>
                <w:i w:val="0"/>
                <w:sz w:val="12"/>
              </w:rPr>
              <w:t>Encuesta cuantitativa</w:t>
            </w:r>
          </w:p>
        </w:tc>
        <w:tc>
          <w:tcPr>
            <w:tcW w:type="dxa" w:w="1512"/>
            <w:vAlign w:val="center"/>
            <w:shd w:fill="F8F9FA" w:val="clear" w:color="auto"/>
          </w:tcPr>
          <w:p>
            <w:pPr>
              <w:jc w:val="left"/>
            </w:pPr>
            <w:r/>
            <w:r>
              <w:rPr>
                <w:rFonts w:ascii="Arial" w:hAnsi="Arial" w:eastAsia="Arial"/>
                <w:b w:val="0"/>
                <w:i w:val="0"/>
                <w:sz w:val="12"/>
              </w:rPr>
              <w:t>Sector retail / datos comerciales</w:t>
            </w:r>
          </w:p>
        </w:tc>
        <w:tc>
          <w:tcPr>
            <w:tcW w:type="dxa" w:w="1512"/>
            <w:vAlign w:val="center"/>
            <w:shd w:fill="F8F9FA" w:val="clear" w:color="auto"/>
          </w:tcPr>
          <w:p>
            <w:pPr>
              <w:jc w:val="left"/>
            </w:pPr>
            <w:r/>
            <w:r>
              <w:rPr>
                <w:rFonts w:ascii="Arial" w:hAnsi="Arial" w:eastAsia="Arial"/>
                <w:b w:val="0"/>
                <w:i w:val="0"/>
                <w:sz w:val="12"/>
              </w:rPr>
              <w:t>Modelos de regresión / SEM con bondad de ajuste</w:t>
            </w:r>
          </w:p>
        </w:tc>
        <w:tc>
          <w:tcPr>
            <w:tcW w:type="dxa" w:w="1512"/>
            <w:vAlign w:val="center"/>
            <w:shd w:fill="F8F9FA" w:val="clear" w:color="auto"/>
          </w:tcPr>
          <w:p>
            <w:pPr>
              <w:jc w:val="left"/>
            </w:pPr>
            <w:r/>
            <w:r>
              <w:rPr>
                <w:rFonts w:ascii="Arial" w:hAnsi="Arial" w:eastAsia="Arial"/>
                <w:b w:val="0"/>
                <w:i w:val="0"/>
                <w:sz w:val="12"/>
              </w:rPr>
              <w:t>Generalizar resultados a PYME retail peruana requiere contraste local.</w:t>
            </w:r>
          </w:p>
        </w:tc>
        <w:tc>
          <w:tcPr>
            <w:tcW w:type="dxa" w:w="1944"/>
            <w:vAlign w:val="center"/>
            <w:shd w:fill="F8F9FA" w:val="clear" w:color="auto"/>
          </w:tcPr>
          <w:p>
            <w:pPr>
              <w:jc w:val="left"/>
            </w:pPr>
            <w:r/>
            <w:r>
              <w:rPr>
                <w:rFonts w:ascii="Arial" w:hAnsi="Arial" w:eastAsia="Arial"/>
                <w:b w:val="0"/>
                <w:i w:val="0"/>
                <w:sz w:val="12"/>
              </w:rPr>
              <w:t>Justifica el valor económico de la inversión en TI para Calzatura Vilchez como PYME. Los indicadores de ROI de TI, reducción de costos operativos y crecimiento de ingresos son las métricas de impacto económico esperadas de la propuesta. El modelo IT-Business Value es el marco conceptual que respalda la rentabilidad de implementar el sistema web con IA (Marco teórico — Justifica</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Inversión y Capacidades</w:t>
              <w:br/>
              <w:t>en Tecnología de</w:t>
              <w:br/>
              <w:t>Información (TI)</w:t>
            </w:r>
          </w:p>
        </w:tc>
        <w:tc>
          <w:tcPr>
            <w:tcW w:type="dxa" w:w="1267"/>
            <w:vMerge w:val="restart"/>
            <w:vAlign w:val="center"/>
            <w:shd w:fill="F4F9FD" w:val="clear" w:color="auto"/>
          </w:tcPr>
          <w:p>
            <w:pPr>
              <w:jc w:val="left"/>
            </w:pPr>
            <w:r/>
            <w:r>
              <w:rPr>
                <w:rFonts w:ascii="Arial" w:hAnsi="Arial" w:eastAsia="Arial"/>
                <w:b w:val="0"/>
                <w:i w:val="0"/>
                <w:sz w:val="11"/>
              </w:rPr>
              <w:t>Inversión y Capacidades en Tecnología de Información (TI): constructo independiente conceptualizado por Melville, N.; Kraemer, K. y Gurbaxani, V. (2004).</w:t>
            </w:r>
          </w:p>
        </w:tc>
        <w:tc>
          <w:tcPr>
            <w:tcW w:type="dxa" w:w="1267"/>
            <w:vMerge w:val="restart"/>
            <w:vAlign w:val="center"/>
            <w:shd w:fill="F4F9FD" w:val="clear" w:color="auto"/>
          </w:tcPr>
          <w:p>
            <w:pPr>
              <w:jc w:val="left"/>
            </w:pPr>
            <w:r/>
            <w:r>
              <w:rPr>
                <w:rFonts w:ascii="Arial" w:hAnsi="Arial" w:eastAsia="Arial"/>
                <w:b w:val="0"/>
                <w:i w:val="0"/>
                <w:sz w:val="11"/>
              </w:rPr>
              <w:t>Medición operativa: Modelo conceptual integrador (meta-análisis de literatura); Revisión de 200+ estudios (1985–2003); Regresión múltiple jerárquica; Encuesta a organizaciones Fortune 500 (EE.UU.)</w:t>
            </w:r>
          </w:p>
        </w:tc>
        <w:tc>
          <w:tcPr>
            <w:tcW w:type="dxa" w:w="1181"/>
            <w:vMerge w:val="restart"/>
            <w:vAlign w:val="center"/>
            <w:shd w:fill="D6E4F0" w:val="clear" w:color="auto"/>
          </w:tcPr>
          <w:p>
            <w:pPr>
              <w:jc w:val="center"/>
            </w:pPr>
            <w:r/>
            <w:r>
              <w:rPr>
                <w:rFonts w:ascii="Arial" w:hAnsi="Arial" w:eastAsia="Arial"/>
                <w:b/>
                <w:i w:val="0"/>
                <w:sz w:val="11"/>
              </w:rPr>
              <w:t>Recursos tecnológicos de TI</w:t>
            </w:r>
          </w:p>
        </w:tc>
        <w:tc>
          <w:tcPr>
            <w:tcW w:type="dxa" w:w="1944"/>
            <w:vAlign w:val="center"/>
            <w:shd w:fill="FFFFFF" w:val="clear" w:color="auto"/>
          </w:tcPr>
          <w:p>
            <w:pPr>
              <w:jc w:val="left"/>
            </w:pPr>
            <w:r/>
            <w:r>
              <w:rPr>
                <w:rFonts w:ascii="Arial" w:hAnsi="Arial" w:eastAsia="Arial"/>
                <w:b w:val="0"/>
                <w:i w:val="0"/>
                <w:sz w:val="11"/>
              </w:rPr>
              <w:t>Inversión en TI (S/. por año)</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sistemas de información implementados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Capacidad de infraestructura tecnológica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Capacidades humanas en TI</w:t>
            </w:r>
          </w:p>
        </w:tc>
        <w:tc>
          <w:tcPr>
            <w:tcW w:type="dxa" w:w="1944"/>
            <w:vAlign w:val="center"/>
            <w:shd w:fill="FFFFFF" w:val="clear" w:color="auto"/>
          </w:tcPr>
          <w:p>
            <w:pPr>
              <w:jc w:val="left"/>
            </w:pPr>
            <w:r/>
            <w:r>
              <w:rPr>
                <w:rFonts w:ascii="Arial" w:hAnsi="Arial" w:eastAsia="Arial"/>
                <w:b w:val="0"/>
                <w:i w:val="0"/>
                <w:sz w:val="11"/>
              </w:rPr>
              <w:t>Nivel de competencias digitales del personal (escala 1–5)</w:t>
            </w:r>
          </w:p>
        </w:tc>
        <w:tc>
          <w:tcPr>
            <w:tcW w:type="dxa" w:w="749"/>
            <w:vAlign w:val="center"/>
            <w:shd w:fill="FFFFFF" w:val="clear" w:color="auto"/>
          </w:tcPr>
          <w:p>
            <w:pPr>
              <w:jc w:val="center"/>
            </w:pPr>
            <w:r/>
            <w:r>
              <w:rPr>
                <w:rFonts w:ascii="Arial" w:hAnsi="Arial" w:eastAsia="Arial"/>
                <w:b w:val="0"/>
                <w:i w:val="0"/>
                <w:sz w:val="11"/>
              </w:rPr>
              <w:t>Ordinal</w:t>
            </w:r>
          </w:p>
        </w:tc>
        <w:tc>
          <w:tcPr>
            <w:tcW w:type="dxa" w:w="893"/>
            <w:vAlign w:val="center"/>
            <w:shd w:fill="FFFFFF" w:val="clear" w:color="auto"/>
          </w:tcPr>
          <w:p>
            <w:pPr>
              <w:jc w:val="left"/>
            </w:pPr>
            <w:r/>
            <w:r>
              <w:rPr>
                <w:rFonts w:ascii="Arial" w:hAnsi="Arial" w:eastAsia="Arial"/>
                <w:b w:val="0"/>
                <w:i w:val="0"/>
                <w:sz w:val="11"/>
              </w:rPr>
              <w:t>Likert / escala ordinal</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personal dedicado a TI</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Horas de capacitación en TI por empleado/año</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Recursos organizacionales complementarios</w:t>
            </w:r>
          </w:p>
        </w:tc>
        <w:tc>
          <w:tcPr>
            <w:tcW w:type="dxa" w:w="1944"/>
            <w:vAlign w:val="center"/>
            <w:shd w:fill="FFFFFF" w:val="clear" w:color="auto"/>
          </w:tcPr>
          <w:p>
            <w:pPr>
              <w:jc w:val="left"/>
            </w:pPr>
            <w:r/>
            <w:r>
              <w:rPr>
                <w:rFonts w:ascii="Arial" w:hAnsi="Arial" w:eastAsia="Arial"/>
                <w:b w:val="0"/>
                <w:i w:val="0"/>
                <w:sz w:val="11"/>
              </w:rPr>
              <w:t>Madurez de los procesos de negocio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Cultura organizacional orientada a datos (escala)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socios tecnológicos estratégicos</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 ↳ Sistema: trazabilidad ventas/pedidos + automatización checkout</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w:t>
              <w:br/>
              <w:t>Organizacional</w:t>
              <w:br/>
              <w:t>Impulsado por TI</w:t>
            </w:r>
          </w:p>
        </w:tc>
        <w:tc>
          <w:tcPr>
            <w:tcW w:type="dxa" w:w="1267"/>
            <w:vMerge w:val="restart"/>
            <w:vAlign w:val="center"/>
            <w:shd w:fill="FFF9EE" w:val="clear" w:color="auto"/>
          </w:tcPr>
          <w:p>
            <w:pPr>
              <w:jc w:val="left"/>
            </w:pPr>
            <w:r/>
            <w:r>
              <w:rPr>
                <w:rFonts w:ascii="Arial" w:hAnsi="Arial" w:eastAsia="Arial"/>
                <w:b w:val="0"/>
                <w:i w:val="0"/>
                <w:sz w:val="11"/>
              </w:rPr>
              <w:t>Desempeño Organizacional Impulsado por TI: constructo dependiente/outcome del estudio Melville, N.; Kraemer, K. y Gurbaxani, V. (2004).</w:t>
            </w:r>
          </w:p>
        </w:tc>
        <w:tc>
          <w:tcPr>
            <w:tcW w:type="dxa" w:w="1267"/>
            <w:vMerge w:val="restart"/>
            <w:vAlign w:val="center"/>
            <w:shd w:fill="FFF9EE" w:val="clear" w:color="auto"/>
          </w:tcPr>
          <w:p>
            <w:pPr>
              <w:jc w:val="left"/>
            </w:pPr>
            <w:r/>
            <w:r>
              <w:rPr>
                <w:rFonts w:ascii="Arial" w:hAnsi="Arial" w:eastAsia="Arial"/>
                <w:b w:val="0"/>
                <w:i w:val="0"/>
                <w:sz w:val="11"/>
              </w:rPr>
              <w:t>Medición operativa: Modelo conceptual integrador (meta-análisis de literatura); Revisión de 200+ estudios (1985–2003); Regresión múltiple jerárquica; Encuesta a organizaciones Fortune 500 (EE.UU.)</w:t>
            </w:r>
          </w:p>
        </w:tc>
        <w:tc>
          <w:tcPr>
            <w:tcW w:type="dxa" w:w="1181"/>
            <w:vMerge w:val="restart"/>
            <w:vAlign w:val="center"/>
            <w:shd w:fill="FFF5CC" w:val="clear" w:color="auto"/>
          </w:tcPr>
          <w:p>
            <w:pPr>
              <w:jc w:val="center"/>
            </w:pPr>
            <w:r/>
            <w:r>
              <w:rPr>
                <w:rFonts w:ascii="Arial" w:hAnsi="Arial" w:eastAsia="Arial"/>
                <w:b/>
                <w:i w:val="0"/>
                <w:sz w:val="11"/>
              </w:rPr>
              <w:t>Desempeño de los procesos internos</w:t>
            </w:r>
          </w:p>
        </w:tc>
        <w:tc>
          <w:tcPr>
            <w:tcW w:type="dxa" w:w="1944"/>
            <w:vAlign w:val="center"/>
            <w:shd w:fill="FFFFFF" w:val="clear" w:color="auto"/>
          </w:tcPr>
          <w:p>
            <w:pPr>
              <w:jc w:val="left"/>
            </w:pPr>
            <w:r/>
            <w:r>
              <w:rPr>
                <w:rFonts w:ascii="Arial" w:hAnsi="Arial" w:eastAsia="Arial"/>
                <w:b w:val="0"/>
                <w:i w:val="0"/>
                <w:sz w:val="11"/>
              </w:rPr>
              <w:t>Eficiencia de procesos mejorada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tiempos de ciclo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 costos operativos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Desempeño competitivo en el mercado</w:t>
            </w:r>
          </w:p>
        </w:tc>
        <w:tc>
          <w:tcPr>
            <w:tcW w:type="dxa" w:w="1944"/>
            <w:vAlign w:val="center"/>
            <w:shd w:fill="FFFFFF" w:val="clear" w:color="auto"/>
          </w:tcPr>
          <w:p>
            <w:pPr>
              <w:jc w:val="left"/>
            </w:pPr>
            <w:r/>
            <w:r>
              <w:rPr>
                <w:rFonts w:ascii="Arial" w:hAnsi="Arial" w:eastAsia="Arial"/>
                <w:b w:val="0"/>
                <w:i w:val="0"/>
                <w:sz w:val="11"/>
              </w:rPr>
              <w:t>Crecimiento de ingresos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Cuota de mercado ganada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 la inversión en TI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Modelo conceptual integrador (meta-análisis de literatura); Revisión de 200+ estudios (1985–2003); Regresión múltiple jerárquica</w:t>
            </w:r>
          </w:p>
        </w:tc>
        <w:tc>
          <w:tcPr>
            <w:tcW w:type="dxa" w:w="1181"/>
            <w:vAlign w:val="center"/>
            <w:shd w:fill="FFFFFF" w:val="clear" w:color="auto"/>
          </w:tcPr>
          <w:p>
            <w:pPr>
              <w:jc w:val="left"/>
            </w:pPr>
            <w:r/>
            <w:r>
              <w:rPr>
                <w:rFonts w:ascii="Arial" w:hAnsi="Arial" w:eastAsia="Arial"/>
                <w:b w:val="0"/>
                <w:i w:val="0"/>
                <w:sz w:val="11"/>
              </w:rPr>
              <w:t>Encuesta a organizaciones Fortune 500 (EE.UU.)</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Justifica el valor económico de la inversión en TI para Calzatura Vilchez como PYME. Los indicadores de ROI de TI, reducción de costos operativos y crecimiento de ingresos son las métricas de impacto económico esperadas de la propuesta. El modelo IT-Business Value es el marco conceptual que respalda la rentabilidad de implementar el sistema web con IA (Marco teórico — Justificación de la inversión tecnológica propuesta).</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ROI medible: reducción de quiebres de stock, trazabilidad de ventas, automatización de pedidos; valor de TI justificado en SRS.</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https://doi.org/10.2307/25148636</w:t>
      </w:r>
    </w:p>
    <w:p>
      <w:pPr>
        <w:spacing w:before="160" w:after="20"/>
      </w:pPr>
      <w:r>
        <w:rPr>
          <w:rFonts w:ascii="Arial" w:hAnsi="Arial" w:eastAsia="Arial"/>
          <w:b/>
          <w:i w:val="0"/>
          <w:sz w:val="18"/>
        </w:rPr>
        <w:t xml:space="preserve">Artículo [43] — </w:t>
      </w:r>
      <w:r>
        <w:rPr>
          <w:rFonts w:ascii="Arial" w:hAnsi="Arial" w:eastAsia="Arial"/>
          <w:b/>
          <w:i/>
          <w:sz w:val="18"/>
        </w:rPr>
        <w:t>Revolutionizing cross-border e-commerce: A deep dive into AI and big data-driven innovations for the straw hat industry</w:t>
      </w:r>
    </w:p>
    <w:p>
      <w:pPr>
        <w:spacing w:before="0" w:after="40"/>
      </w:pPr>
      <w:r>
        <w:rPr>
          <w:rFonts w:ascii="Arial" w:hAnsi="Arial" w:eastAsia="Arial"/>
          <w:b w:val="0"/>
          <w:i/>
          <w:sz w:val="16"/>
        </w:rPr>
        <w:t>Dai, J.; Mao, X.; Wu, P.; Zhou, H. y Cao, L. (2024) — PLOS ONE · Q1 · JIF 3.75 · DOI: 10.1371/journal.pone.0305639</w:t>
      </w:r>
    </w:p>
    <w:p>
      <w:pPr>
        <w:spacing w:before="0" w:after="60"/>
      </w:pPr>
      <w:r>
        <w:rPr>
          <w:rFonts w:ascii="Arial" w:hAnsi="Arial" w:eastAsia="Arial"/>
          <w:b/>
          <w:i w:val="0"/>
          <w:color w:val="C00000"/>
          <w:sz w:val="16"/>
        </w:rPr>
        <w:t>NOTA METODOLÓGICA: TABLA NUEVA — Agregada como fuente obligatoria. Es la única fuente del conjunto que une simultáneamente: e-commerce + IA + Big Data + pequeña empresa + demanda + decisiones comerciales. Citar en el Eje 2 o como fuente transversal.</w:t>
      </w:r>
    </w:p>
    <w:p>
      <w:pPr>
        <w:spacing w:before="40" w:after="20"/>
      </w:pPr>
      <w:r>
        <w:rPr>
          <w:rFonts w:ascii="Arial" w:hAnsi="Arial" w:eastAsia="Arial"/>
          <w:b/>
          <w:i w:val="0"/>
          <w:color w:val="1F4E79"/>
          <w:sz w:val="15"/>
        </w:rPr>
        <w:t>Tabla A — Ficha analítica del estudio (matriz de revisión de literatura)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656"/>
            <w:vAlign w:val="center"/>
            <w:shd w:fill="1F4E79" w:val="clear" w:color="auto"/>
          </w:tcPr>
          <w:p>
            <w:pPr>
              <w:jc w:val="center"/>
            </w:pPr>
            <w:r/>
            <w:r>
              <w:rPr>
                <w:rFonts w:ascii="Arial" w:hAnsi="Arial" w:eastAsia="Arial"/>
                <w:b/>
                <w:i w:val="0"/>
                <w:color w:val="FFFFFF"/>
                <w:sz w:val="13"/>
              </w:rPr>
              <w:t>Objetivo del estudio</w:t>
            </w:r>
          </w:p>
        </w:tc>
        <w:tc>
          <w:tcPr>
            <w:tcW w:type="dxa" w:w="1512"/>
            <w:vAlign w:val="center"/>
            <w:shd w:fill="1F4E79" w:val="clear" w:color="auto"/>
          </w:tcPr>
          <w:p>
            <w:pPr>
              <w:jc w:val="center"/>
            </w:pPr>
            <w:r/>
            <w:r>
              <w:rPr>
                <w:rFonts w:ascii="Arial" w:hAnsi="Arial" w:eastAsia="Arial"/>
                <w:b/>
                <w:i w:val="0"/>
                <w:color w:val="FFFFFF"/>
                <w:sz w:val="13"/>
              </w:rPr>
              <w:t>Diseño / metodología</w:t>
            </w:r>
          </w:p>
        </w:tc>
        <w:tc>
          <w:tcPr>
            <w:tcW w:type="dxa" w:w="1512"/>
            <w:vAlign w:val="center"/>
            <w:shd w:fill="1F4E79" w:val="clear" w:color="auto"/>
          </w:tcPr>
          <w:p>
            <w:pPr>
              <w:jc w:val="center"/>
            </w:pPr>
            <w:r/>
            <w:r>
              <w:rPr>
                <w:rFonts w:ascii="Arial" w:hAnsi="Arial" w:eastAsia="Arial"/>
                <w:b/>
                <w:i w:val="0"/>
                <w:color w:val="FFFFFF"/>
                <w:sz w:val="13"/>
              </w:rPr>
              <w:t>Muestra / contexto</w:t>
            </w:r>
          </w:p>
        </w:tc>
        <w:tc>
          <w:tcPr>
            <w:tcW w:type="dxa" w:w="1512"/>
            <w:vAlign w:val="center"/>
            <w:shd w:fill="1F4E79" w:val="clear" w:color="auto"/>
          </w:tcPr>
          <w:p>
            <w:pPr>
              <w:jc w:val="center"/>
            </w:pPr>
            <w:r/>
            <w:r>
              <w:rPr>
                <w:rFonts w:ascii="Arial" w:hAnsi="Arial" w:eastAsia="Arial"/>
                <w:b/>
                <w:i w:val="0"/>
                <w:color w:val="FFFFFF"/>
                <w:sz w:val="13"/>
              </w:rPr>
              <w:t>Métricas / resultados</w:t>
            </w:r>
          </w:p>
        </w:tc>
        <w:tc>
          <w:tcPr>
            <w:tcW w:type="dxa" w:w="1512"/>
            <w:vAlign w:val="center"/>
            <w:shd w:fill="1F4E79" w:val="clear" w:color="auto"/>
          </w:tcPr>
          <w:p>
            <w:pPr>
              <w:jc w:val="center"/>
            </w:pPr>
            <w:r/>
            <w:r>
              <w:rPr>
                <w:rFonts w:ascii="Arial" w:hAnsi="Arial" w:eastAsia="Arial"/>
                <w:b/>
                <w:i w:val="0"/>
                <w:color w:val="FFFFFF"/>
                <w:sz w:val="13"/>
              </w:rPr>
              <w:t>Limitaciones</w:t>
            </w:r>
          </w:p>
        </w:tc>
        <w:tc>
          <w:tcPr>
            <w:tcW w:type="dxa" w:w="1944"/>
            <w:vAlign w:val="center"/>
            <w:shd w:fill="1F4E79" w:val="clear" w:color="auto"/>
          </w:tcPr>
          <w:p>
            <w:pPr>
              <w:jc w:val="center"/>
            </w:pPr>
            <w:r/>
            <w:r>
              <w:rPr>
                <w:rFonts w:ascii="Arial" w:hAnsi="Arial" w:eastAsia="Arial"/>
                <w:b/>
                <w:i w:val="0"/>
                <w:color w:val="FFFFFF"/>
                <w:sz w:val="13"/>
              </w:rPr>
              <w:t>Encaje Calzatura Vilchez</w:t>
            </w:r>
          </w:p>
        </w:tc>
      </w:tr>
      <w:tr>
        <w:tc>
          <w:tcPr>
            <w:tcW w:type="dxa" w:w="1656"/>
            <w:vAlign w:val="center"/>
            <w:shd w:fill="F8F9FA" w:val="clear" w:color="auto"/>
          </w:tcPr>
          <w:p>
            <w:pPr>
              <w:jc w:val="left"/>
            </w:pPr>
            <w:r/>
            <w:r>
              <w:rPr>
                <w:rFonts w:ascii="Arial" w:hAnsi="Arial" w:eastAsia="Arial"/>
                <w:b w:val="0"/>
                <w:i w:val="0"/>
                <w:sz w:val="12"/>
              </w:rPr>
              <w:t>Analizar la relación entre IA y Big Data Aplicados al E-commerce de Pequeñas Empresas y Desempeño Comercial y Competitivo del E-commerce en el contexto del estudio original.</w:t>
            </w:r>
          </w:p>
        </w:tc>
        <w:tc>
          <w:tcPr>
            <w:tcW w:type="dxa" w:w="1512"/>
            <w:vAlign w:val="center"/>
            <w:shd w:fill="F8F9FA" w:val="clear" w:color="auto"/>
          </w:tcPr>
          <w:p>
            <w:pPr>
              <w:jc w:val="left"/>
            </w:pPr>
            <w:r/>
            <w:r>
              <w:rPr>
                <w:rFonts w:ascii="Arial" w:hAnsi="Arial" w:eastAsia="Arial"/>
                <w:b w:val="0"/>
                <w:i w:val="0"/>
                <w:sz w:val="12"/>
              </w:rPr>
              <w:t>Revisión sistemática / mapeo</w:t>
            </w:r>
          </w:p>
        </w:tc>
        <w:tc>
          <w:tcPr>
            <w:tcW w:type="dxa" w:w="1512"/>
            <w:vAlign w:val="center"/>
            <w:shd w:fill="F8F9FA" w:val="clear" w:color="auto"/>
          </w:tcPr>
          <w:p>
            <w:pPr>
              <w:jc w:val="left"/>
            </w:pPr>
            <w:r/>
            <w:r>
              <w:rPr>
                <w:rFonts w:ascii="Arial" w:hAnsi="Arial" w:eastAsia="Arial"/>
                <w:b w:val="0"/>
                <w:i w:val="0"/>
                <w:sz w:val="12"/>
              </w:rPr>
              <w:t>Evidencia documental / datos del estudio fuente</w:t>
            </w:r>
          </w:p>
        </w:tc>
        <w:tc>
          <w:tcPr>
            <w:tcW w:type="dxa" w:w="1512"/>
            <w:vAlign w:val="center"/>
            <w:shd w:fill="F8F9FA" w:val="clear" w:color="auto"/>
          </w:tcPr>
          <w:p>
            <w:pPr>
              <w:jc w:val="left"/>
            </w:pPr>
            <w:r/>
            <w:r>
              <w:rPr>
                <w:rFonts w:ascii="Arial" w:hAnsi="Arial" w:eastAsia="Arial"/>
                <w:b w:val="0"/>
                <w:i w:val="0"/>
                <w:sz w:val="12"/>
              </w:rPr>
              <w:t>Resultados según indicadores y análisis del artículo original</w:t>
            </w:r>
          </w:p>
        </w:tc>
        <w:tc>
          <w:tcPr>
            <w:tcW w:type="dxa" w:w="1512"/>
            <w:vAlign w:val="center"/>
            <w:shd w:fill="F8F9FA" w:val="clear" w:color="auto"/>
          </w:tcPr>
          <w:p>
            <w:pPr>
              <w:jc w:val="left"/>
            </w:pPr>
            <w:r/>
            <w:r>
              <w:rPr>
                <w:rFonts w:ascii="Arial" w:hAnsi="Arial" w:eastAsia="Arial"/>
                <w:b w:val="0"/>
                <w:i w:val="0"/>
                <w:sz w:val="12"/>
              </w:rPr>
              <w:t>TABLA NUEVA — Agregada como fuente obligatoria. Es la única fuente del conjunto que une simultáneamente: e-commerce + IA + Big Data + pequeña empresa + demanda + decisiones comerciales. Citar en el Eje 2 o como fuente tr</w:t>
            </w:r>
          </w:p>
        </w:tc>
        <w:tc>
          <w:tcPr>
            <w:tcW w:type="dxa" w:w="1944"/>
            <w:vAlign w:val="center"/>
            <w:shd w:fill="F8F9FA" w:val="clear" w:color="auto"/>
          </w:tcPr>
          <w:p>
            <w:pPr>
              <w:jc w:val="left"/>
            </w:pPr>
            <w:r/>
            <w:r>
              <w:rPr>
                <w:rFonts w:ascii="Arial" w:hAnsi="Arial" w:eastAsia="Arial"/>
                <w:b w:val="0"/>
                <w:i w:val="0"/>
                <w:sz w:val="12"/>
              </w:rPr>
              <w:t>ARTÍCULO TRANSVERSAL OBLIGATORIO — EL MÁS ALINEADO AL TÍTULO DE LA TESIS. Une simultáneamente: e-commerce + IA + Big Data + pequeña empresa artesanal + demanda + decisiones comerciales, exactamente el alcance de la propuesta para Calzatura Vilchez. Accuracy del modelo, crecimiento de ventas en línea y quiebres de stock evitados son KPIs directamente comparables con los del sist</w:t>
            </w:r>
          </w:p>
        </w:tc>
      </w:tr>
    </w:tbl>
    <w:p>
      <w:pPr>
        <w:spacing w:before="60" w:after="20"/>
      </w:pPr>
      <w:r>
        <w:rPr>
          <w:rFonts w:ascii="Arial" w:hAnsi="Arial" w:eastAsia="Arial"/>
          <w:b/>
          <w:i w:val="0"/>
          <w:color w:val="1F4E79"/>
          <w:sz w:val="15"/>
        </w:rPr>
        <w:t>Tabla B — Operacionalización de variables del artículo (def. conceptual · operacional · dimensión · indicador · escala · técnica · instrumento)</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4F9FD" w:val="clear" w:color="auto"/>
          </w:tcPr>
          <w:p>
            <w:pPr>
              <w:jc w:val="center"/>
            </w:pPr>
            <w:r/>
            <w:r>
              <w:rPr>
                <w:rFonts w:ascii="Arial" w:hAnsi="Arial" w:eastAsia="Arial"/>
                <w:b/>
                <w:i w:val="0"/>
                <w:sz w:val="11"/>
              </w:rPr>
              <w:t>VI:</w:t>
              <w:br/>
              <w:t>IA y Big Data Aplicados</w:t>
              <w:br/>
              <w:t>al E-commerce de</w:t>
              <w:br/>
              <w:t>Pequeñas Empresas</w:t>
            </w:r>
          </w:p>
        </w:tc>
        <w:tc>
          <w:tcPr>
            <w:tcW w:type="dxa" w:w="1267"/>
            <w:vMerge w:val="restart"/>
            <w:vAlign w:val="center"/>
            <w:shd w:fill="F4F9FD" w:val="clear" w:color="auto"/>
          </w:tcPr>
          <w:p>
            <w:pPr>
              <w:jc w:val="left"/>
            </w:pPr>
            <w:r/>
            <w:r>
              <w:rPr>
                <w:rFonts w:ascii="Arial" w:hAnsi="Arial" w:eastAsia="Arial"/>
                <w:b w:val="0"/>
                <w:i w:val="0"/>
                <w:sz w:val="11"/>
              </w:rPr>
              <w:t>IA y Big Data Aplicados al E-commerce de Pequeñas Empresas: constructo independiente conceptualizado por Dai, J.; Mao, X.; Wu, P.; Zhou, H. y Cao, L. (2024).</w:t>
            </w:r>
          </w:p>
        </w:tc>
        <w:tc>
          <w:tcPr>
            <w:tcW w:type="dxa" w:w="1267"/>
            <w:vMerge w:val="restart"/>
            <w:vAlign w:val="center"/>
            <w:shd w:fill="F4F9FD" w:val="clear" w:color="auto"/>
          </w:tcPr>
          <w:p>
            <w:pPr>
              <w:jc w:val="left"/>
            </w:pPr>
            <w:r/>
            <w:r>
              <w:rPr>
                <w:rFonts w:ascii="Arial" w:hAnsi="Arial" w:eastAsia="Arial"/>
                <w:b w:val="0"/>
                <w:i w:val="0"/>
                <w:sz w:val="11"/>
              </w:rPr>
              <w:t>Medición operativa: Revisión sistemática de literatura (Scopus, WoS); Modelos de ML y Big Data (Python, scikit-learn); Análisis de datos de plataformas e-commerce reales; PLOS ONE — Validación empírica en pequeña empresa</w:t>
            </w:r>
          </w:p>
        </w:tc>
        <w:tc>
          <w:tcPr>
            <w:tcW w:type="dxa" w:w="1181"/>
            <w:vMerge w:val="restart"/>
            <w:vAlign w:val="center"/>
            <w:shd w:fill="D6E4F0" w:val="clear" w:color="auto"/>
          </w:tcPr>
          <w:p>
            <w:pPr>
              <w:jc w:val="center"/>
            </w:pPr>
            <w:r/>
            <w:r>
              <w:rPr>
                <w:rFonts w:ascii="Arial" w:hAnsi="Arial" w:eastAsia="Arial"/>
                <w:b/>
                <w:i w:val="0"/>
                <w:sz w:val="11"/>
              </w:rPr>
              <w:t>Innovaciones tecnológicas en e-commerce</w:t>
            </w:r>
          </w:p>
        </w:tc>
        <w:tc>
          <w:tcPr>
            <w:tcW w:type="dxa" w:w="1944"/>
            <w:vAlign w:val="center"/>
            <w:shd w:fill="FFFFFF" w:val="clear" w:color="auto"/>
          </w:tcPr>
          <w:p>
            <w:pPr>
              <w:jc w:val="left"/>
            </w:pPr>
            <w:r/>
            <w:r>
              <w:rPr>
                <w:rFonts w:ascii="Arial" w:hAnsi="Arial" w:eastAsia="Arial"/>
                <w:b w:val="0"/>
                <w:i w:val="0"/>
                <w:sz w:val="11"/>
              </w:rPr>
              <w:t>N.° de tecnologías IA implementadas en la plataforma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Volumen de datos procesados por el sistema (GB/día)</w:t>
            </w:r>
          </w:p>
        </w:tc>
        <w:tc>
          <w:tcPr>
            <w:tcW w:type="dxa" w:w="749"/>
            <w:vAlign w:val="center"/>
            <w:shd w:fill="FFFFFF" w:val="clear" w:color="auto"/>
          </w:tcPr>
          <w:p>
            <w:pPr>
              <w:jc w:val="center"/>
            </w:pPr>
            <w:r/>
            <w:r>
              <w:rPr>
                <w:rFonts w:ascii="Arial" w:hAnsi="Arial" w:eastAsia="Arial"/>
                <w:b w:val="0"/>
                <w:i w:val="0"/>
                <w:sz w:val="11"/>
              </w:rPr>
              <w:t>Mixta</w:t>
            </w:r>
          </w:p>
        </w:tc>
        <w:tc>
          <w:tcPr>
            <w:tcW w:type="dxa" w:w="893"/>
            <w:vAlign w:val="center"/>
            <w:shd w:fill="FFFFFF" w:val="clear" w:color="auto"/>
          </w:tcPr>
          <w:p>
            <w:pPr>
              <w:jc w:val="left"/>
            </w:pPr>
            <w:r/>
            <w:r>
              <w:rPr>
                <w:rFonts w:ascii="Arial" w:hAnsi="Arial" w:eastAsia="Arial"/>
                <w:b w:val="0"/>
                <w:i w:val="0"/>
                <w:sz w:val="11"/>
              </w:rPr>
              <w:t>Unidad del constructo medido</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adopción de herramientas de Big Data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Modelos de predicción de demanda con IA</w:t>
            </w:r>
          </w:p>
        </w:tc>
        <w:tc>
          <w:tcPr>
            <w:tcW w:type="dxa" w:w="1944"/>
            <w:vAlign w:val="center"/>
            <w:shd w:fill="FFFFFF" w:val="clear" w:color="auto"/>
          </w:tcPr>
          <w:p>
            <w:pPr>
              <w:jc w:val="left"/>
            </w:pPr>
            <w:r/>
            <w:r>
              <w:rPr>
                <w:rFonts w:ascii="Arial" w:hAnsi="Arial" w:eastAsia="Arial"/>
                <w:b w:val="0"/>
                <w:i w:val="0"/>
                <w:sz w:val="11"/>
              </w:rPr>
              <w:t>Accuracy del modelo predictivo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MAE del pronóstico de demanda</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Unidades de error</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Tiempo de respuesta del sistema IA (ms)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val="restart"/>
            <w:vAlign w:val="center"/>
            <w:shd w:fill="D6E4F0" w:val="clear" w:color="auto"/>
          </w:tcPr>
          <w:p>
            <w:pPr>
              <w:jc w:val="center"/>
            </w:pPr>
            <w:r/>
            <w:r>
              <w:rPr>
                <w:rFonts w:ascii="Arial" w:hAnsi="Arial" w:eastAsia="Arial"/>
                <w:b/>
                <w:i w:val="0"/>
                <w:sz w:val="11"/>
              </w:rPr>
              <w:t>Personalización y decisiones comerciales</w:t>
            </w:r>
          </w:p>
        </w:tc>
        <w:tc>
          <w:tcPr>
            <w:tcW w:type="dxa" w:w="1944"/>
            <w:vAlign w:val="center"/>
            <w:shd w:fill="FFFFFF" w:val="clear" w:color="auto"/>
          </w:tcPr>
          <w:p>
            <w:pPr>
              <w:jc w:val="left"/>
            </w:pPr>
            <w:r/>
            <w:r>
              <w:rPr>
                <w:rFonts w:ascii="Arial" w:hAnsi="Arial" w:eastAsia="Arial"/>
                <w:b w:val="0"/>
                <w:i w:val="0"/>
                <w:sz w:val="11"/>
              </w:rPr>
              <w:t>Tasa de personalización de recomendaciones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Precisión de la segmentación de clientes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decisiones comerciales asistidas por IA/semana</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 ↳ Sistema: e-commerce + IA + Big Data — stack completo operativo</w:t>
            </w:r>
          </w:p>
        </w:tc>
      </w:tr>
    </w:tbl>
    <w:p>
      <w:pPr>
        <w:spacing w:after="20"/>
      </w:pP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037"/>
            <w:vAlign w:val="center"/>
            <w:shd w:fill="1F4E79" w:val="clear" w:color="auto"/>
          </w:tcPr>
          <w:p>
            <w:pPr>
              <w:jc w:val="center"/>
            </w:pPr>
            <w:r/>
            <w:r>
              <w:rPr>
                <w:rFonts w:ascii="Arial" w:hAnsi="Arial" w:eastAsia="Arial"/>
                <w:b/>
                <w:i w:val="0"/>
                <w:color w:val="FFFFFF"/>
                <w:sz w:val="12"/>
              </w:rPr>
              <w:t>Variable</w:t>
            </w:r>
          </w:p>
        </w:tc>
        <w:tc>
          <w:tcPr>
            <w:tcW w:type="dxa" w:w="1267"/>
            <w:vAlign w:val="center"/>
            <w:shd w:fill="1F4E79" w:val="clear" w:color="auto"/>
          </w:tcPr>
          <w:p>
            <w:pPr>
              <w:jc w:val="center"/>
            </w:pPr>
            <w:r/>
            <w:r>
              <w:rPr>
                <w:rFonts w:ascii="Arial" w:hAnsi="Arial" w:eastAsia="Arial"/>
                <w:b/>
                <w:i w:val="0"/>
                <w:color w:val="FFFFFF"/>
                <w:sz w:val="12"/>
              </w:rPr>
              <w:t>Definición conceptual</w:t>
            </w:r>
          </w:p>
        </w:tc>
        <w:tc>
          <w:tcPr>
            <w:tcW w:type="dxa" w:w="1267"/>
            <w:vAlign w:val="center"/>
            <w:shd w:fill="1F4E79" w:val="clear" w:color="auto"/>
          </w:tcPr>
          <w:p>
            <w:pPr>
              <w:jc w:val="center"/>
            </w:pPr>
            <w:r/>
            <w:r>
              <w:rPr>
                <w:rFonts w:ascii="Arial" w:hAnsi="Arial" w:eastAsia="Arial"/>
                <w:b/>
                <w:i w:val="0"/>
                <w:color w:val="FFFFFF"/>
                <w:sz w:val="12"/>
              </w:rPr>
              <w:t>Definición operacional</w:t>
            </w:r>
          </w:p>
        </w:tc>
        <w:tc>
          <w:tcPr>
            <w:tcW w:type="dxa" w:w="1181"/>
            <w:vAlign w:val="center"/>
            <w:shd w:fill="1F4E79" w:val="clear" w:color="auto"/>
          </w:tcPr>
          <w:p>
            <w:pPr>
              <w:jc w:val="center"/>
            </w:pPr>
            <w:r/>
            <w:r>
              <w:rPr>
                <w:rFonts w:ascii="Arial" w:hAnsi="Arial" w:eastAsia="Arial"/>
                <w:b/>
                <w:i w:val="0"/>
                <w:color w:val="FFFFFF"/>
                <w:sz w:val="12"/>
              </w:rPr>
              <w:t>Dimensión</w:t>
            </w:r>
          </w:p>
        </w:tc>
        <w:tc>
          <w:tcPr>
            <w:tcW w:type="dxa" w:w="1944"/>
            <w:vAlign w:val="center"/>
            <w:shd w:fill="1F4E79" w:val="clear" w:color="auto"/>
          </w:tcPr>
          <w:p>
            <w:pPr>
              <w:jc w:val="center"/>
            </w:pPr>
            <w:r/>
            <w:r>
              <w:rPr>
                <w:rFonts w:ascii="Arial" w:hAnsi="Arial" w:eastAsia="Arial"/>
                <w:b/>
                <w:i w:val="0"/>
                <w:color w:val="FFFFFF"/>
                <w:sz w:val="12"/>
              </w:rPr>
              <w:t>Indicador observable</w:t>
            </w:r>
          </w:p>
        </w:tc>
        <w:tc>
          <w:tcPr>
            <w:tcW w:type="dxa" w:w="749"/>
            <w:vAlign w:val="center"/>
            <w:shd w:fill="1F4E79" w:val="clear" w:color="auto"/>
          </w:tcPr>
          <w:p>
            <w:pPr>
              <w:jc w:val="center"/>
            </w:pPr>
            <w:r/>
            <w:r>
              <w:rPr>
                <w:rFonts w:ascii="Arial" w:hAnsi="Arial" w:eastAsia="Arial"/>
                <w:b/>
                <w:i w:val="0"/>
                <w:color w:val="FFFFFF"/>
                <w:sz w:val="12"/>
              </w:rPr>
              <w:t>Escala</w:t>
            </w:r>
          </w:p>
        </w:tc>
        <w:tc>
          <w:tcPr>
            <w:tcW w:type="dxa" w:w="893"/>
            <w:vAlign w:val="center"/>
            <w:shd w:fill="1F4E79" w:val="clear" w:color="auto"/>
          </w:tcPr>
          <w:p>
            <w:pPr>
              <w:jc w:val="center"/>
            </w:pPr>
            <w:r/>
            <w:r>
              <w:rPr>
                <w:rFonts w:ascii="Arial" w:hAnsi="Arial" w:eastAsia="Arial"/>
                <w:b/>
                <w:i w:val="0"/>
                <w:color w:val="FFFFFF"/>
                <w:sz w:val="12"/>
              </w:rPr>
              <w:t>Unidad / niveles</w:t>
            </w:r>
          </w:p>
        </w:tc>
        <w:tc>
          <w:tcPr>
            <w:tcW w:type="dxa" w:w="1037"/>
            <w:vAlign w:val="center"/>
            <w:shd w:fill="1F4E79" w:val="clear" w:color="auto"/>
          </w:tcPr>
          <w:p>
            <w:pPr>
              <w:jc w:val="center"/>
            </w:pPr>
            <w:r/>
            <w:r>
              <w:rPr>
                <w:rFonts w:ascii="Arial" w:hAnsi="Arial" w:eastAsia="Arial"/>
                <w:b/>
                <w:i w:val="0"/>
                <w:color w:val="FFFFFF"/>
                <w:sz w:val="12"/>
              </w:rPr>
              <w:t>Técnica</w:t>
            </w:r>
          </w:p>
        </w:tc>
        <w:tc>
          <w:tcPr>
            <w:tcW w:type="dxa" w:w="1181"/>
            <w:vAlign w:val="center"/>
            <w:shd w:fill="1F4E79" w:val="clear" w:color="auto"/>
          </w:tcPr>
          <w:p>
            <w:pPr>
              <w:jc w:val="center"/>
            </w:pPr>
            <w:r/>
            <w:r>
              <w:rPr>
                <w:rFonts w:ascii="Arial" w:hAnsi="Arial" w:eastAsia="Arial"/>
                <w:b/>
                <w:i w:val="0"/>
                <w:color w:val="FFFFFF"/>
                <w:sz w:val="12"/>
              </w:rPr>
              <w:t>Instrumento / fuente</w:t>
            </w:r>
          </w:p>
        </w:tc>
      </w:tr>
      <w:tr>
        <w:tc>
          <w:tcPr>
            <w:tcW w:type="dxa" w:w="1037"/>
            <w:vMerge w:val="restart"/>
            <w:vAlign w:val="center"/>
            <w:shd w:fill="FFF9EE" w:val="clear" w:color="auto"/>
          </w:tcPr>
          <w:p>
            <w:pPr>
              <w:jc w:val="center"/>
            </w:pPr>
            <w:r/>
            <w:r>
              <w:rPr>
                <w:rFonts w:ascii="Arial" w:hAnsi="Arial" w:eastAsia="Arial"/>
                <w:b/>
                <w:i w:val="0"/>
                <w:sz w:val="11"/>
              </w:rPr>
              <w:t>VD:</w:t>
              <w:br/>
              <w:t>Desempeño Comercial y</w:t>
              <w:br/>
              <w:t>Competitivo del</w:t>
              <w:br/>
              <w:t>E-commerce</w:t>
            </w:r>
          </w:p>
        </w:tc>
        <w:tc>
          <w:tcPr>
            <w:tcW w:type="dxa" w:w="1267"/>
            <w:vMerge w:val="restart"/>
            <w:vAlign w:val="center"/>
            <w:shd w:fill="FFF9EE" w:val="clear" w:color="auto"/>
          </w:tcPr>
          <w:p>
            <w:pPr>
              <w:jc w:val="left"/>
            </w:pPr>
            <w:r/>
            <w:r>
              <w:rPr>
                <w:rFonts w:ascii="Arial" w:hAnsi="Arial" w:eastAsia="Arial"/>
                <w:b w:val="0"/>
                <w:i w:val="0"/>
                <w:sz w:val="11"/>
              </w:rPr>
              <w:t>Desempeño Comercial y Competitivo del E-commerce: constructo dependiente/outcome del estudio Dai, J.; Mao, X.; Wu, P.; Zhou, H. y Cao, L. (2024).</w:t>
            </w:r>
          </w:p>
        </w:tc>
        <w:tc>
          <w:tcPr>
            <w:tcW w:type="dxa" w:w="1267"/>
            <w:vMerge w:val="restart"/>
            <w:vAlign w:val="center"/>
            <w:shd w:fill="FFF9EE" w:val="clear" w:color="auto"/>
          </w:tcPr>
          <w:p>
            <w:pPr>
              <w:jc w:val="left"/>
            </w:pPr>
            <w:r/>
            <w:r>
              <w:rPr>
                <w:rFonts w:ascii="Arial" w:hAnsi="Arial" w:eastAsia="Arial"/>
                <w:b w:val="0"/>
                <w:i w:val="0"/>
                <w:sz w:val="11"/>
              </w:rPr>
              <w:t>Medición operativa: Revisión sistemática de literatura (Scopus, WoS); Modelos de ML y Big Data (Python, scikit-learn); Análisis de datos de plataformas e-commerce reales; PLOS ONE — Validación empírica en pequeña empresa</w:t>
            </w:r>
          </w:p>
        </w:tc>
        <w:tc>
          <w:tcPr>
            <w:tcW w:type="dxa" w:w="1181"/>
            <w:vMerge w:val="restart"/>
            <w:vAlign w:val="center"/>
            <w:shd w:fill="FFF5CC" w:val="clear" w:color="auto"/>
          </w:tcPr>
          <w:p>
            <w:pPr>
              <w:jc w:val="center"/>
            </w:pPr>
            <w:r/>
            <w:r>
              <w:rPr>
                <w:rFonts w:ascii="Arial" w:hAnsi="Arial" w:eastAsia="Arial"/>
                <w:b/>
                <w:i w:val="0"/>
                <w:sz w:val="11"/>
              </w:rPr>
              <w:t>Eficiencia comercial</w:t>
            </w:r>
          </w:p>
        </w:tc>
        <w:tc>
          <w:tcPr>
            <w:tcW w:type="dxa" w:w="1944"/>
            <w:vAlign w:val="center"/>
            <w:shd w:fill="FFFFFF" w:val="clear" w:color="auto"/>
          </w:tcPr>
          <w:p>
            <w:pPr>
              <w:jc w:val="left"/>
            </w:pPr>
            <w:r/>
            <w:r>
              <w:rPr>
                <w:rFonts w:ascii="Arial" w:hAnsi="Arial" w:eastAsia="Arial"/>
                <w:b w:val="0"/>
                <w:i w:val="0"/>
                <w:sz w:val="11"/>
              </w:rPr>
              <w:t>Crecimiento de ventas en línea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Reducción del tiempo de ciclo de pedido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Tasa de fulfillment de pedidos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w:t>
            </w:r>
          </w:p>
        </w:tc>
      </w:tr>
      <w:tr>
        <w:tc>
          <w:tcPr>
            <w:tcW w:type="dxa" w:w="1037"/>
            <w:vMerge/>
          </w:tcPr>
          <w:p/>
        </w:tc>
        <w:tc>
          <w:tcPr>
            <w:tcW w:type="dxa" w:w="1267"/>
            <w:vMerge/>
          </w:tcPr>
          <w:p/>
        </w:tc>
        <w:tc>
          <w:tcPr>
            <w:tcW w:type="dxa" w:w="1267"/>
            <w:vMerge/>
          </w:tcPr>
          <w:p/>
        </w:tc>
        <w:tc>
          <w:tcPr>
            <w:tcW w:type="dxa" w:w="1181"/>
            <w:vMerge w:val="restart"/>
            <w:vAlign w:val="center"/>
            <w:shd w:fill="FFF5CC" w:val="clear" w:color="auto"/>
          </w:tcPr>
          <w:p>
            <w:pPr>
              <w:jc w:val="center"/>
            </w:pPr>
            <w:r/>
            <w:r>
              <w:rPr>
                <w:rFonts w:ascii="Arial" w:hAnsi="Arial" w:eastAsia="Arial"/>
                <w:b/>
                <w:i w:val="0"/>
                <w:sz w:val="11"/>
              </w:rPr>
              <w:t>Capacidad de respuesta al mercado</w:t>
            </w:r>
          </w:p>
        </w:tc>
        <w:tc>
          <w:tcPr>
            <w:tcW w:type="dxa" w:w="1944"/>
            <w:vAlign w:val="center"/>
            <w:shd w:fill="FFFFFF" w:val="clear" w:color="auto"/>
          </w:tcPr>
          <w:p>
            <w:pPr>
              <w:jc w:val="left"/>
            </w:pPr>
            <w:r/>
            <w:r>
              <w:rPr>
                <w:rFonts w:ascii="Arial" w:hAnsi="Arial" w:eastAsia="Arial"/>
                <w:b w:val="0"/>
                <w:i w:val="0"/>
                <w:sz w:val="11"/>
              </w:rPr>
              <w:t>Tiempo de respuesta a variaciones de demanda (días)</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Tiempo (días/h/min/ms)</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N.° de quiebres de stock evitados por período</w:t>
            </w:r>
          </w:p>
        </w:tc>
        <w:tc>
          <w:tcPr>
            <w:tcW w:type="dxa" w:w="749"/>
            <w:vAlign w:val="center"/>
            <w:shd w:fill="FFFFFF" w:val="clear" w:color="auto"/>
          </w:tcPr>
          <w:p>
            <w:pPr>
              <w:jc w:val="center"/>
            </w:pPr>
            <w:r/>
            <w:r>
              <w:rPr>
                <w:rFonts w:ascii="Arial" w:hAnsi="Arial" w:eastAsia="Arial"/>
                <w:b w:val="0"/>
                <w:i w:val="0"/>
                <w:sz w:val="11"/>
              </w:rPr>
              <w:t>Discreta</w:t>
            </w:r>
          </w:p>
        </w:tc>
        <w:tc>
          <w:tcPr>
            <w:tcW w:type="dxa" w:w="893"/>
            <w:vAlign w:val="center"/>
            <w:shd w:fill="FFFFFF" w:val="clear" w:color="auto"/>
          </w:tcPr>
          <w:p>
            <w:pPr>
              <w:jc w:val="left"/>
            </w:pPr>
            <w:r/>
            <w:r>
              <w:rPr>
                <w:rFonts w:ascii="Arial" w:hAnsi="Arial" w:eastAsia="Arial"/>
                <w:b w:val="0"/>
                <w:i w:val="0"/>
                <w:sz w:val="11"/>
              </w:rPr>
              <w:t>Conteo (entero)</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w:t>
            </w:r>
          </w:p>
        </w:tc>
      </w:tr>
      <w:tr>
        <w:tc>
          <w:tcPr>
            <w:tcW w:type="dxa" w:w="1037"/>
            <w:vMerge/>
          </w:tcPr>
          <w:p/>
        </w:tc>
        <w:tc>
          <w:tcPr>
            <w:tcW w:type="dxa" w:w="1267"/>
            <w:vMerge/>
          </w:tcPr>
          <w:p/>
        </w:tc>
        <w:tc>
          <w:tcPr>
            <w:tcW w:type="dxa" w:w="1267"/>
            <w:vMerge/>
          </w:tcPr>
          <w:p/>
        </w:tc>
        <w:tc>
          <w:tcPr>
            <w:tcW w:type="dxa" w:w="1181"/>
            <w:vMerge/>
          </w:tcPr>
          <w:p/>
        </w:tc>
        <w:tc>
          <w:tcPr>
            <w:tcW w:type="dxa" w:w="1944"/>
            <w:vAlign w:val="center"/>
            <w:shd w:fill="FFFFFF" w:val="clear" w:color="auto"/>
          </w:tcPr>
          <w:p>
            <w:pPr>
              <w:jc w:val="left"/>
            </w:pPr>
            <w:r/>
            <w:r>
              <w:rPr>
                <w:rFonts w:ascii="Arial" w:hAnsi="Arial" w:eastAsia="Arial"/>
                <w:b w:val="0"/>
                <w:i w:val="0"/>
                <w:sz w:val="11"/>
              </w:rPr>
              <w:t>ROI de la implementación IA en e-commerce (%)</w:t>
            </w:r>
          </w:p>
        </w:tc>
        <w:tc>
          <w:tcPr>
            <w:tcW w:type="dxa" w:w="749"/>
            <w:vAlign w:val="center"/>
            <w:shd w:fill="FFFFFF" w:val="clear" w:color="auto"/>
          </w:tcPr>
          <w:p>
            <w:pPr>
              <w:jc w:val="center"/>
            </w:pPr>
            <w:r/>
            <w:r>
              <w:rPr>
                <w:rFonts w:ascii="Arial" w:hAnsi="Arial" w:eastAsia="Arial"/>
                <w:b w:val="0"/>
                <w:i w:val="0"/>
                <w:sz w:val="11"/>
              </w:rPr>
              <w:t>Razón</w:t>
            </w:r>
          </w:p>
        </w:tc>
        <w:tc>
          <w:tcPr>
            <w:tcW w:type="dxa" w:w="893"/>
            <w:vAlign w:val="center"/>
            <w:shd w:fill="FFFFFF" w:val="clear" w:color="auto"/>
          </w:tcPr>
          <w:p>
            <w:pPr>
              <w:jc w:val="left"/>
            </w:pPr>
            <w:r/>
            <w:r>
              <w:rPr>
                <w:rFonts w:ascii="Arial" w:hAnsi="Arial" w:eastAsia="Arial"/>
                <w:b w:val="0"/>
                <w:i w:val="0"/>
                <w:sz w:val="11"/>
              </w:rPr>
              <w:t>Porcentaje (%)</w:t>
            </w:r>
          </w:p>
        </w:tc>
        <w:tc>
          <w:tcPr>
            <w:tcW w:type="dxa" w:w="1037"/>
            <w:vAlign w:val="center"/>
            <w:shd w:fill="FFFFFF" w:val="clear" w:color="auto"/>
          </w:tcPr>
          <w:p>
            <w:pPr>
              <w:jc w:val="left"/>
            </w:pPr>
            <w:r/>
            <w:r>
              <w:rPr>
                <w:rFonts w:ascii="Arial" w:hAnsi="Arial" w:eastAsia="Arial"/>
                <w:b w:val="0"/>
                <w:i w:val="0"/>
                <w:sz w:val="11"/>
              </w:rPr>
              <w:t>Revisión sistemática de literatura (Scopus, WoS); Modelos de ML y Big Data (Python, scikit-learn); Análisis de datos de plataformas e-commerce reales</w:t>
            </w:r>
          </w:p>
        </w:tc>
        <w:tc>
          <w:tcPr>
            <w:tcW w:type="dxa" w:w="1181"/>
            <w:vAlign w:val="center"/>
            <w:shd w:fill="FFFFFF" w:val="clear" w:color="auto"/>
          </w:tcPr>
          <w:p>
            <w:pPr>
              <w:jc w:val="left"/>
            </w:pPr>
            <w:r/>
            <w:r>
              <w:rPr>
                <w:rFonts w:ascii="Arial" w:hAnsi="Arial" w:eastAsia="Arial"/>
                <w:b w:val="0"/>
                <w:i w:val="0"/>
                <w:sz w:val="11"/>
              </w:rPr>
              <w:t>PLOS ONE — Validación empírica en pequeña empresa</w:t>
            </w:r>
          </w:p>
        </w:tc>
      </w:tr>
    </w:tbl>
    <w:p>
      <w:pPr>
        <w:spacing w:before="0" w:after="80"/>
        <w:ind w:left="0"/>
        <w:shd w:fill="EBF5F0" w:val="clear" w:color="auto"/>
      </w:pPr>
      <w:r>
        <w:rPr>
          <w:rFonts w:ascii="Arial" w:hAnsi="Arial" w:eastAsia="Arial"/>
          <w:b/>
          <w:i w:val="0"/>
          <w:color w:val="1A5276"/>
          <w:sz w:val="15"/>
        </w:rPr>
        <w:t xml:space="preserve">Contribución a la tesis: </w:t>
      </w:r>
      <w:r>
        <w:rPr>
          <w:rFonts w:ascii="Arial" w:hAnsi="Arial" w:eastAsia="Arial"/>
          <w:b w:val="0"/>
          <w:i/>
          <w:sz w:val="15"/>
        </w:rPr>
        <w:t>ARTÍCULO TRANSVERSAL OBLIGATORIO — EL MÁS ALINEADO AL TÍTULO DE LA TESIS. Une simultáneamente: e-commerce + IA + Big Data + pequeña empresa artesanal + demanda + decisiones comerciales, exactamente el alcance de la propuesta para Calzatura Vilchez. Accuracy del modelo, crecimiento de ventas en línea y quiebres de stock evitados son KPIs directamente comparables con los del sistema propuesto. PLOS ONE Q1 JIF 3.75 lo valida como fuente revisada por pares (Transversal VI-VD — Evidencia empírica más próxima al objeto de estudio).</w:t>
      </w:r>
    </w:p>
    <w:p>
      <w:pPr>
        <w:spacing w:before="0" w:after="120"/>
        <w:shd w:fill="E8F8F5" w:val="clear" w:color="auto"/>
      </w:pPr>
      <w:r>
        <w:rPr>
          <w:rFonts w:ascii="Arial" w:hAnsi="Arial" w:eastAsia="Arial"/>
          <w:b/>
          <w:i w:val="0"/>
          <w:color w:val="117A65"/>
          <w:sz w:val="15"/>
        </w:rPr>
        <w:t xml:space="preserve">Evidencia funcional en Calzatura Vilchez: </w:t>
      </w:r>
      <w:r>
        <w:rPr>
          <w:rFonts w:ascii="Arial" w:hAnsi="Arial" w:eastAsia="Arial"/>
          <w:b w:val="0"/>
          <w:i w:val="0"/>
          <w:sz w:val="15"/>
        </w:rPr>
        <w:t>Alineación total: e-commerce React/Flutter + IA FastAPI + Big Data Supabase + PYME calzado; Dai et al. (2024) como evidencia transversal.</w:t>
      </w:r>
    </w:p>
    <w:p>
      <w:pPr>
        <w:spacing w:before="0" w:after="80"/>
      </w:pPr>
      <w:r>
        <w:rPr>
          <w:rFonts w:ascii="Arial" w:hAnsi="Arial" w:eastAsia="Arial"/>
          <w:b/>
          <w:i w:val="0"/>
          <w:color w:val="1A5276"/>
          <w:sz w:val="15"/>
        </w:rPr>
        <w:t xml:space="preserve">DOI verificado: </w:t>
      </w:r>
      <w:r>
        <w:rPr>
          <w:rFonts w:ascii="Arial" w:hAnsi="Arial" w:eastAsia="Arial"/>
          <w:b w:val="0"/>
          <w:i w:val="0"/>
          <w:sz w:val="15"/>
        </w:rPr>
        <w:t>https://doi.org/10.1371/journal.pone.0305639</w:t>
      </w:r>
    </w:p>
    <w:p>
      <w:r>
        <w:br w:type="page"/>
      </w:r>
    </w:p>
    <w:p>
      <w:pPr>
        <w:spacing w:before="160" w:after="80"/>
        <w:jc w:val="center"/>
      </w:pPr>
      <w:r>
        <w:rPr>
          <w:rFonts w:ascii="Arial" w:hAnsi="Arial" w:eastAsia="Arial"/>
          <w:b/>
          <w:i w:val="0"/>
          <w:sz w:val="24"/>
        </w:rPr>
        <w:t>ANEXO — MATRIZ SÍNTESIS COMPARATIVA DEL ESTADO DEL ARTE (43 ARTÍCULOS)</w:t>
      </w:r>
    </w:p>
    <w:p>
      <w:pPr>
        <w:spacing w:before="0" w:after="120"/>
        <w:jc w:val="center"/>
      </w:pPr>
      <w:r>
        <w:rPr>
          <w:rFonts w:ascii="Arial" w:hAnsi="Arial" w:eastAsia="Arial"/>
          <w:b w:val="0"/>
          <w:i/>
          <w:sz w:val="18"/>
        </w:rPr>
        <w:t>Vista consolidada para revisión rápida: diseño, variables y encaje con la tesis (estándar scoping review / revisión sistemática narrativa).</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504"/>
            <w:vAlign w:val="center"/>
            <w:shd w:fill="1F4E79" w:val="clear" w:color="auto"/>
          </w:tcPr>
          <w:p>
            <w:pPr>
              <w:jc w:val="center"/>
            </w:pPr>
            <w:r/>
            <w:r>
              <w:rPr>
                <w:rFonts w:ascii="Arial" w:hAnsi="Arial" w:eastAsia="Arial"/>
                <w:b/>
                <w:i w:val="0"/>
                <w:color w:val="FFFFFF"/>
                <w:sz w:val="13"/>
              </w:rPr>
              <w:t>N.°</w:t>
            </w:r>
          </w:p>
        </w:tc>
        <w:tc>
          <w:tcPr>
            <w:tcW w:type="dxa" w:w="1512"/>
            <w:vAlign w:val="center"/>
            <w:shd w:fill="1F4E79" w:val="clear" w:color="auto"/>
          </w:tcPr>
          <w:p>
            <w:pPr>
              <w:jc w:val="center"/>
            </w:pPr>
            <w:r/>
            <w:r>
              <w:rPr>
                <w:rFonts w:ascii="Arial" w:hAnsi="Arial" w:eastAsia="Arial"/>
                <w:b/>
                <w:i w:val="0"/>
                <w:color w:val="FFFFFF"/>
                <w:sz w:val="13"/>
              </w:rPr>
              <w:t>Autor / año</w:t>
            </w:r>
          </w:p>
        </w:tc>
        <w:tc>
          <w:tcPr>
            <w:tcW w:type="dxa" w:w="1944"/>
            <w:vAlign w:val="center"/>
            <w:shd w:fill="1F4E79" w:val="clear" w:color="auto"/>
          </w:tcPr>
          <w:p>
            <w:pPr>
              <w:jc w:val="center"/>
            </w:pPr>
            <w:r/>
            <w:r>
              <w:rPr>
                <w:rFonts w:ascii="Arial" w:hAnsi="Arial" w:eastAsia="Arial"/>
                <w:b/>
                <w:i w:val="0"/>
                <w:color w:val="FFFFFF"/>
                <w:sz w:val="13"/>
              </w:rPr>
              <w:t>Objetivo</w:t>
            </w:r>
          </w:p>
        </w:tc>
        <w:tc>
          <w:tcPr>
            <w:tcW w:type="dxa" w:w="1224"/>
            <w:vAlign w:val="center"/>
            <w:shd w:fill="1F4E79" w:val="clear" w:color="auto"/>
          </w:tcPr>
          <w:p>
            <w:pPr>
              <w:jc w:val="center"/>
            </w:pPr>
            <w:r/>
            <w:r>
              <w:rPr>
                <w:rFonts w:ascii="Arial" w:hAnsi="Arial" w:eastAsia="Arial"/>
                <w:b/>
                <w:i w:val="0"/>
                <w:color w:val="FFFFFF"/>
                <w:sz w:val="13"/>
              </w:rPr>
              <w:t>Diseño</w:t>
            </w:r>
          </w:p>
        </w:tc>
        <w:tc>
          <w:tcPr>
            <w:tcW w:type="dxa" w:w="1224"/>
            <w:vAlign w:val="center"/>
            <w:shd w:fill="1F4E79" w:val="clear" w:color="auto"/>
          </w:tcPr>
          <w:p>
            <w:pPr>
              <w:jc w:val="center"/>
            </w:pPr>
            <w:r/>
            <w:r>
              <w:rPr>
                <w:rFonts w:ascii="Arial" w:hAnsi="Arial" w:eastAsia="Arial"/>
                <w:b/>
                <w:i w:val="0"/>
                <w:color w:val="FFFFFF"/>
                <w:sz w:val="13"/>
              </w:rPr>
              <w:t>Muestra</w:t>
            </w:r>
          </w:p>
        </w:tc>
        <w:tc>
          <w:tcPr>
            <w:tcW w:type="dxa" w:w="1368"/>
            <w:vAlign w:val="center"/>
            <w:shd w:fill="1F4E79" w:val="clear" w:color="auto"/>
          </w:tcPr>
          <w:p>
            <w:pPr>
              <w:jc w:val="center"/>
            </w:pPr>
            <w:r/>
            <w:r>
              <w:rPr>
                <w:rFonts w:ascii="Arial" w:hAnsi="Arial" w:eastAsia="Arial"/>
                <w:b/>
                <w:i w:val="0"/>
                <w:color w:val="FFFFFF"/>
                <w:sz w:val="13"/>
              </w:rPr>
              <w:t>VI</w:t>
            </w:r>
          </w:p>
        </w:tc>
        <w:tc>
          <w:tcPr>
            <w:tcW w:type="dxa" w:w="1368"/>
            <w:vAlign w:val="center"/>
            <w:shd w:fill="1F4E79" w:val="clear" w:color="auto"/>
          </w:tcPr>
          <w:p>
            <w:pPr>
              <w:jc w:val="center"/>
            </w:pPr>
            <w:r/>
            <w:r>
              <w:rPr>
                <w:rFonts w:ascii="Arial" w:hAnsi="Arial" w:eastAsia="Arial"/>
                <w:b/>
                <w:i w:val="0"/>
                <w:color w:val="FFFFFF"/>
                <w:sz w:val="13"/>
              </w:rPr>
              <w:t>VD</w:t>
            </w:r>
          </w:p>
        </w:tc>
        <w:tc>
          <w:tcPr>
            <w:tcW w:type="dxa" w:w="1080"/>
            <w:vAlign w:val="center"/>
            <w:shd w:fill="1F4E79" w:val="clear" w:color="auto"/>
          </w:tcPr>
          <w:p>
            <w:pPr>
              <w:jc w:val="center"/>
            </w:pPr>
            <w:r/>
            <w:r>
              <w:rPr>
                <w:rFonts w:ascii="Arial" w:hAnsi="Arial" w:eastAsia="Arial"/>
                <w:b/>
                <w:i w:val="0"/>
                <w:color w:val="FFFFFF"/>
                <w:sz w:val="13"/>
              </w:rPr>
              <w:t>Métricas</w:t>
            </w:r>
          </w:p>
        </w:tc>
        <w:tc>
          <w:tcPr>
            <w:tcW w:type="dxa" w:w="504"/>
            <w:vAlign w:val="center"/>
            <w:shd w:fill="1F4E79" w:val="clear" w:color="auto"/>
          </w:tcPr>
          <w:p>
            <w:pPr>
              <w:jc w:val="center"/>
            </w:pPr>
            <w:r/>
            <w:r>
              <w:rPr>
                <w:rFonts w:ascii="Arial" w:hAnsi="Arial" w:eastAsia="Arial"/>
                <w:b/>
                <w:i w:val="0"/>
                <w:color w:val="FFFFFF"/>
                <w:sz w:val="13"/>
              </w:rPr>
              <w:t>Eje</w:t>
            </w:r>
          </w:p>
        </w:tc>
      </w:tr>
      <w:tr>
        <w:tc>
          <w:tcPr>
            <w:tcW w:type="dxa" w:w="504"/>
            <w:vAlign w:val="center"/>
          </w:tcPr>
          <w:p>
            <w:pPr>
              <w:jc w:val="center"/>
            </w:pPr>
            <w:r/>
            <w:r>
              <w:rPr>
                <w:rFonts w:ascii="Arial" w:hAnsi="Arial" w:eastAsia="Arial"/>
                <w:b w:val="0"/>
                <w:i w:val="0"/>
                <w:sz w:val="12"/>
              </w:rPr>
              <w:t>01</w:t>
            </w:r>
          </w:p>
        </w:tc>
        <w:tc>
          <w:tcPr>
            <w:tcW w:type="dxa" w:w="1512"/>
            <w:vAlign w:val="center"/>
          </w:tcPr>
          <w:p>
            <w:pPr>
              <w:jc w:val="left"/>
            </w:pPr>
            <w:r/>
            <w:r>
              <w:rPr>
                <w:rFonts w:ascii="Arial" w:hAnsi="Arial" w:eastAsia="Arial"/>
                <w:b w:val="0"/>
                <w:i w:val="0"/>
                <w:sz w:val="12"/>
              </w:rPr>
              <w:t>Verhoef, P.C.</w:t>
            </w:r>
          </w:p>
        </w:tc>
        <w:tc>
          <w:tcPr>
            <w:tcW w:type="dxa" w:w="1944"/>
            <w:vAlign w:val="center"/>
          </w:tcPr>
          <w:p>
            <w:pPr>
              <w:jc w:val="left"/>
            </w:pPr>
            <w:r/>
            <w:r>
              <w:rPr>
                <w:rFonts w:ascii="Arial" w:hAnsi="Arial" w:eastAsia="Arial"/>
                <w:b w:val="0"/>
                <w:i w:val="0"/>
                <w:sz w:val="12"/>
              </w:rPr>
              <w:t>Analizar la relación entre Transformación Digital Empresarial y Desempeño Organizacional e</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Transformación Digital Empresarial</w:t>
            </w:r>
          </w:p>
        </w:tc>
        <w:tc>
          <w:tcPr>
            <w:tcW w:type="dxa" w:w="1368"/>
            <w:vAlign w:val="center"/>
          </w:tcPr>
          <w:p>
            <w:pPr>
              <w:jc w:val="left"/>
            </w:pPr>
            <w:r/>
            <w:r>
              <w:rPr>
                <w:rFonts w:ascii="Arial" w:hAnsi="Arial" w:eastAsia="Arial"/>
                <w:b w:val="0"/>
                <w:i w:val="0"/>
                <w:sz w:val="12"/>
              </w:rPr>
              <w:t>Desempeño Organizacional</w:t>
            </w:r>
          </w:p>
        </w:tc>
        <w:tc>
          <w:tcPr>
            <w:tcW w:type="dxa" w:w="1080"/>
            <w:vAlign w:val="center"/>
          </w:tcPr>
          <w:p>
            <w:pPr>
              <w:jc w:val="left"/>
            </w:pPr>
            <w:r/>
            <w:r>
              <w:rPr>
                <w:rFonts w:ascii="Arial" w:hAnsi="Arial" w:eastAsia="Arial"/>
                <w:b w:val="0"/>
                <w:i w:val="0"/>
                <w:sz w:val="12"/>
              </w:rPr>
              <w:t>Modelos de regresión / SEM con bondad de ajuste</w:t>
            </w:r>
          </w:p>
        </w:tc>
        <w:tc>
          <w:tcPr>
            <w:tcW w:type="dxa" w:w="504"/>
            <w:vAlign w:val="center"/>
          </w:tcPr>
          <w:p>
            <w:pPr>
              <w:jc w:val="center"/>
            </w:pPr>
            <w:r/>
            <w:r>
              <w:rPr>
                <w:rFonts w:ascii="Arial" w:hAnsi="Arial" w:eastAsia="Arial"/>
                <w:b w:val="0"/>
                <w:i w:val="0"/>
                <w:sz w:val="12"/>
              </w:rPr>
              <w:t>1</w:t>
            </w:r>
          </w:p>
        </w:tc>
      </w:tr>
      <w:tr>
        <w:tc>
          <w:tcPr>
            <w:tcW w:type="dxa" w:w="504"/>
            <w:vAlign w:val="center"/>
            <w:shd w:fill="F8F9F9" w:val="clear" w:color="auto"/>
          </w:tcPr>
          <w:p>
            <w:pPr>
              <w:jc w:val="center"/>
            </w:pPr>
            <w:r/>
            <w:r>
              <w:rPr>
                <w:rFonts w:ascii="Arial" w:hAnsi="Arial" w:eastAsia="Arial"/>
                <w:b w:val="0"/>
                <w:i w:val="0"/>
                <w:sz w:val="12"/>
              </w:rPr>
              <w:t>02</w:t>
            </w:r>
          </w:p>
        </w:tc>
        <w:tc>
          <w:tcPr>
            <w:tcW w:type="dxa" w:w="1512"/>
            <w:vAlign w:val="center"/>
            <w:shd w:fill="F8F9F9" w:val="clear" w:color="auto"/>
          </w:tcPr>
          <w:p>
            <w:pPr>
              <w:jc w:val="left"/>
            </w:pPr>
            <w:r/>
            <w:r>
              <w:rPr>
                <w:rFonts w:ascii="Arial" w:hAnsi="Arial" w:eastAsia="Arial"/>
                <w:b w:val="0"/>
                <w:i w:val="0"/>
                <w:sz w:val="12"/>
              </w:rPr>
              <w:t>Soto-Acosta, P. (2020)</w:t>
            </w:r>
          </w:p>
        </w:tc>
        <w:tc>
          <w:tcPr>
            <w:tcW w:type="dxa" w:w="1944"/>
            <w:vAlign w:val="center"/>
            <w:shd w:fill="F8F9F9" w:val="clear" w:color="auto"/>
          </w:tcPr>
          <w:p>
            <w:pPr>
              <w:jc w:val="left"/>
            </w:pPr>
            <w:r/>
            <w:r>
              <w:rPr>
                <w:rFonts w:ascii="Arial" w:hAnsi="Arial" w:eastAsia="Arial"/>
                <w:b w:val="0"/>
                <w:i w:val="0"/>
                <w:sz w:val="12"/>
              </w:rPr>
              <w:t>Analizar la relación entre Transformación Digital Acelerada por COVID-19 y Resiliencia y D</w:t>
            </w:r>
          </w:p>
        </w:tc>
        <w:tc>
          <w:tcPr>
            <w:tcW w:type="dxa" w:w="1224"/>
            <w:vAlign w:val="center"/>
            <w:shd w:fill="F8F9F9" w:val="clear" w:color="auto"/>
          </w:tcPr>
          <w:p>
            <w:pPr>
              <w:jc w:val="left"/>
            </w:pPr>
            <w:r/>
            <w:r>
              <w:rPr>
                <w:rFonts w:ascii="Arial" w:hAnsi="Arial" w:eastAsia="Arial"/>
                <w:b w:val="0"/>
                <w:i w:val="0"/>
                <w:sz w:val="12"/>
              </w:rPr>
              <w:t>Mixto: entrevista + análisis documental</w:t>
            </w:r>
          </w:p>
        </w:tc>
        <w:tc>
          <w:tcPr>
            <w:tcW w:type="dxa" w:w="1224"/>
            <w:vAlign w:val="center"/>
            <w:shd w:fill="F8F9F9" w:val="clear" w:color="auto"/>
          </w:tcPr>
          <w:p>
            <w:pPr>
              <w:jc w:val="left"/>
            </w:pPr>
            <w:r/>
            <w:r>
              <w:rPr>
                <w:rFonts w:ascii="Arial" w:hAnsi="Arial" w:eastAsia="Arial"/>
                <w:b w:val="0"/>
                <w:i w:val="0"/>
                <w:sz w:val="12"/>
              </w:rPr>
              <w:t>PYMEs / contexto latinoamericano</w:t>
            </w:r>
          </w:p>
        </w:tc>
        <w:tc>
          <w:tcPr>
            <w:tcW w:type="dxa" w:w="1368"/>
            <w:vAlign w:val="center"/>
            <w:shd w:fill="F8F9F9" w:val="clear" w:color="auto"/>
          </w:tcPr>
          <w:p>
            <w:pPr>
              <w:jc w:val="left"/>
            </w:pPr>
            <w:r/>
            <w:r>
              <w:rPr>
                <w:rFonts w:ascii="Arial" w:hAnsi="Arial" w:eastAsia="Arial"/>
                <w:b w:val="0"/>
                <w:i w:val="0"/>
                <w:sz w:val="12"/>
              </w:rPr>
              <w:t>Transformación Digital Acelerada por COVID-19</w:t>
            </w:r>
          </w:p>
        </w:tc>
        <w:tc>
          <w:tcPr>
            <w:tcW w:type="dxa" w:w="1368"/>
            <w:vAlign w:val="center"/>
            <w:shd w:fill="F8F9F9" w:val="clear" w:color="auto"/>
          </w:tcPr>
          <w:p>
            <w:pPr>
              <w:jc w:val="left"/>
            </w:pPr>
            <w:r/>
            <w:r>
              <w:rPr>
                <w:rFonts w:ascii="Arial" w:hAnsi="Arial" w:eastAsia="Arial"/>
                <w:b w:val="0"/>
                <w:i w:val="0"/>
                <w:sz w:val="12"/>
              </w:rPr>
              <w:t>Resiliencia y Desempeño de PYMEs</w:t>
            </w:r>
          </w:p>
        </w:tc>
        <w:tc>
          <w:tcPr>
            <w:tcW w:type="dxa" w:w="1080"/>
            <w:vAlign w:val="center"/>
            <w:shd w:fill="F8F9F9" w:val="clear" w:color="auto"/>
          </w:tcPr>
          <w:p>
            <w:pPr>
              <w:jc w:val="left"/>
            </w:pPr>
            <w:r/>
            <w:r>
              <w:rPr>
                <w:rFonts w:ascii="Arial" w:hAnsi="Arial" w:eastAsia="Arial"/>
                <w:b w:val="0"/>
                <w:i w:val="0"/>
                <w:sz w:val="12"/>
              </w:rPr>
              <w:t>Modelos de regresión / SEM con bondad de ajuste</w:t>
            </w:r>
          </w:p>
        </w:tc>
        <w:tc>
          <w:tcPr>
            <w:tcW w:type="dxa" w:w="504"/>
            <w:vAlign w:val="center"/>
            <w:shd w:fill="F8F9F9" w:val="clear" w:color="auto"/>
          </w:tcPr>
          <w:p>
            <w:pPr>
              <w:jc w:val="center"/>
            </w:pPr>
            <w:r/>
            <w:r>
              <w:rPr>
                <w:rFonts w:ascii="Arial" w:hAnsi="Arial" w:eastAsia="Arial"/>
                <w:b w:val="0"/>
                <w:i w:val="0"/>
                <w:sz w:val="12"/>
              </w:rPr>
              <w:t>1</w:t>
            </w:r>
          </w:p>
        </w:tc>
      </w:tr>
      <w:tr>
        <w:tc>
          <w:tcPr>
            <w:tcW w:type="dxa" w:w="504"/>
            <w:vAlign w:val="center"/>
          </w:tcPr>
          <w:p>
            <w:pPr>
              <w:jc w:val="center"/>
            </w:pPr>
            <w:r/>
            <w:r>
              <w:rPr>
                <w:rFonts w:ascii="Arial" w:hAnsi="Arial" w:eastAsia="Arial"/>
                <w:b w:val="0"/>
                <w:i w:val="0"/>
                <w:sz w:val="12"/>
              </w:rPr>
              <w:t>03</w:t>
            </w:r>
          </w:p>
        </w:tc>
        <w:tc>
          <w:tcPr>
            <w:tcW w:type="dxa" w:w="1512"/>
            <w:vAlign w:val="center"/>
          </w:tcPr>
          <w:p>
            <w:pPr>
              <w:jc w:val="left"/>
            </w:pPr>
            <w:r/>
            <w:r>
              <w:rPr>
                <w:rFonts w:ascii="Arial" w:hAnsi="Arial" w:eastAsia="Arial"/>
                <w:b w:val="0"/>
                <w:i w:val="0"/>
                <w:sz w:val="12"/>
              </w:rPr>
              <w:t>Nambisan, S.</w:t>
            </w:r>
          </w:p>
        </w:tc>
        <w:tc>
          <w:tcPr>
            <w:tcW w:type="dxa" w:w="1944"/>
            <w:vAlign w:val="center"/>
          </w:tcPr>
          <w:p>
            <w:pPr>
              <w:jc w:val="left"/>
            </w:pPr>
            <w:r/>
            <w:r>
              <w:rPr>
                <w:rFonts w:ascii="Arial" w:hAnsi="Arial" w:eastAsia="Arial"/>
                <w:b w:val="0"/>
                <w:i w:val="0"/>
                <w:sz w:val="12"/>
              </w:rPr>
              <w:t>Analizar la relación entre Gestión de Innovación Digital y Desempeño Empresarial por Innov</w:t>
            </w:r>
          </w:p>
        </w:tc>
        <w:tc>
          <w:tcPr>
            <w:tcW w:type="dxa" w:w="1224"/>
            <w:vAlign w:val="center"/>
          </w:tcPr>
          <w:p>
            <w:pPr>
              <w:jc w:val="left"/>
            </w:pPr>
            <w:r/>
            <w:r>
              <w:rPr>
                <w:rFonts w:ascii="Arial" w:hAnsi="Arial" w:eastAsia="Arial"/>
                <w:b w:val="0"/>
                <w:i w:val="0"/>
                <w:sz w:val="12"/>
              </w:rPr>
              <w:t>Estudio de casos múltiples</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Gestión de Innovación Digital</w:t>
            </w:r>
          </w:p>
        </w:tc>
        <w:tc>
          <w:tcPr>
            <w:tcW w:type="dxa" w:w="1368"/>
            <w:vAlign w:val="center"/>
          </w:tcPr>
          <w:p>
            <w:pPr>
              <w:jc w:val="left"/>
            </w:pPr>
            <w:r/>
            <w:r>
              <w:rPr>
                <w:rFonts w:ascii="Arial" w:hAnsi="Arial" w:eastAsia="Arial"/>
                <w:b w:val="0"/>
                <w:i w:val="0"/>
                <w:sz w:val="12"/>
              </w:rPr>
              <w:t>Desempeño Empresarial por Innovación</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1</w:t>
            </w:r>
          </w:p>
        </w:tc>
      </w:tr>
      <w:tr>
        <w:tc>
          <w:tcPr>
            <w:tcW w:type="dxa" w:w="504"/>
            <w:vAlign w:val="center"/>
            <w:shd w:fill="F8F9F9" w:val="clear" w:color="auto"/>
          </w:tcPr>
          <w:p>
            <w:pPr>
              <w:jc w:val="center"/>
            </w:pPr>
            <w:r/>
            <w:r>
              <w:rPr>
                <w:rFonts w:ascii="Arial" w:hAnsi="Arial" w:eastAsia="Arial"/>
                <w:b w:val="0"/>
                <w:i w:val="0"/>
                <w:sz w:val="12"/>
              </w:rPr>
              <w:t>04</w:t>
            </w:r>
          </w:p>
        </w:tc>
        <w:tc>
          <w:tcPr>
            <w:tcW w:type="dxa" w:w="1512"/>
            <w:vAlign w:val="center"/>
            <w:shd w:fill="F8F9F9" w:val="clear" w:color="auto"/>
          </w:tcPr>
          <w:p>
            <w:pPr>
              <w:jc w:val="left"/>
            </w:pPr>
            <w:r/>
            <w:r>
              <w:rPr>
                <w:rFonts w:ascii="Arial" w:hAnsi="Arial" w:eastAsia="Arial"/>
                <w:b w:val="0"/>
                <w:i w:val="0"/>
                <w:sz w:val="12"/>
              </w:rPr>
              <w:t>Li, F. (2020)</w:t>
            </w:r>
          </w:p>
        </w:tc>
        <w:tc>
          <w:tcPr>
            <w:tcW w:type="dxa" w:w="1944"/>
            <w:vAlign w:val="center"/>
            <w:shd w:fill="F8F9F9" w:val="clear" w:color="auto"/>
          </w:tcPr>
          <w:p>
            <w:pPr>
              <w:jc w:val="left"/>
            </w:pPr>
            <w:r/>
            <w:r>
              <w:rPr>
                <w:rFonts w:ascii="Arial" w:hAnsi="Arial" w:eastAsia="Arial"/>
                <w:b w:val="0"/>
                <w:i w:val="0"/>
                <w:sz w:val="12"/>
              </w:rPr>
              <w:t>Analizar la relación entre Transformación Digital del Modelo de Negocio y Valor Empresaria</w:t>
            </w:r>
          </w:p>
        </w:tc>
        <w:tc>
          <w:tcPr>
            <w:tcW w:type="dxa" w:w="1224"/>
            <w:vAlign w:val="center"/>
            <w:shd w:fill="F8F9F9" w:val="clear" w:color="auto"/>
          </w:tcPr>
          <w:p>
            <w:pPr>
              <w:jc w:val="left"/>
            </w:pPr>
            <w:r/>
            <w:r>
              <w:rPr>
                <w:rFonts w:ascii="Arial" w:hAnsi="Arial" w:eastAsia="Arial"/>
                <w:b w:val="0"/>
                <w:i w:val="0"/>
                <w:sz w:val="12"/>
              </w:rPr>
              <w:t>Estudio de casos múltiples</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Transformación Digital del Modelo de Negocio</w:t>
            </w:r>
          </w:p>
        </w:tc>
        <w:tc>
          <w:tcPr>
            <w:tcW w:type="dxa" w:w="1368"/>
            <w:vAlign w:val="center"/>
            <w:shd w:fill="F8F9F9" w:val="clear" w:color="auto"/>
          </w:tcPr>
          <w:p>
            <w:pPr>
              <w:jc w:val="left"/>
            </w:pPr>
            <w:r/>
            <w:r>
              <w:rPr>
                <w:rFonts w:ascii="Arial" w:hAnsi="Arial" w:eastAsia="Arial"/>
                <w:b w:val="0"/>
                <w:i w:val="0"/>
                <w:sz w:val="12"/>
              </w:rPr>
              <w:t>Valor Empresarial Creado y Capturado</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1</w:t>
            </w:r>
          </w:p>
        </w:tc>
      </w:tr>
      <w:tr>
        <w:tc>
          <w:tcPr>
            <w:tcW w:type="dxa" w:w="504"/>
            <w:vAlign w:val="center"/>
          </w:tcPr>
          <w:p>
            <w:pPr>
              <w:jc w:val="center"/>
            </w:pPr>
            <w:r/>
            <w:r>
              <w:rPr>
                <w:rFonts w:ascii="Arial" w:hAnsi="Arial" w:eastAsia="Arial"/>
                <w:b w:val="0"/>
                <w:i w:val="0"/>
                <w:sz w:val="12"/>
              </w:rPr>
              <w:t>05</w:t>
            </w:r>
          </w:p>
        </w:tc>
        <w:tc>
          <w:tcPr>
            <w:tcW w:type="dxa" w:w="1512"/>
            <w:vAlign w:val="center"/>
          </w:tcPr>
          <w:p>
            <w:pPr>
              <w:jc w:val="left"/>
            </w:pPr>
            <w:r/>
            <w:r>
              <w:rPr>
                <w:rFonts w:ascii="Arial" w:hAnsi="Arial" w:eastAsia="Arial"/>
                <w:b w:val="0"/>
                <w:i w:val="0"/>
                <w:sz w:val="12"/>
              </w:rPr>
              <w:t xml:space="preserve">Chatterjee, S. y Kumar Kar, </w:t>
            </w:r>
          </w:p>
        </w:tc>
        <w:tc>
          <w:tcPr>
            <w:tcW w:type="dxa" w:w="1944"/>
            <w:vAlign w:val="center"/>
          </w:tcPr>
          <w:p>
            <w:pPr>
              <w:jc w:val="left"/>
            </w:pPr>
            <w:r/>
            <w:r>
              <w:rPr>
                <w:rFonts w:ascii="Arial" w:hAnsi="Arial" w:eastAsia="Arial"/>
                <w:b w:val="0"/>
                <w:i w:val="0"/>
                <w:sz w:val="12"/>
              </w:rPr>
              <w:t xml:space="preserve">Analizar la relación entre Adopción de Marketing Digital en PYMEs y Desempeño Empresarial </w:t>
            </w:r>
          </w:p>
        </w:tc>
        <w:tc>
          <w:tcPr>
            <w:tcW w:type="dxa" w:w="1224"/>
            <w:vAlign w:val="center"/>
          </w:tcPr>
          <w:p>
            <w:pPr>
              <w:jc w:val="left"/>
            </w:pPr>
            <w:r/>
            <w:r>
              <w:rPr>
                <w:rFonts w:ascii="Arial" w:hAnsi="Arial" w:eastAsia="Arial"/>
                <w:b w:val="0"/>
                <w:i w:val="0"/>
                <w:sz w:val="12"/>
              </w:rPr>
              <w:t>Encuesta cuantitativa</w:t>
            </w:r>
          </w:p>
        </w:tc>
        <w:tc>
          <w:tcPr>
            <w:tcW w:type="dxa" w:w="1224"/>
            <w:vAlign w:val="center"/>
          </w:tcPr>
          <w:p>
            <w:pPr>
              <w:jc w:val="left"/>
            </w:pPr>
            <w:r/>
            <w:r>
              <w:rPr>
                <w:rFonts w:ascii="Arial" w:hAnsi="Arial" w:eastAsia="Arial"/>
                <w:b w:val="0"/>
                <w:i w:val="0"/>
                <w:sz w:val="12"/>
              </w:rPr>
              <w:t>Sector retail / datos comerciales</w:t>
            </w:r>
          </w:p>
        </w:tc>
        <w:tc>
          <w:tcPr>
            <w:tcW w:type="dxa" w:w="1368"/>
            <w:vAlign w:val="center"/>
          </w:tcPr>
          <w:p>
            <w:pPr>
              <w:jc w:val="left"/>
            </w:pPr>
            <w:r/>
            <w:r>
              <w:rPr>
                <w:rFonts w:ascii="Arial" w:hAnsi="Arial" w:eastAsia="Arial"/>
                <w:b w:val="0"/>
                <w:i w:val="0"/>
                <w:sz w:val="12"/>
              </w:rPr>
              <w:t>Adopción de Marketing Digital en PYMEs</w:t>
            </w:r>
          </w:p>
        </w:tc>
        <w:tc>
          <w:tcPr>
            <w:tcW w:type="dxa" w:w="1368"/>
            <w:vAlign w:val="center"/>
          </w:tcPr>
          <w:p>
            <w:pPr>
              <w:jc w:val="left"/>
            </w:pPr>
            <w:r/>
            <w:r>
              <w:rPr>
                <w:rFonts w:ascii="Arial" w:hAnsi="Arial" w:eastAsia="Arial"/>
                <w:b w:val="0"/>
                <w:i w:val="0"/>
                <w:sz w:val="12"/>
              </w:rPr>
              <w:t>Desempeño Empresarial de PYMEs</w:t>
            </w:r>
          </w:p>
        </w:tc>
        <w:tc>
          <w:tcPr>
            <w:tcW w:type="dxa" w:w="1080"/>
            <w:vAlign w:val="center"/>
          </w:tcPr>
          <w:p>
            <w:pPr>
              <w:jc w:val="left"/>
            </w:pPr>
            <w:r/>
            <w:r>
              <w:rPr>
                <w:rFonts w:ascii="Arial" w:hAnsi="Arial" w:eastAsia="Arial"/>
                <w:b w:val="0"/>
                <w:i w:val="0"/>
                <w:sz w:val="12"/>
              </w:rPr>
              <w:t>Métricas reportadas: CRONBACH</w:t>
            </w:r>
          </w:p>
        </w:tc>
        <w:tc>
          <w:tcPr>
            <w:tcW w:type="dxa" w:w="504"/>
            <w:vAlign w:val="center"/>
          </w:tcPr>
          <w:p>
            <w:pPr>
              <w:jc w:val="center"/>
            </w:pPr>
            <w:r/>
            <w:r>
              <w:rPr>
                <w:rFonts w:ascii="Arial" w:hAnsi="Arial" w:eastAsia="Arial"/>
                <w:b w:val="0"/>
                <w:i w:val="0"/>
                <w:sz w:val="12"/>
              </w:rPr>
              <w:t>1</w:t>
            </w:r>
          </w:p>
        </w:tc>
      </w:tr>
      <w:tr>
        <w:tc>
          <w:tcPr>
            <w:tcW w:type="dxa" w:w="504"/>
            <w:vAlign w:val="center"/>
            <w:shd w:fill="F8F9F9" w:val="clear" w:color="auto"/>
          </w:tcPr>
          <w:p>
            <w:pPr>
              <w:jc w:val="center"/>
            </w:pPr>
            <w:r/>
            <w:r>
              <w:rPr>
                <w:rFonts w:ascii="Arial" w:hAnsi="Arial" w:eastAsia="Arial"/>
                <w:b w:val="0"/>
                <w:i w:val="0"/>
                <w:sz w:val="12"/>
              </w:rPr>
              <w:t>06</w:t>
            </w:r>
          </w:p>
        </w:tc>
        <w:tc>
          <w:tcPr>
            <w:tcW w:type="dxa" w:w="1512"/>
            <w:vAlign w:val="center"/>
            <w:shd w:fill="F8F9F9" w:val="clear" w:color="auto"/>
          </w:tcPr>
          <w:p>
            <w:pPr>
              <w:jc w:val="left"/>
            </w:pPr>
            <w:r/>
            <w:r>
              <w:rPr>
                <w:rFonts w:ascii="Arial" w:hAnsi="Arial" w:eastAsia="Arial"/>
                <w:b w:val="0"/>
                <w:i w:val="0"/>
                <w:sz w:val="12"/>
              </w:rPr>
              <w:t>Kannan, P.K. (2017)</w:t>
            </w:r>
          </w:p>
        </w:tc>
        <w:tc>
          <w:tcPr>
            <w:tcW w:type="dxa" w:w="1944"/>
            <w:vAlign w:val="center"/>
            <w:shd w:fill="F8F9F9" w:val="clear" w:color="auto"/>
          </w:tcPr>
          <w:p>
            <w:pPr>
              <w:jc w:val="left"/>
            </w:pPr>
            <w:r/>
            <w:r>
              <w:rPr>
                <w:rFonts w:ascii="Arial" w:hAnsi="Arial" w:eastAsia="Arial"/>
                <w:b w:val="0"/>
                <w:i w:val="0"/>
                <w:sz w:val="12"/>
              </w:rPr>
              <w:t>Analizar la relación entre Estrategia de Marketing Digital y Comportamiento del Consumidor</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Estrategia de Marketing Digital</w:t>
            </w:r>
          </w:p>
        </w:tc>
        <w:tc>
          <w:tcPr>
            <w:tcW w:type="dxa" w:w="1368"/>
            <w:vAlign w:val="center"/>
            <w:shd w:fill="F8F9F9" w:val="clear" w:color="auto"/>
          </w:tcPr>
          <w:p>
            <w:pPr>
              <w:jc w:val="left"/>
            </w:pPr>
            <w:r/>
            <w:r>
              <w:rPr>
                <w:rFonts w:ascii="Arial" w:hAnsi="Arial" w:eastAsia="Arial"/>
                <w:b w:val="0"/>
                <w:i w:val="0"/>
                <w:sz w:val="12"/>
              </w:rPr>
              <w:t>Comportamiento del Consumidor Digital</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1</w:t>
            </w:r>
          </w:p>
        </w:tc>
      </w:tr>
      <w:tr>
        <w:tc>
          <w:tcPr>
            <w:tcW w:type="dxa" w:w="504"/>
            <w:vAlign w:val="center"/>
          </w:tcPr>
          <w:p>
            <w:pPr>
              <w:jc w:val="center"/>
            </w:pPr>
            <w:r/>
            <w:r>
              <w:rPr>
                <w:rFonts w:ascii="Arial" w:hAnsi="Arial" w:eastAsia="Arial"/>
                <w:b w:val="0"/>
                <w:i w:val="0"/>
                <w:sz w:val="12"/>
              </w:rPr>
              <w:t>07</w:t>
            </w:r>
          </w:p>
        </w:tc>
        <w:tc>
          <w:tcPr>
            <w:tcW w:type="dxa" w:w="1512"/>
            <w:vAlign w:val="center"/>
          </w:tcPr>
          <w:p>
            <w:pPr>
              <w:jc w:val="left"/>
            </w:pPr>
            <w:r/>
            <w:r>
              <w:rPr>
                <w:rFonts w:ascii="Arial" w:hAnsi="Arial" w:eastAsia="Arial"/>
                <w:b w:val="0"/>
                <w:i w:val="0"/>
                <w:sz w:val="12"/>
              </w:rPr>
              <w:t xml:space="preserve">Reinartz, W.; Wiegand, N. y </w:t>
            </w:r>
          </w:p>
        </w:tc>
        <w:tc>
          <w:tcPr>
            <w:tcW w:type="dxa" w:w="1944"/>
            <w:vAlign w:val="center"/>
          </w:tcPr>
          <w:p>
            <w:pPr>
              <w:jc w:val="left"/>
            </w:pPr>
            <w:r/>
            <w:r>
              <w:rPr>
                <w:rFonts w:ascii="Arial" w:hAnsi="Arial" w:eastAsia="Arial"/>
                <w:b w:val="0"/>
                <w:i w:val="0"/>
                <w:sz w:val="12"/>
              </w:rPr>
              <w:t>Analizar la relación entre Transformación Digital en Retail y Cadena de Valor Minorista en</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Sector retail / datos comerciales</w:t>
            </w:r>
          </w:p>
        </w:tc>
        <w:tc>
          <w:tcPr>
            <w:tcW w:type="dxa" w:w="1368"/>
            <w:vAlign w:val="center"/>
          </w:tcPr>
          <w:p>
            <w:pPr>
              <w:jc w:val="left"/>
            </w:pPr>
            <w:r/>
            <w:r>
              <w:rPr>
                <w:rFonts w:ascii="Arial" w:hAnsi="Arial" w:eastAsia="Arial"/>
                <w:b w:val="0"/>
                <w:i w:val="0"/>
                <w:sz w:val="12"/>
              </w:rPr>
              <w:t>Transformación Digital en Retail</w:t>
            </w:r>
          </w:p>
        </w:tc>
        <w:tc>
          <w:tcPr>
            <w:tcW w:type="dxa" w:w="1368"/>
            <w:vAlign w:val="center"/>
          </w:tcPr>
          <w:p>
            <w:pPr>
              <w:jc w:val="left"/>
            </w:pPr>
            <w:r/>
            <w:r>
              <w:rPr>
                <w:rFonts w:ascii="Arial" w:hAnsi="Arial" w:eastAsia="Arial"/>
                <w:b w:val="0"/>
                <w:i w:val="0"/>
                <w:sz w:val="12"/>
              </w:rPr>
              <w:t>Cadena de Valor Minorista</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1</w:t>
            </w:r>
          </w:p>
        </w:tc>
      </w:tr>
      <w:tr>
        <w:tc>
          <w:tcPr>
            <w:tcW w:type="dxa" w:w="504"/>
            <w:vAlign w:val="center"/>
            <w:shd w:fill="F8F9F9" w:val="clear" w:color="auto"/>
          </w:tcPr>
          <w:p>
            <w:pPr>
              <w:jc w:val="center"/>
            </w:pPr>
            <w:r/>
            <w:r>
              <w:rPr>
                <w:rFonts w:ascii="Arial" w:hAnsi="Arial" w:eastAsia="Arial"/>
                <w:b w:val="0"/>
                <w:i w:val="0"/>
                <w:sz w:val="12"/>
              </w:rPr>
              <w:t>08</w:t>
            </w:r>
          </w:p>
        </w:tc>
        <w:tc>
          <w:tcPr>
            <w:tcW w:type="dxa" w:w="1512"/>
            <w:vAlign w:val="center"/>
            <w:shd w:fill="F8F9F9" w:val="clear" w:color="auto"/>
          </w:tcPr>
          <w:p>
            <w:pPr>
              <w:jc w:val="left"/>
            </w:pPr>
            <w:r/>
            <w:r>
              <w:rPr>
                <w:rFonts w:ascii="Arial" w:hAnsi="Arial" w:eastAsia="Arial"/>
                <w:b w:val="0"/>
                <w:i w:val="0"/>
                <w:sz w:val="12"/>
              </w:rPr>
              <w:t>Hagberg, J.; Sundstrom, M. y</w:t>
            </w:r>
          </w:p>
        </w:tc>
        <w:tc>
          <w:tcPr>
            <w:tcW w:type="dxa" w:w="1944"/>
            <w:vAlign w:val="center"/>
            <w:shd w:fill="F8F9F9" w:val="clear" w:color="auto"/>
          </w:tcPr>
          <w:p>
            <w:pPr>
              <w:jc w:val="left"/>
            </w:pPr>
            <w:r/>
            <w:r>
              <w:rPr>
                <w:rFonts w:ascii="Arial" w:hAnsi="Arial" w:eastAsia="Arial"/>
                <w:b w:val="0"/>
                <w:i w:val="0"/>
                <w:sz w:val="12"/>
              </w:rPr>
              <w:t>Analizar la relación entre Digitalización del Retail y Modelo de Negocio Minorista Transfo</w:t>
            </w:r>
          </w:p>
        </w:tc>
        <w:tc>
          <w:tcPr>
            <w:tcW w:type="dxa" w:w="1224"/>
            <w:vAlign w:val="center"/>
            <w:shd w:fill="F8F9F9" w:val="clear" w:color="auto"/>
          </w:tcPr>
          <w:p>
            <w:pPr>
              <w:jc w:val="left"/>
            </w:pPr>
            <w:r/>
            <w:r>
              <w:rPr>
                <w:rFonts w:ascii="Arial" w:hAnsi="Arial" w:eastAsia="Arial"/>
                <w:b w:val="0"/>
                <w:i w:val="0"/>
                <w:sz w:val="12"/>
              </w:rPr>
              <w:t>Estudio de casos múltiples</w:t>
            </w:r>
          </w:p>
        </w:tc>
        <w:tc>
          <w:tcPr>
            <w:tcW w:type="dxa" w:w="1224"/>
            <w:vAlign w:val="center"/>
            <w:shd w:fill="F8F9F9" w:val="clear" w:color="auto"/>
          </w:tcPr>
          <w:p>
            <w:pPr>
              <w:jc w:val="left"/>
            </w:pPr>
            <w:r/>
            <w:r>
              <w:rPr>
                <w:rFonts w:ascii="Arial" w:hAnsi="Arial" w:eastAsia="Arial"/>
                <w:b w:val="0"/>
                <w:i w:val="0"/>
                <w:sz w:val="12"/>
              </w:rPr>
              <w:t>Sector retail / datos comerciales</w:t>
            </w:r>
          </w:p>
        </w:tc>
        <w:tc>
          <w:tcPr>
            <w:tcW w:type="dxa" w:w="1368"/>
            <w:vAlign w:val="center"/>
            <w:shd w:fill="F8F9F9" w:val="clear" w:color="auto"/>
          </w:tcPr>
          <w:p>
            <w:pPr>
              <w:jc w:val="left"/>
            </w:pPr>
            <w:r/>
            <w:r>
              <w:rPr>
                <w:rFonts w:ascii="Arial" w:hAnsi="Arial" w:eastAsia="Arial"/>
                <w:b w:val="0"/>
                <w:i w:val="0"/>
                <w:sz w:val="12"/>
              </w:rPr>
              <w:t>Digitalización del Retail</w:t>
            </w:r>
          </w:p>
        </w:tc>
        <w:tc>
          <w:tcPr>
            <w:tcW w:type="dxa" w:w="1368"/>
            <w:vAlign w:val="center"/>
            <w:shd w:fill="F8F9F9" w:val="clear" w:color="auto"/>
          </w:tcPr>
          <w:p>
            <w:pPr>
              <w:jc w:val="left"/>
            </w:pPr>
            <w:r/>
            <w:r>
              <w:rPr>
                <w:rFonts w:ascii="Arial" w:hAnsi="Arial" w:eastAsia="Arial"/>
                <w:b w:val="0"/>
                <w:i w:val="0"/>
                <w:sz w:val="12"/>
              </w:rPr>
              <w:t>Modelo de Negocio Minorista Transformado</w:t>
            </w:r>
          </w:p>
        </w:tc>
        <w:tc>
          <w:tcPr>
            <w:tcW w:type="dxa" w:w="1080"/>
            <w:vAlign w:val="center"/>
            <w:shd w:fill="F8F9F9" w:val="clear" w:color="auto"/>
          </w:tcPr>
          <w:p>
            <w:pPr>
              <w:jc w:val="left"/>
            </w:pPr>
            <w:r/>
            <w:r>
              <w:rPr>
                <w:rFonts w:ascii="Arial" w:hAnsi="Arial" w:eastAsia="Arial"/>
                <w:b w:val="0"/>
                <w:i w:val="0"/>
                <w:sz w:val="12"/>
              </w:rPr>
              <w:t>Modelos de regresión / SEM con bondad de ajuste</w:t>
            </w:r>
          </w:p>
        </w:tc>
        <w:tc>
          <w:tcPr>
            <w:tcW w:type="dxa" w:w="504"/>
            <w:vAlign w:val="center"/>
            <w:shd w:fill="F8F9F9" w:val="clear" w:color="auto"/>
          </w:tcPr>
          <w:p>
            <w:pPr>
              <w:jc w:val="center"/>
            </w:pPr>
            <w:r/>
            <w:r>
              <w:rPr>
                <w:rFonts w:ascii="Arial" w:hAnsi="Arial" w:eastAsia="Arial"/>
                <w:b w:val="0"/>
                <w:i w:val="0"/>
                <w:sz w:val="12"/>
              </w:rPr>
              <w:t>1</w:t>
            </w:r>
          </w:p>
        </w:tc>
      </w:tr>
      <w:tr>
        <w:tc>
          <w:tcPr>
            <w:tcW w:type="dxa" w:w="504"/>
            <w:vAlign w:val="center"/>
          </w:tcPr>
          <w:p>
            <w:pPr>
              <w:jc w:val="center"/>
            </w:pPr>
            <w:r/>
            <w:r>
              <w:rPr>
                <w:rFonts w:ascii="Arial" w:hAnsi="Arial" w:eastAsia="Arial"/>
                <w:b w:val="0"/>
                <w:i w:val="0"/>
                <w:sz w:val="12"/>
              </w:rPr>
              <w:t>09</w:t>
            </w:r>
          </w:p>
        </w:tc>
        <w:tc>
          <w:tcPr>
            <w:tcW w:type="dxa" w:w="1512"/>
            <w:vAlign w:val="center"/>
          </w:tcPr>
          <w:p>
            <w:pPr>
              <w:jc w:val="left"/>
            </w:pPr>
            <w:r/>
            <w:r>
              <w:rPr>
                <w:rFonts w:ascii="Arial" w:hAnsi="Arial" w:eastAsia="Arial"/>
                <w:b w:val="0"/>
                <w:i w:val="0"/>
                <w:sz w:val="12"/>
              </w:rPr>
              <w:t>Duan, Y.; Edwards, J.S. y Dw</w:t>
            </w:r>
          </w:p>
        </w:tc>
        <w:tc>
          <w:tcPr>
            <w:tcW w:type="dxa" w:w="1944"/>
            <w:vAlign w:val="center"/>
          </w:tcPr>
          <w:p>
            <w:pPr>
              <w:jc w:val="left"/>
            </w:pPr>
            <w:r/>
            <w:r>
              <w:rPr>
                <w:rFonts w:ascii="Arial" w:hAnsi="Arial" w:eastAsia="Arial"/>
                <w:b w:val="0"/>
                <w:i w:val="0"/>
                <w:sz w:val="12"/>
              </w:rPr>
              <w:t>Analizar la relación entre IA para Toma de Decisiones con Big Data y Calidad de las Decisi</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IA para Toma de Decisiones con Big Data</w:t>
            </w:r>
          </w:p>
        </w:tc>
        <w:tc>
          <w:tcPr>
            <w:tcW w:type="dxa" w:w="1368"/>
            <w:vAlign w:val="center"/>
          </w:tcPr>
          <w:p>
            <w:pPr>
              <w:jc w:val="left"/>
            </w:pPr>
            <w:r/>
            <w:r>
              <w:rPr>
                <w:rFonts w:ascii="Arial" w:hAnsi="Arial" w:eastAsia="Arial"/>
                <w:b w:val="0"/>
                <w:i w:val="0"/>
                <w:sz w:val="12"/>
              </w:rPr>
              <w:t>Calidad de las Decisiones Empresariales</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2</w:t>
            </w:r>
          </w:p>
        </w:tc>
      </w:tr>
      <w:tr>
        <w:tc>
          <w:tcPr>
            <w:tcW w:type="dxa" w:w="504"/>
            <w:vAlign w:val="center"/>
            <w:shd w:fill="F8F9F9" w:val="clear" w:color="auto"/>
          </w:tcPr>
          <w:p>
            <w:pPr>
              <w:jc w:val="center"/>
            </w:pPr>
            <w:r/>
            <w:r>
              <w:rPr>
                <w:rFonts w:ascii="Arial" w:hAnsi="Arial" w:eastAsia="Arial"/>
                <w:b w:val="0"/>
                <w:i w:val="0"/>
                <w:sz w:val="12"/>
              </w:rPr>
              <w:t>10</w:t>
            </w:r>
          </w:p>
        </w:tc>
        <w:tc>
          <w:tcPr>
            <w:tcW w:type="dxa" w:w="1512"/>
            <w:vAlign w:val="center"/>
            <w:shd w:fill="F8F9F9" w:val="clear" w:color="auto"/>
          </w:tcPr>
          <w:p>
            <w:pPr>
              <w:jc w:val="left"/>
            </w:pPr>
            <w:r/>
            <w:r>
              <w:rPr>
                <w:rFonts w:ascii="Arial" w:hAnsi="Arial" w:eastAsia="Arial"/>
                <w:b w:val="0"/>
                <w:i w:val="0"/>
                <w:sz w:val="12"/>
              </w:rPr>
              <w:t>Davenport, T.</w:t>
            </w:r>
          </w:p>
        </w:tc>
        <w:tc>
          <w:tcPr>
            <w:tcW w:type="dxa" w:w="1944"/>
            <w:vAlign w:val="center"/>
            <w:shd w:fill="F8F9F9" w:val="clear" w:color="auto"/>
          </w:tcPr>
          <w:p>
            <w:pPr>
              <w:jc w:val="left"/>
            </w:pPr>
            <w:r/>
            <w:r>
              <w:rPr>
                <w:rFonts w:ascii="Arial" w:hAnsi="Arial" w:eastAsia="Arial"/>
                <w:b w:val="0"/>
                <w:i w:val="0"/>
                <w:sz w:val="12"/>
              </w:rPr>
              <w:t>Analizar la relación entre Inteligencia Artificial Aplicada al Marketing y Efectividad del</w:t>
            </w:r>
          </w:p>
        </w:tc>
        <w:tc>
          <w:tcPr>
            <w:tcW w:type="dxa" w:w="1224"/>
            <w:vAlign w:val="center"/>
            <w:shd w:fill="F8F9F9" w:val="clear" w:color="auto"/>
          </w:tcPr>
          <w:p>
            <w:pPr>
              <w:jc w:val="left"/>
            </w:pPr>
            <w:r/>
            <w:r>
              <w:rPr>
                <w:rFonts w:ascii="Arial" w:hAnsi="Arial" w:eastAsia="Arial"/>
                <w:b w:val="0"/>
                <w:i w:val="0"/>
                <w:sz w:val="12"/>
              </w:rPr>
              <w:t>Mixto: entrevista + análisis documental</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Inteligencia Artificial Aplicada al Marketing</w:t>
            </w:r>
          </w:p>
        </w:tc>
        <w:tc>
          <w:tcPr>
            <w:tcW w:type="dxa" w:w="1368"/>
            <w:vAlign w:val="center"/>
            <w:shd w:fill="F8F9F9" w:val="clear" w:color="auto"/>
          </w:tcPr>
          <w:p>
            <w:pPr>
              <w:jc w:val="left"/>
            </w:pPr>
            <w:r/>
            <w:r>
              <w:rPr>
                <w:rFonts w:ascii="Arial" w:hAnsi="Arial" w:eastAsia="Arial"/>
                <w:b w:val="0"/>
                <w:i w:val="0"/>
                <w:sz w:val="12"/>
              </w:rPr>
              <w:t>Efectividad del Marketing Digital</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2</w:t>
            </w:r>
          </w:p>
        </w:tc>
      </w:tr>
      <w:tr>
        <w:tc>
          <w:tcPr>
            <w:tcW w:type="dxa" w:w="504"/>
            <w:vAlign w:val="center"/>
          </w:tcPr>
          <w:p>
            <w:pPr>
              <w:jc w:val="center"/>
            </w:pPr>
            <w:r/>
            <w:r>
              <w:rPr>
                <w:rFonts w:ascii="Arial" w:hAnsi="Arial" w:eastAsia="Arial"/>
                <w:b w:val="0"/>
                <w:i w:val="0"/>
                <w:sz w:val="12"/>
              </w:rPr>
              <w:t>11</w:t>
            </w:r>
          </w:p>
        </w:tc>
        <w:tc>
          <w:tcPr>
            <w:tcW w:type="dxa" w:w="1512"/>
            <w:vAlign w:val="center"/>
          </w:tcPr>
          <w:p>
            <w:pPr>
              <w:jc w:val="left"/>
            </w:pPr>
            <w:r/>
            <w:r>
              <w:rPr>
                <w:rFonts w:ascii="Arial" w:hAnsi="Arial" w:eastAsia="Arial"/>
                <w:b w:val="0"/>
                <w:i w:val="0"/>
                <w:sz w:val="12"/>
              </w:rPr>
              <w:t>Shrestha, Y.R.; Ben-Menahem,</w:t>
            </w:r>
          </w:p>
        </w:tc>
        <w:tc>
          <w:tcPr>
            <w:tcW w:type="dxa" w:w="1944"/>
            <w:vAlign w:val="center"/>
          </w:tcPr>
          <w:p>
            <w:pPr>
              <w:jc w:val="left"/>
            </w:pPr>
            <w:r/>
            <w:r>
              <w:rPr>
                <w:rFonts w:ascii="Arial" w:hAnsi="Arial" w:eastAsia="Arial"/>
                <w:b w:val="0"/>
                <w:i w:val="0"/>
                <w:sz w:val="12"/>
              </w:rPr>
              <w:t>Analizar la relación entre Integración de IA en Estructuras de Decisión Organizacional y D</w:t>
            </w:r>
          </w:p>
        </w:tc>
        <w:tc>
          <w:tcPr>
            <w:tcW w:type="dxa" w:w="1224"/>
            <w:vAlign w:val="center"/>
          </w:tcPr>
          <w:p>
            <w:pPr>
              <w:jc w:val="left"/>
            </w:pPr>
            <w:r/>
            <w:r>
              <w:rPr>
                <w:rFonts w:ascii="Arial" w:hAnsi="Arial" w:eastAsia="Arial"/>
                <w:b w:val="0"/>
                <w:i w:val="0"/>
                <w:sz w:val="12"/>
              </w:rPr>
              <w:t>Estudio de casos múltiples</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 xml:space="preserve">Integración de IA en Estructuras de Decisión </w:t>
            </w:r>
          </w:p>
        </w:tc>
        <w:tc>
          <w:tcPr>
            <w:tcW w:type="dxa" w:w="1368"/>
            <w:vAlign w:val="center"/>
          </w:tcPr>
          <w:p>
            <w:pPr>
              <w:jc w:val="left"/>
            </w:pPr>
            <w:r/>
            <w:r>
              <w:rPr>
                <w:rFonts w:ascii="Arial" w:hAnsi="Arial" w:eastAsia="Arial"/>
                <w:b w:val="0"/>
                <w:i w:val="0"/>
                <w:sz w:val="12"/>
              </w:rPr>
              <w:t>Desempeño Organizacional con IA</w:t>
            </w:r>
          </w:p>
        </w:tc>
        <w:tc>
          <w:tcPr>
            <w:tcW w:type="dxa" w:w="1080"/>
            <w:vAlign w:val="center"/>
          </w:tcPr>
          <w:p>
            <w:pPr>
              <w:jc w:val="left"/>
            </w:pPr>
            <w:r/>
            <w:r>
              <w:rPr>
                <w:rFonts w:ascii="Arial" w:hAnsi="Arial" w:eastAsia="Arial"/>
                <w:b w:val="0"/>
                <w:i w:val="0"/>
                <w:sz w:val="12"/>
              </w:rPr>
              <w:t>Modelos de regresión / SEM con bondad de ajuste</w:t>
            </w:r>
          </w:p>
        </w:tc>
        <w:tc>
          <w:tcPr>
            <w:tcW w:type="dxa" w:w="504"/>
            <w:vAlign w:val="center"/>
          </w:tcPr>
          <w:p>
            <w:pPr>
              <w:jc w:val="center"/>
            </w:pPr>
            <w:r/>
            <w:r>
              <w:rPr>
                <w:rFonts w:ascii="Arial" w:hAnsi="Arial" w:eastAsia="Arial"/>
                <w:b w:val="0"/>
                <w:i w:val="0"/>
                <w:sz w:val="12"/>
              </w:rPr>
              <w:t>2</w:t>
            </w:r>
          </w:p>
        </w:tc>
      </w:tr>
      <w:tr>
        <w:tc>
          <w:tcPr>
            <w:tcW w:type="dxa" w:w="504"/>
            <w:vAlign w:val="center"/>
            <w:shd w:fill="F8F9F9" w:val="clear" w:color="auto"/>
          </w:tcPr>
          <w:p>
            <w:pPr>
              <w:jc w:val="center"/>
            </w:pPr>
            <w:r/>
            <w:r>
              <w:rPr>
                <w:rFonts w:ascii="Arial" w:hAnsi="Arial" w:eastAsia="Arial"/>
                <w:b w:val="0"/>
                <w:i w:val="0"/>
                <w:sz w:val="12"/>
              </w:rPr>
              <w:t>12</w:t>
            </w:r>
          </w:p>
        </w:tc>
        <w:tc>
          <w:tcPr>
            <w:tcW w:type="dxa" w:w="1512"/>
            <w:vAlign w:val="center"/>
            <w:shd w:fill="F8F9F9" w:val="clear" w:color="auto"/>
          </w:tcPr>
          <w:p>
            <w:pPr>
              <w:jc w:val="left"/>
            </w:pPr>
            <w:r/>
            <w:r>
              <w:rPr>
                <w:rFonts w:ascii="Arial" w:hAnsi="Arial" w:eastAsia="Arial"/>
                <w:b w:val="0"/>
                <w:i w:val="0"/>
                <w:sz w:val="12"/>
              </w:rPr>
              <w:t>Amba, S.F.</w:t>
            </w:r>
          </w:p>
        </w:tc>
        <w:tc>
          <w:tcPr>
            <w:tcW w:type="dxa" w:w="1944"/>
            <w:vAlign w:val="center"/>
            <w:shd w:fill="F8F9F9" w:val="clear" w:color="auto"/>
          </w:tcPr>
          <w:p>
            <w:pPr>
              <w:jc w:val="left"/>
            </w:pPr>
            <w:r/>
            <w:r>
              <w:rPr>
                <w:rFonts w:ascii="Arial" w:hAnsi="Arial" w:eastAsia="Arial"/>
                <w:b w:val="0"/>
                <w:i w:val="0"/>
                <w:sz w:val="12"/>
              </w:rPr>
              <w:t xml:space="preserve">Analizar la relación entre Analítica de Big Data y Desempeño de la Empresa en el contexto </w:t>
            </w:r>
          </w:p>
        </w:tc>
        <w:tc>
          <w:tcPr>
            <w:tcW w:type="dxa" w:w="1224"/>
            <w:vAlign w:val="center"/>
            <w:shd w:fill="F8F9F9" w:val="clear" w:color="auto"/>
          </w:tcPr>
          <w:p>
            <w:pPr>
              <w:jc w:val="left"/>
            </w:pPr>
            <w:r/>
            <w:r>
              <w:rPr>
                <w:rFonts w:ascii="Arial" w:hAnsi="Arial" w:eastAsia="Arial"/>
                <w:b w:val="0"/>
                <w:i w:val="0"/>
                <w:sz w:val="12"/>
              </w:rPr>
              <w:t>Encuesta cuantitativa</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Analítica de Big Data</w:t>
            </w:r>
          </w:p>
        </w:tc>
        <w:tc>
          <w:tcPr>
            <w:tcW w:type="dxa" w:w="1368"/>
            <w:vAlign w:val="center"/>
            <w:shd w:fill="F8F9F9" w:val="clear" w:color="auto"/>
          </w:tcPr>
          <w:p>
            <w:pPr>
              <w:jc w:val="left"/>
            </w:pPr>
            <w:r/>
            <w:r>
              <w:rPr>
                <w:rFonts w:ascii="Arial" w:hAnsi="Arial" w:eastAsia="Arial"/>
                <w:b w:val="0"/>
                <w:i w:val="0"/>
                <w:sz w:val="12"/>
              </w:rPr>
              <w:t>Desempeño de la Empresa</w:t>
            </w:r>
          </w:p>
        </w:tc>
        <w:tc>
          <w:tcPr>
            <w:tcW w:type="dxa" w:w="1080"/>
            <w:vAlign w:val="center"/>
            <w:shd w:fill="F8F9F9" w:val="clear" w:color="auto"/>
          </w:tcPr>
          <w:p>
            <w:pPr>
              <w:jc w:val="left"/>
            </w:pPr>
            <w:r/>
            <w:r>
              <w:rPr>
                <w:rFonts w:ascii="Arial" w:hAnsi="Arial" w:eastAsia="Arial"/>
                <w:b w:val="0"/>
                <w:i w:val="0"/>
                <w:sz w:val="12"/>
              </w:rPr>
              <w:t>Métricas reportadas: CRONBACH</w:t>
            </w:r>
          </w:p>
        </w:tc>
        <w:tc>
          <w:tcPr>
            <w:tcW w:type="dxa" w:w="504"/>
            <w:vAlign w:val="center"/>
            <w:shd w:fill="F8F9F9" w:val="clear" w:color="auto"/>
          </w:tcPr>
          <w:p>
            <w:pPr>
              <w:jc w:val="center"/>
            </w:pPr>
            <w:r/>
            <w:r>
              <w:rPr>
                <w:rFonts w:ascii="Arial" w:hAnsi="Arial" w:eastAsia="Arial"/>
                <w:b w:val="0"/>
                <w:i w:val="0"/>
                <w:sz w:val="12"/>
              </w:rPr>
              <w:t>2</w:t>
            </w:r>
          </w:p>
        </w:tc>
      </w:tr>
      <w:tr>
        <w:tc>
          <w:tcPr>
            <w:tcW w:type="dxa" w:w="504"/>
            <w:vAlign w:val="center"/>
          </w:tcPr>
          <w:p>
            <w:pPr>
              <w:jc w:val="center"/>
            </w:pPr>
            <w:r/>
            <w:r>
              <w:rPr>
                <w:rFonts w:ascii="Arial" w:hAnsi="Arial" w:eastAsia="Arial"/>
                <w:b w:val="0"/>
                <w:i w:val="0"/>
                <w:sz w:val="12"/>
              </w:rPr>
              <w:t>13</w:t>
            </w:r>
          </w:p>
        </w:tc>
        <w:tc>
          <w:tcPr>
            <w:tcW w:type="dxa" w:w="1512"/>
            <w:vAlign w:val="center"/>
          </w:tcPr>
          <w:p>
            <w:pPr>
              <w:jc w:val="left"/>
            </w:pPr>
            <w:r/>
            <w:r>
              <w:rPr>
                <w:rFonts w:ascii="Arial" w:hAnsi="Arial" w:eastAsia="Arial"/>
                <w:b w:val="0"/>
                <w:i w:val="0"/>
                <w:sz w:val="12"/>
              </w:rPr>
              <w:t>Makridakis, S.; Spiliotis, E</w:t>
            </w:r>
          </w:p>
        </w:tc>
        <w:tc>
          <w:tcPr>
            <w:tcW w:type="dxa" w:w="1944"/>
            <w:vAlign w:val="center"/>
          </w:tcPr>
          <w:p>
            <w:pPr>
              <w:jc w:val="left"/>
            </w:pPr>
            <w:r/>
            <w:r>
              <w:rPr>
                <w:rFonts w:ascii="Arial" w:hAnsi="Arial" w:eastAsia="Arial"/>
                <w:b w:val="0"/>
                <w:i w:val="0"/>
                <w:sz w:val="12"/>
              </w:rPr>
              <w:t>Analizar la relación entre Método de Pronóstico (Estadístico vs. Machine Learning) y Preci</w:t>
            </w:r>
          </w:p>
        </w:tc>
        <w:tc>
          <w:tcPr>
            <w:tcW w:type="dxa" w:w="1224"/>
            <w:vAlign w:val="center"/>
          </w:tcPr>
          <w:p>
            <w:pPr>
              <w:jc w:val="left"/>
            </w:pPr>
            <w:r/>
            <w:r>
              <w:rPr>
                <w:rFonts w:ascii="Arial" w:hAnsi="Arial" w:eastAsia="Arial"/>
                <w:b w:val="0"/>
                <w:i w:val="0"/>
                <w:sz w:val="12"/>
              </w:rPr>
              <w:t>Modelado computacional (ML/DL) + datos secundarios</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Método de Pronóstico (Estadístico vs. Machine</w:t>
            </w:r>
          </w:p>
        </w:tc>
        <w:tc>
          <w:tcPr>
            <w:tcW w:type="dxa" w:w="1368"/>
            <w:vAlign w:val="center"/>
          </w:tcPr>
          <w:p>
            <w:pPr>
              <w:jc w:val="left"/>
            </w:pPr>
            <w:r/>
            <w:r>
              <w:rPr>
                <w:rFonts w:ascii="Arial" w:hAnsi="Arial" w:eastAsia="Arial"/>
                <w:b w:val="0"/>
                <w:i w:val="0"/>
                <w:sz w:val="12"/>
              </w:rPr>
              <w:t>Precisión del Pronóstico de Demanda</w:t>
            </w:r>
          </w:p>
        </w:tc>
        <w:tc>
          <w:tcPr>
            <w:tcW w:type="dxa" w:w="1080"/>
            <w:vAlign w:val="center"/>
          </w:tcPr>
          <w:p>
            <w:pPr>
              <w:jc w:val="left"/>
            </w:pPr>
            <w:r/>
            <w:r>
              <w:rPr>
                <w:rFonts w:ascii="Arial" w:hAnsi="Arial" w:eastAsia="Arial"/>
                <w:b w:val="0"/>
                <w:i w:val="0"/>
                <w:sz w:val="12"/>
              </w:rPr>
              <w:t>Métricas reportadas: MAE, RMSE</w:t>
            </w:r>
          </w:p>
        </w:tc>
        <w:tc>
          <w:tcPr>
            <w:tcW w:type="dxa" w:w="504"/>
            <w:vAlign w:val="center"/>
          </w:tcPr>
          <w:p>
            <w:pPr>
              <w:jc w:val="center"/>
            </w:pPr>
            <w:r/>
            <w:r>
              <w:rPr>
                <w:rFonts w:ascii="Arial" w:hAnsi="Arial" w:eastAsia="Arial"/>
                <w:b w:val="0"/>
                <w:i w:val="0"/>
                <w:sz w:val="12"/>
              </w:rPr>
              <w:t>2</w:t>
            </w:r>
          </w:p>
        </w:tc>
      </w:tr>
      <w:tr>
        <w:tc>
          <w:tcPr>
            <w:tcW w:type="dxa" w:w="504"/>
            <w:vAlign w:val="center"/>
            <w:shd w:fill="F8F9F9" w:val="clear" w:color="auto"/>
          </w:tcPr>
          <w:p>
            <w:pPr>
              <w:jc w:val="center"/>
            </w:pPr>
            <w:r/>
            <w:r>
              <w:rPr>
                <w:rFonts w:ascii="Arial" w:hAnsi="Arial" w:eastAsia="Arial"/>
                <w:b w:val="0"/>
                <w:i w:val="0"/>
                <w:sz w:val="12"/>
              </w:rPr>
              <w:t>14</w:t>
            </w:r>
          </w:p>
        </w:tc>
        <w:tc>
          <w:tcPr>
            <w:tcW w:type="dxa" w:w="1512"/>
            <w:vAlign w:val="center"/>
            <w:shd w:fill="F8F9F9" w:val="clear" w:color="auto"/>
          </w:tcPr>
          <w:p>
            <w:pPr>
              <w:jc w:val="left"/>
            </w:pPr>
            <w:r/>
            <w:r>
              <w:rPr>
                <w:rFonts w:ascii="Arial" w:hAnsi="Arial" w:eastAsia="Arial"/>
                <w:b w:val="0"/>
                <w:i w:val="0"/>
                <w:sz w:val="12"/>
              </w:rPr>
              <w:t>Fildes, R.; Ma, S. y Kolassa</w:t>
            </w:r>
          </w:p>
        </w:tc>
        <w:tc>
          <w:tcPr>
            <w:tcW w:type="dxa" w:w="1944"/>
            <w:vAlign w:val="center"/>
            <w:shd w:fill="F8F9F9" w:val="clear" w:color="auto"/>
          </w:tcPr>
          <w:p>
            <w:pPr>
              <w:jc w:val="left"/>
            </w:pPr>
            <w:r/>
            <w:r>
              <w:rPr>
                <w:rFonts w:ascii="Arial" w:hAnsi="Arial" w:eastAsia="Arial"/>
                <w:b w:val="0"/>
                <w:i w:val="0"/>
                <w:sz w:val="12"/>
              </w:rPr>
              <w:t>Analizar la relación entre Modelos de Predicción de Demanda en Retail y Precisión del Pron</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Evidencia documental / datos del estudio fuente</w:t>
            </w:r>
          </w:p>
        </w:tc>
        <w:tc>
          <w:tcPr>
            <w:tcW w:type="dxa" w:w="1368"/>
            <w:vAlign w:val="center"/>
            <w:shd w:fill="F8F9F9" w:val="clear" w:color="auto"/>
          </w:tcPr>
          <w:p>
            <w:pPr>
              <w:jc w:val="left"/>
            </w:pPr>
            <w:r/>
            <w:r>
              <w:rPr>
                <w:rFonts w:ascii="Arial" w:hAnsi="Arial" w:eastAsia="Arial"/>
                <w:b w:val="0"/>
                <w:i w:val="0"/>
                <w:sz w:val="12"/>
              </w:rPr>
              <w:t>Modelos de Predicción de Demanda en Retail</w:t>
            </w:r>
          </w:p>
        </w:tc>
        <w:tc>
          <w:tcPr>
            <w:tcW w:type="dxa" w:w="1368"/>
            <w:vAlign w:val="center"/>
            <w:shd w:fill="F8F9F9" w:val="clear" w:color="auto"/>
          </w:tcPr>
          <w:p>
            <w:pPr>
              <w:jc w:val="left"/>
            </w:pPr>
            <w:r/>
            <w:r>
              <w:rPr>
                <w:rFonts w:ascii="Arial" w:hAnsi="Arial" w:eastAsia="Arial"/>
                <w:b w:val="0"/>
                <w:i w:val="0"/>
                <w:sz w:val="12"/>
              </w:rPr>
              <w:t>Precisión del Pronóstico de Ventas Retail</w:t>
            </w:r>
          </w:p>
        </w:tc>
        <w:tc>
          <w:tcPr>
            <w:tcW w:type="dxa" w:w="1080"/>
            <w:vAlign w:val="center"/>
            <w:shd w:fill="F8F9F9" w:val="clear" w:color="auto"/>
          </w:tcPr>
          <w:p>
            <w:pPr>
              <w:jc w:val="left"/>
            </w:pPr>
            <w:r/>
            <w:r>
              <w:rPr>
                <w:rFonts w:ascii="Arial" w:hAnsi="Arial" w:eastAsia="Arial"/>
                <w:b w:val="0"/>
                <w:i w:val="0"/>
                <w:sz w:val="12"/>
              </w:rPr>
              <w:t>Modelos de regresión / SEM con bondad de ajuste</w:t>
            </w:r>
          </w:p>
        </w:tc>
        <w:tc>
          <w:tcPr>
            <w:tcW w:type="dxa" w:w="504"/>
            <w:vAlign w:val="center"/>
            <w:shd w:fill="F8F9F9" w:val="clear" w:color="auto"/>
          </w:tcPr>
          <w:p>
            <w:pPr>
              <w:jc w:val="center"/>
            </w:pPr>
            <w:r/>
            <w:r>
              <w:rPr>
                <w:rFonts w:ascii="Arial" w:hAnsi="Arial" w:eastAsia="Arial"/>
                <w:b w:val="0"/>
                <w:i w:val="0"/>
                <w:sz w:val="12"/>
              </w:rPr>
              <w:t>2</w:t>
            </w:r>
          </w:p>
        </w:tc>
      </w:tr>
      <w:tr>
        <w:tc>
          <w:tcPr>
            <w:tcW w:type="dxa" w:w="504"/>
            <w:vAlign w:val="center"/>
          </w:tcPr>
          <w:p>
            <w:pPr>
              <w:jc w:val="center"/>
            </w:pPr>
            <w:r/>
            <w:r>
              <w:rPr>
                <w:rFonts w:ascii="Arial" w:hAnsi="Arial" w:eastAsia="Arial"/>
                <w:b w:val="0"/>
                <w:i w:val="0"/>
                <w:sz w:val="12"/>
              </w:rPr>
              <w:t>15</w:t>
            </w:r>
          </w:p>
        </w:tc>
        <w:tc>
          <w:tcPr>
            <w:tcW w:type="dxa" w:w="1512"/>
            <w:vAlign w:val="center"/>
          </w:tcPr>
          <w:p>
            <w:pPr>
              <w:jc w:val="left"/>
            </w:pPr>
            <w:r/>
            <w:r>
              <w:rPr>
                <w:rFonts w:ascii="Arial" w:hAnsi="Arial" w:eastAsia="Arial"/>
                <w:b w:val="0"/>
                <w:i w:val="0"/>
                <w:sz w:val="12"/>
              </w:rPr>
              <w:t>Syam, N. y Sharma, A. (2018)</w:t>
            </w:r>
          </w:p>
        </w:tc>
        <w:tc>
          <w:tcPr>
            <w:tcW w:type="dxa" w:w="1944"/>
            <w:vAlign w:val="center"/>
          </w:tcPr>
          <w:p>
            <w:pPr>
              <w:jc w:val="left"/>
            </w:pPr>
            <w:r/>
            <w:r>
              <w:rPr>
                <w:rFonts w:ascii="Arial" w:hAnsi="Arial" w:eastAsia="Arial"/>
                <w:b w:val="0"/>
                <w:i w:val="0"/>
                <w:sz w:val="12"/>
              </w:rPr>
              <w:t>Analizar la relación entre IA y Automatización Aplicadas a Ventas y Desempeño de la Fuerza</w:t>
            </w:r>
          </w:p>
        </w:tc>
        <w:tc>
          <w:tcPr>
            <w:tcW w:type="dxa" w:w="1224"/>
            <w:vAlign w:val="center"/>
          </w:tcPr>
          <w:p>
            <w:pPr>
              <w:jc w:val="left"/>
            </w:pPr>
            <w:r/>
            <w:r>
              <w:rPr>
                <w:rFonts w:ascii="Arial" w:hAnsi="Arial" w:eastAsia="Arial"/>
                <w:b w:val="0"/>
                <w:i w:val="0"/>
                <w:sz w:val="12"/>
              </w:rPr>
              <w:t>Mixto: entrevista + análisis documental</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IA y Automatización Aplicadas a Ventas</w:t>
            </w:r>
          </w:p>
        </w:tc>
        <w:tc>
          <w:tcPr>
            <w:tcW w:type="dxa" w:w="1368"/>
            <w:vAlign w:val="center"/>
          </w:tcPr>
          <w:p>
            <w:pPr>
              <w:jc w:val="left"/>
            </w:pPr>
            <w:r/>
            <w:r>
              <w:rPr>
                <w:rFonts w:ascii="Arial" w:hAnsi="Arial" w:eastAsia="Arial"/>
                <w:b w:val="0"/>
                <w:i w:val="0"/>
                <w:sz w:val="12"/>
              </w:rPr>
              <w:t>Desempeño de la Fuerza de Ventas</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2</w:t>
            </w:r>
          </w:p>
        </w:tc>
      </w:tr>
      <w:tr>
        <w:tc>
          <w:tcPr>
            <w:tcW w:type="dxa" w:w="504"/>
            <w:vAlign w:val="center"/>
            <w:shd w:fill="F8F9F9" w:val="clear" w:color="auto"/>
          </w:tcPr>
          <w:p>
            <w:pPr>
              <w:jc w:val="center"/>
            </w:pPr>
            <w:r/>
            <w:r>
              <w:rPr>
                <w:rFonts w:ascii="Arial" w:hAnsi="Arial" w:eastAsia="Arial"/>
                <w:b w:val="0"/>
                <w:i w:val="0"/>
                <w:sz w:val="12"/>
              </w:rPr>
              <w:t>16</w:t>
            </w:r>
          </w:p>
        </w:tc>
        <w:tc>
          <w:tcPr>
            <w:tcW w:type="dxa" w:w="1512"/>
            <w:vAlign w:val="center"/>
            <w:shd w:fill="F8F9F9" w:val="clear" w:color="auto"/>
          </w:tcPr>
          <w:p>
            <w:pPr>
              <w:jc w:val="left"/>
            </w:pPr>
            <w:r/>
            <w:r>
              <w:rPr>
                <w:rFonts w:ascii="Arial" w:hAnsi="Arial" w:eastAsia="Arial"/>
                <w:b w:val="0"/>
                <w:i w:val="0"/>
                <w:sz w:val="12"/>
              </w:rPr>
              <w:t>Haefner, N.</w:t>
            </w:r>
          </w:p>
        </w:tc>
        <w:tc>
          <w:tcPr>
            <w:tcW w:type="dxa" w:w="1944"/>
            <w:vAlign w:val="center"/>
            <w:shd w:fill="F8F9F9" w:val="clear" w:color="auto"/>
          </w:tcPr>
          <w:p>
            <w:pPr>
              <w:jc w:val="left"/>
            </w:pPr>
            <w:r/>
            <w:r>
              <w:rPr>
                <w:rFonts w:ascii="Arial" w:hAnsi="Arial" w:eastAsia="Arial"/>
                <w:b w:val="0"/>
                <w:i w:val="0"/>
                <w:sz w:val="12"/>
              </w:rPr>
              <w:t>Analizar la relación entre IA como Motor de Innovación Empresarial y Resultados de Innovac</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IA como Motor de Innovación Empresarial</w:t>
            </w:r>
          </w:p>
        </w:tc>
        <w:tc>
          <w:tcPr>
            <w:tcW w:type="dxa" w:w="1368"/>
            <w:vAlign w:val="center"/>
            <w:shd w:fill="F8F9F9" w:val="clear" w:color="auto"/>
          </w:tcPr>
          <w:p>
            <w:pPr>
              <w:jc w:val="left"/>
            </w:pPr>
            <w:r/>
            <w:r>
              <w:rPr>
                <w:rFonts w:ascii="Arial" w:hAnsi="Arial" w:eastAsia="Arial"/>
                <w:b w:val="0"/>
                <w:i w:val="0"/>
                <w:sz w:val="12"/>
              </w:rPr>
              <w:t>Resultados de Innovación Empresarial</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2</w:t>
            </w:r>
          </w:p>
        </w:tc>
      </w:tr>
      <w:tr>
        <w:tc>
          <w:tcPr>
            <w:tcW w:type="dxa" w:w="504"/>
            <w:vAlign w:val="center"/>
          </w:tcPr>
          <w:p>
            <w:pPr>
              <w:jc w:val="center"/>
            </w:pPr>
            <w:r/>
            <w:r>
              <w:rPr>
                <w:rFonts w:ascii="Arial" w:hAnsi="Arial" w:eastAsia="Arial"/>
                <w:b w:val="0"/>
                <w:i w:val="0"/>
                <w:sz w:val="12"/>
              </w:rPr>
              <w:t>17</w:t>
            </w:r>
          </w:p>
        </w:tc>
        <w:tc>
          <w:tcPr>
            <w:tcW w:type="dxa" w:w="1512"/>
            <w:vAlign w:val="center"/>
          </w:tcPr>
          <w:p>
            <w:pPr>
              <w:jc w:val="left"/>
            </w:pPr>
            <w:r/>
            <w:r>
              <w:rPr>
                <w:rFonts w:ascii="Arial" w:hAnsi="Arial" w:eastAsia="Arial"/>
                <w:b w:val="0"/>
                <w:i w:val="0"/>
                <w:sz w:val="12"/>
              </w:rPr>
              <w:t>Paschen, J.; Kietzmann, J. y</w:t>
            </w:r>
          </w:p>
        </w:tc>
        <w:tc>
          <w:tcPr>
            <w:tcW w:type="dxa" w:w="1944"/>
            <w:vAlign w:val="center"/>
          </w:tcPr>
          <w:p>
            <w:pPr>
              <w:jc w:val="left"/>
            </w:pPr>
            <w:r/>
            <w:r>
              <w:rPr>
                <w:rFonts w:ascii="Arial" w:hAnsi="Arial" w:eastAsia="Arial"/>
                <w:b w:val="0"/>
                <w:i w:val="0"/>
                <w:sz w:val="12"/>
              </w:rPr>
              <w:t>Analizar la relación entre IA Aplicada al Conocimiento de Mercado B2B y Ventaja Competitiv</w:t>
            </w:r>
          </w:p>
        </w:tc>
        <w:tc>
          <w:tcPr>
            <w:tcW w:type="dxa" w:w="1224"/>
            <w:vAlign w:val="center"/>
          </w:tcPr>
          <w:p>
            <w:pPr>
              <w:jc w:val="left"/>
            </w:pPr>
            <w:r/>
            <w:r>
              <w:rPr>
                <w:rFonts w:ascii="Arial" w:hAnsi="Arial" w:eastAsia="Arial"/>
                <w:b w:val="0"/>
                <w:i w:val="0"/>
                <w:sz w:val="12"/>
              </w:rPr>
              <w:t>Estudio de casos múltiples</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IA Aplicada al Conocimiento de Mercado B2B</w:t>
            </w:r>
          </w:p>
        </w:tc>
        <w:tc>
          <w:tcPr>
            <w:tcW w:type="dxa" w:w="1368"/>
            <w:vAlign w:val="center"/>
          </w:tcPr>
          <w:p>
            <w:pPr>
              <w:jc w:val="left"/>
            </w:pPr>
            <w:r/>
            <w:r>
              <w:rPr>
                <w:rFonts w:ascii="Arial" w:hAnsi="Arial" w:eastAsia="Arial"/>
                <w:b w:val="0"/>
                <w:i w:val="0"/>
                <w:sz w:val="12"/>
              </w:rPr>
              <w:t>Ventaja Competitiva en Mercados B2B</w:t>
            </w:r>
          </w:p>
        </w:tc>
        <w:tc>
          <w:tcPr>
            <w:tcW w:type="dxa" w:w="1080"/>
            <w:vAlign w:val="center"/>
          </w:tcPr>
          <w:p>
            <w:pPr>
              <w:jc w:val="left"/>
            </w:pPr>
            <w:r/>
            <w:r>
              <w:rPr>
                <w:rFonts w:ascii="Arial" w:hAnsi="Arial" w:eastAsia="Arial"/>
                <w:b w:val="0"/>
                <w:i w:val="0"/>
                <w:sz w:val="12"/>
              </w:rPr>
              <w:t>Modelos de regresión / SEM con bondad de ajuste</w:t>
            </w:r>
          </w:p>
        </w:tc>
        <w:tc>
          <w:tcPr>
            <w:tcW w:type="dxa" w:w="504"/>
            <w:vAlign w:val="center"/>
          </w:tcPr>
          <w:p>
            <w:pPr>
              <w:jc w:val="center"/>
            </w:pPr>
            <w:r/>
            <w:r>
              <w:rPr>
                <w:rFonts w:ascii="Arial" w:hAnsi="Arial" w:eastAsia="Arial"/>
                <w:b w:val="0"/>
                <w:i w:val="0"/>
                <w:sz w:val="12"/>
              </w:rPr>
              <w:t>2</w:t>
            </w:r>
          </w:p>
        </w:tc>
      </w:tr>
      <w:tr>
        <w:tc>
          <w:tcPr>
            <w:tcW w:type="dxa" w:w="504"/>
            <w:vAlign w:val="center"/>
            <w:shd w:fill="F8F9F9" w:val="clear" w:color="auto"/>
          </w:tcPr>
          <w:p>
            <w:pPr>
              <w:jc w:val="center"/>
            </w:pPr>
            <w:r/>
            <w:r>
              <w:rPr>
                <w:rFonts w:ascii="Arial" w:hAnsi="Arial" w:eastAsia="Arial"/>
                <w:b w:val="0"/>
                <w:i w:val="0"/>
                <w:sz w:val="12"/>
              </w:rPr>
              <w:t>18</w:t>
            </w:r>
          </w:p>
        </w:tc>
        <w:tc>
          <w:tcPr>
            <w:tcW w:type="dxa" w:w="1512"/>
            <w:vAlign w:val="center"/>
            <w:shd w:fill="F8F9F9" w:val="clear" w:color="auto"/>
          </w:tcPr>
          <w:p>
            <w:pPr>
              <w:jc w:val="left"/>
            </w:pPr>
            <w:r/>
            <w:r>
              <w:rPr>
                <w:rFonts w:ascii="Arial" w:hAnsi="Arial" w:eastAsia="Arial"/>
                <w:b w:val="0"/>
                <w:i w:val="0"/>
                <w:sz w:val="12"/>
              </w:rPr>
              <w:t>Ozbayoglu, A.M.; Gudelek, M.</w:t>
            </w:r>
          </w:p>
        </w:tc>
        <w:tc>
          <w:tcPr>
            <w:tcW w:type="dxa" w:w="1944"/>
            <w:vAlign w:val="center"/>
            <w:shd w:fill="F8F9F9" w:val="clear" w:color="auto"/>
          </w:tcPr>
          <w:p>
            <w:pPr>
              <w:jc w:val="left"/>
            </w:pPr>
            <w:r/>
            <w:r>
              <w:rPr>
                <w:rFonts w:ascii="Arial" w:hAnsi="Arial" w:eastAsia="Arial"/>
                <w:b w:val="0"/>
                <w:i w:val="0"/>
                <w:sz w:val="12"/>
              </w:rPr>
              <w:t>Analizar la relación entre Modelos de Deep Learning para Predicción Financiera y Precisión</w:t>
            </w:r>
          </w:p>
        </w:tc>
        <w:tc>
          <w:tcPr>
            <w:tcW w:type="dxa" w:w="1224"/>
            <w:vAlign w:val="center"/>
            <w:shd w:fill="F8F9F9" w:val="clear" w:color="auto"/>
          </w:tcPr>
          <w:p>
            <w:pPr>
              <w:jc w:val="left"/>
            </w:pPr>
            <w:r/>
            <w:r>
              <w:rPr>
                <w:rFonts w:ascii="Arial" w:hAnsi="Arial" w:eastAsia="Arial"/>
                <w:b w:val="0"/>
                <w:i w:val="0"/>
                <w:sz w:val="12"/>
              </w:rPr>
              <w:t>Modelado predictivo + validación temporal</w:t>
            </w:r>
          </w:p>
        </w:tc>
        <w:tc>
          <w:tcPr>
            <w:tcW w:type="dxa" w:w="1224"/>
            <w:vAlign w:val="center"/>
            <w:shd w:fill="F8F9F9" w:val="clear" w:color="auto"/>
          </w:tcPr>
          <w:p>
            <w:pPr>
              <w:jc w:val="left"/>
            </w:pPr>
            <w:r/>
            <w:r>
              <w:rPr>
                <w:rFonts w:ascii="Arial" w:hAnsi="Arial" w:eastAsia="Arial"/>
                <w:b w:val="0"/>
                <w:i w:val="0"/>
                <w:sz w:val="12"/>
              </w:rPr>
              <w:t>Grandes corporaciones EE.UU. (COMPUSTAT/CRSP)</w:t>
            </w:r>
          </w:p>
        </w:tc>
        <w:tc>
          <w:tcPr>
            <w:tcW w:type="dxa" w:w="1368"/>
            <w:vAlign w:val="center"/>
            <w:shd w:fill="F8F9F9" w:val="clear" w:color="auto"/>
          </w:tcPr>
          <w:p>
            <w:pPr>
              <w:jc w:val="left"/>
            </w:pPr>
            <w:r/>
            <w:r>
              <w:rPr>
                <w:rFonts w:ascii="Arial" w:hAnsi="Arial" w:eastAsia="Arial"/>
                <w:b w:val="0"/>
                <w:i w:val="0"/>
                <w:sz w:val="12"/>
              </w:rPr>
              <w:t>Modelos de Deep Learning para Predicción Fina</w:t>
            </w:r>
          </w:p>
        </w:tc>
        <w:tc>
          <w:tcPr>
            <w:tcW w:type="dxa" w:w="1368"/>
            <w:vAlign w:val="center"/>
            <w:shd w:fill="F8F9F9" w:val="clear" w:color="auto"/>
          </w:tcPr>
          <w:p>
            <w:pPr>
              <w:jc w:val="left"/>
            </w:pPr>
            <w:r/>
            <w:r>
              <w:rPr>
                <w:rFonts w:ascii="Arial" w:hAnsi="Arial" w:eastAsia="Arial"/>
                <w:b w:val="0"/>
                <w:i w:val="0"/>
                <w:sz w:val="12"/>
              </w:rPr>
              <w:t>Precisión en Predicción de Riesgo Financiero</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3</w:t>
            </w:r>
          </w:p>
        </w:tc>
      </w:tr>
      <w:tr>
        <w:tc>
          <w:tcPr>
            <w:tcW w:type="dxa" w:w="504"/>
            <w:vAlign w:val="center"/>
          </w:tcPr>
          <w:p>
            <w:pPr>
              <w:jc w:val="center"/>
            </w:pPr>
            <w:r/>
            <w:r>
              <w:rPr>
                <w:rFonts w:ascii="Arial" w:hAnsi="Arial" w:eastAsia="Arial"/>
                <w:b w:val="0"/>
                <w:i w:val="0"/>
                <w:sz w:val="12"/>
              </w:rPr>
              <w:t>19</w:t>
            </w:r>
          </w:p>
        </w:tc>
        <w:tc>
          <w:tcPr>
            <w:tcW w:type="dxa" w:w="1512"/>
            <w:vAlign w:val="center"/>
          </w:tcPr>
          <w:p>
            <w:pPr>
              <w:jc w:val="left"/>
            </w:pPr>
            <w:r/>
            <w:r>
              <w:rPr>
                <w:rFonts w:ascii="Arial" w:hAnsi="Arial" w:eastAsia="Arial"/>
                <w:b w:val="0"/>
                <w:i w:val="0"/>
                <w:sz w:val="12"/>
              </w:rPr>
              <w:t>Barboza, F.; Kimura, H. y Al</w:t>
            </w:r>
          </w:p>
        </w:tc>
        <w:tc>
          <w:tcPr>
            <w:tcW w:type="dxa" w:w="1944"/>
            <w:vAlign w:val="center"/>
          </w:tcPr>
          <w:p>
            <w:pPr>
              <w:jc w:val="left"/>
            </w:pPr>
            <w:r/>
            <w:r>
              <w:rPr>
                <w:rFonts w:ascii="Arial" w:hAnsi="Arial" w:eastAsia="Arial"/>
                <w:b w:val="0"/>
                <w:i w:val="0"/>
                <w:sz w:val="12"/>
              </w:rPr>
              <w:t>Analizar la relación entre Modelos de Machine Learning para Predicción de Quiebra y Predic</w:t>
            </w:r>
          </w:p>
        </w:tc>
        <w:tc>
          <w:tcPr>
            <w:tcW w:type="dxa" w:w="1224"/>
            <w:vAlign w:val="center"/>
          </w:tcPr>
          <w:p>
            <w:pPr>
              <w:jc w:val="left"/>
            </w:pPr>
            <w:r/>
            <w:r>
              <w:rPr>
                <w:rFonts w:ascii="Arial" w:hAnsi="Arial" w:eastAsia="Arial"/>
                <w:b w:val="0"/>
                <w:i w:val="0"/>
                <w:sz w:val="12"/>
              </w:rPr>
              <w:t>Modelado computacional (ML/DL) + datos secundarios</w:t>
            </w:r>
          </w:p>
        </w:tc>
        <w:tc>
          <w:tcPr>
            <w:tcW w:type="dxa" w:w="1224"/>
            <w:vAlign w:val="center"/>
          </w:tcPr>
          <w:p>
            <w:pPr>
              <w:jc w:val="left"/>
            </w:pPr>
            <w:r/>
            <w:r>
              <w:rPr>
                <w:rFonts w:ascii="Arial" w:hAnsi="Arial" w:eastAsia="Arial"/>
                <w:b w:val="0"/>
                <w:i w:val="0"/>
                <w:sz w:val="12"/>
              </w:rPr>
              <w:t>Grandes corporaciones EE.UU. (COMPUSTAT/CRSP)</w:t>
            </w:r>
          </w:p>
        </w:tc>
        <w:tc>
          <w:tcPr>
            <w:tcW w:type="dxa" w:w="1368"/>
            <w:vAlign w:val="center"/>
          </w:tcPr>
          <w:p>
            <w:pPr>
              <w:jc w:val="left"/>
            </w:pPr>
            <w:r/>
            <w:r>
              <w:rPr>
                <w:rFonts w:ascii="Arial" w:hAnsi="Arial" w:eastAsia="Arial"/>
                <w:b w:val="0"/>
                <w:i w:val="0"/>
                <w:sz w:val="12"/>
              </w:rPr>
              <w:t>Modelos de Machine Learning para Predicción d</w:t>
            </w:r>
          </w:p>
        </w:tc>
        <w:tc>
          <w:tcPr>
            <w:tcW w:type="dxa" w:w="1368"/>
            <w:vAlign w:val="center"/>
          </w:tcPr>
          <w:p>
            <w:pPr>
              <w:jc w:val="left"/>
            </w:pPr>
            <w:r/>
            <w:r>
              <w:rPr>
                <w:rFonts w:ascii="Arial" w:hAnsi="Arial" w:eastAsia="Arial"/>
                <w:b w:val="0"/>
                <w:i w:val="0"/>
                <w:sz w:val="12"/>
              </w:rPr>
              <w:t>Predicción de Quiebra Empresarial</w:t>
            </w:r>
          </w:p>
        </w:tc>
        <w:tc>
          <w:tcPr>
            <w:tcW w:type="dxa" w:w="1080"/>
            <w:vAlign w:val="center"/>
          </w:tcPr>
          <w:p>
            <w:pPr>
              <w:jc w:val="left"/>
            </w:pPr>
            <w:r/>
            <w:r>
              <w:rPr>
                <w:rFonts w:ascii="Arial" w:hAnsi="Arial" w:eastAsia="Arial"/>
                <w:b w:val="0"/>
                <w:i w:val="0"/>
                <w:sz w:val="12"/>
              </w:rPr>
              <w:t>Desempeño ML: MAE, RMSE, R², accuracy (según estud</w:t>
            </w:r>
          </w:p>
        </w:tc>
        <w:tc>
          <w:tcPr>
            <w:tcW w:type="dxa" w:w="504"/>
            <w:vAlign w:val="center"/>
          </w:tcPr>
          <w:p>
            <w:pPr>
              <w:jc w:val="center"/>
            </w:pPr>
            <w:r/>
            <w:r>
              <w:rPr>
                <w:rFonts w:ascii="Arial" w:hAnsi="Arial" w:eastAsia="Arial"/>
                <w:b w:val="0"/>
                <w:i w:val="0"/>
                <w:sz w:val="12"/>
              </w:rPr>
              <w:t>3</w:t>
            </w:r>
          </w:p>
        </w:tc>
      </w:tr>
      <w:tr>
        <w:tc>
          <w:tcPr>
            <w:tcW w:type="dxa" w:w="504"/>
            <w:vAlign w:val="center"/>
            <w:shd w:fill="F8F9F9" w:val="clear" w:color="auto"/>
          </w:tcPr>
          <w:p>
            <w:pPr>
              <w:jc w:val="center"/>
            </w:pPr>
            <w:r/>
            <w:r>
              <w:rPr>
                <w:rFonts w:ascii="Arial" w:hAnsi="Arial" w:eastAsia="Arial"/>
                <w:b w:val="0"/>
                <w:i w:val="0"/>
                <w:sz w:val="12"/>
              </w:rPr>
              <w:t>20</w:t>
            </w:r>
          </w:p>
        </w:tc>
        <w:tc>
          <w:tcPr>
            <w:tcW w:type="dxa" w:w="1512"/>
            <w:vAlign w:val="center"/>
            <w:shd w:fill="F8F9F9" w:val="clear" w:color="auto"/>
          </w:tcPr>
          <w:p>
            <w:pPr>
              <w:jc w:val="left"/>
            </w:pPr>
            <w:r/>
            <w:r>
              <w:rPr>
                <w:rFonts w:ascii="Arial" w:hAnsi="Arial" w:eastAsia="Arial"/>
                <w:b w:val="0"/>
                <w:i w:val="0"/>
                <w:sz w:val="12"/>
              </w:rPr>
              <w:t>Osaka, T. (2019)</w:t>
            </w:r>
          </w:p>
        </w:tc>
        <w:tc>
          <w:tcPr>
            <w:tcW w:type="dxa" w:w="1944"/>
            <w:vAlign w:val="center"/>
            <w:shd w:fill="F8F9F9" w:val="clear" w:color="auto"/>
          </w:tcPr>
          <w:p>
            <w:pPr>
              <w:jc w:val="left"/>
            </w:pPr>
            <w:r/>
            <w:r>
              <w:rPr>
                <w:rFonts w:ascii="Arial" w:hAnsi="Arial" w:eastAsia="Arial"/>
                <w:b w:val="0"/>
                <w:i w:val="0"/>
                <w:sz w:val="12"/>
              </w:rPr>
              <w:t>Analizar la relación entre Ratios Financieros como Imágenes para Redes CNN y Predicción de</w:t>
            </w:r>
          </w:p>
        </w:tc>
        <w:tc>
          <w:tcPr>
            <w:tcW w:type="dxa" w:w="1224"/>
            <w:vAlign w:val="center"/>
            <w:shd w:fill="F8F9F9" w:val="clear" w:color="auto"/>
          </w:tcPr>
          <w:p>
            <w:pPr>
              <w:jc w:val="left"/>
            </w:pPr>
            <w:r/>
            <w:r>
              <w:rPr>
                <w:rFonts w:ascii="Arial" w:hAnsi="Arial" w:eastAsia="Arial"/>
                <w:b w:val="0"/>
                <w:i w:val="0"/>
                <w:sz w:val="12"/>
              </w:rPr>
              <w:t>Modelado predictivo + validación temporal</w:t>
            </w:r>
          </w:p>
        </w:tc>
        <w:tc>
          <w:tcPr>
            <w:tcW w:type="dxa" w:w="1224"/>
            <w:vAlign w:val="center"/>
            <w:shd w:fill="F8F9F9" w:val="clear" w:color="auto"/>
          </w:tcPr>
          <w:p>
            <w:pPr>
              <w:jc w:val="left"/>
            </w:pPr>
            <w:r/>
            <w:r>
              <w:rPr>
                <w:rFonts w:ascii="Arial" w:hAnsi="Arial" w:eastAsia="Arial"/>
                <w:b w:val="0"/>
                <w:i w:val="0"/>
                <w:sz w:val="12"/>
              </w:rPr>
              <w:t>Evidencia documental / datos del estudio fuente</w:t>
            </w:r>
          </w:p>
        </w:tc>
        <w:tc>
          <w:tcPr>
            <w:tcW w:type="dxa" w:w="1368"/>
            <w:vAlign w:val="center"/>
            <w:shd w:fill="F8F9F9" w:val="clear" w:color="auto"/>
          </w:tcPr>
          <w:p>
            <w:pPr>
              <w:jc w:val="left"/>
            </w:pPr>
            <w:r/>
            <w:r>
              <w:rPr>
                <w:rFonts w:ascii="Arial" w:hAnsi="Arial" w:eastAsia="Arial"/>
                <w:b w:val="0"/>
                <w:i w:val="0"/>
                <w:sz w:val="12"/>
              </w:rPr>
              <w:t>Ratios Financieros como Imágenes para Redes C</w:t>
            </w:r>
          </w:p>
        </w:tc>
        <w:tc>
          <w:tcPr>
            <w:tcW w:type="dxa" w:w="1368"/>
            <w:vAlign w:val="center"/>
            <w:shd w:fill="F8F9F9" w:val="clear" w:color="auto"/>
          </w:tcPr>
          <w:p>
            <w:pPr>
              <w:jc w:val="left"/>
            </w:pPr>
            <w:r/>
            <w:r>
              <w:rPr>
                <w:rFonts w:ascii="Arial" w:hAnsi="Arial" w:eastAsia="Arial"/>
                <w:b w:val="0"/>
                <w:i w:val="0"/>
                <w:sz w:val="12"/>
              </w:rPr>
              <w:t>Predicción de Quiebra Empresarial por Imagen</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3</w:t>
            </w:r>
          </w:p>
        </w:tc>
      </w:tr>
      <w:tr>
        <w:tc>
          <w:tcPr>
            <w:tcW w:type="dxa" w:w="504"/>
            <w:vAlign w:val="center"/>
          </w:tcPr>
          <w:p>
            <w:pPr>
              <w:jc w:val="center"/>
            </w:pPr>
            <w:r/>
            <w:r>
              <w:rPr>
                <w:rFonts w:ascii="Arial" w:hAnsi="Arial" w:eastAsia="Arial"/>
                <w:b w:val="0"/>
                <w:i w:val="0"/>
                <w:sz w:val="12"/>
              </w:rPr>
              <w:t>21</w:t>
            </w:r>
          </w:p>
        </w:tc>
        <w:tc>
          <w:tcPr>
            <w:tcW w:type="dxa" w:w="1512"/>
            <w:vAlign w:val="center"/>
          </w:tcPr>
          <w:p>
            <w:pPr>
              <w:jc w:val="left"/>
            </w:pPr>
            <w:r/>
            <w:r>
              <w:rPr>
                <w:rFonts w:ascii="Arial" w:hAnsi="Arial" w:eastAsia="Arial"/>
                <w:b w:val="0"/>
                <w:i w:val="0"/>
                <w:sz w:val="12"/>
              </w:rPr>
              <w:t xml:space="preserve">Kim, M.J.; Cho, S.W. y Ryu, </w:t>
            </w:r>
          </w:p>
        </w:tc>
        <w:tc>
          <w:tcPr>
            <w:tcW w:type="dxa" w:w="1944"/>
            <w:vAlign w:val="center"/>
          </w:tcPr>
          <w:p>
            <w:pPr>
              <w:jc w:val="left"/>
            </w:pPr>
            <w:r/>
            <w:r>
              <w:rPr>
                <w:rFonts w:ascii="Arial" w:hAnsi="Arial" w:eastAsia="Arial"/>
                <w:b w:val="0"/>
                <w:i w:val="0"/>
                <w:sz w:val="12"/>
              </w:rPr>
              <w:t>Analizar la relación entre Métodos de ML para Predicción de Default Empresarial y Precisió</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Métodos de ML para Predicción de Default Empr</w:t>
            </w:r>
          </w:p>
        </w:tc>
        <w:tc>
          <w:tcPr>
            <w:tcW w:type="dxa" w:w="1368"/>
            <w:vAlign w:val="center"/>
          </w:tcPr>
          <w:p>
            <w:pPr>
              <w:jc w:val="left"/>
            </w:pPr>
            <w:r/>
            <w:r>
              <w:rPr>
                <w:rFonts w:ascii="Arial" w:hAnsi="Arial" w:eastAsia="Arial"/>
                <w:b w:val="0"/>
                <w:i w:val="0"/>
                <w:sz w:val="12"/>
              </w:rPr>
              <w:t>Precisión en Predicción de Incumplimiento</w:t>
            </w:r>
          </w:p>
        </w:tc>
        <w:tc>
          <w:tcPr>
            <w:tcW w:type="dxa" w:w="1080"/>
            <w:vAlign w:val="center"/>
          </w:tcPr>
          <w:p>
            <w:pPr>
              <w:jc w:val="left"/>
            </w:pPr>
            <w:r/>
            <w:r>
              <w:rPr>
                <w:rFonts w:ascii="Arial" w:hAnsi="Arial" w:eastAsia="Arial"/>
                <w:b w:val="0"/>
                <w:i w:val="0"/>
                <w:sz w:val="12"/>
              </w:rPr>
              <w:t>Desempeño ML: MAE, RMSE, R², accuracy (según estud</w:t>
            </w:r>
          </w:p>
        </w:tc>
        <w:tc>
          <w:tcPr>
            <w:tcW w:type="dxa" w:w="504"/>
            <w:vAlign w:val="center"/>
          </w:tcPr>
          <w:p>
            <w:pPr>
              <w:jc w:val="center"/>
            </w:pPr>
            <w:r/>
            <w:r>
              <w:rPr>
                <w:rFonts w:ascii="Arial" w:hAnsi="Arial" w:eastAsia="Arial"/>
                <w:b w:val="0"/>
                <w:i w:val="0"/>
                <w:sz w:val="12"/>
              </w:rPr>
              <w:t>3</w:t>
            </w:r>
          </w:p>
        </w:tc>
      </w:tr>
      <w:tr>
        <w:tc>
          <w:tcPr>
            <w:tcW w:type="dxa" w:w="504"/>
            <w:vAlign w:val="center"/>
            <w:shd w:fill="F8F9F9" w:val="clear" w:color="auto"/>
          </w:tcPr>
          <w:p>
            <w:pPr>
              <w:jc w:val="center"/>
            </w:pPr>
            <w:r/>
            <w:r>
              <w:rPr>
                <w:rFonts w:ascii="Arial" w:hAnsi="Arial" w:eastAsia="Arial"/>
                <w:b w:val="0"/>
                <w:i w:val="0"/>
                <w:sz w:val="12"/>
              </w:rPr>
              <w:t>22</w:t>
            </w:r>
          </w:p>
        </w:tc>
        <w:tc>
          <w:tcPr>
            <w:tcW w:type="dxa" w:w="1512"/>
            <w:vAlign w:val="center"/>
            <w:shd w:fill="F8F9F9" w:val="clear" w:color="auto"/>
          </w:tcPr>
          <w:p>
            <w:pPr>
              <w:jc w:val="left"/>
            </w:pPr>
            <w:r/>
            <w:r>
              <w:rPr>
                <w:rFonts w:ascii="Arial" w:hAnsi="Arial" w:eastAsia="Arial"/>
                <w:b w:val="0"/>
                <w:i w:val="0"/>
                <w:sz w:val="12"/>
              </w:rPr>
              <w:t>Du Jardin, P. (2017)</w:t>
            </w:r>
          </w:p>
        </w:tc>
        <w:tc>
          <w:tcPr>
            <w:tcW w:type="dxa" w:w="1944"/>
            <w:vAlign w:val="center"/>
            <w:shd w:fill="F8F9F9" w:val="clear" w:color="auto"/>
          </w:tcPr>
          <w:p>
            <w:pPr>
              <w:jc w:val="left"/>
            </w:pPr>
            <w:r/>
            <w:r>
              <w:rPr>
                <w:rFonts w:ascii="Arial" w:hAnsi="Arial" w:eastAsia="Arial"/>
                <w:b w:val="0"/>
                <w:i w:val="0"/>
                <w:sz w:val="12"/>
              </w:rPr>
              <w:t>Analizar la relación entre Evolución Financiera Dinámica de la Empresa y Predicción de Qui</w:t>
            </w:r>
          </w:p>
        </w:tc>
        <w:tc>
          <w:tcPr>
            <w:tcW w:type="dxa" w:w="1224"/>
            <w:vAlign w:val="center"/>
            <w:shd w:fill="F8F9F9" w:val="clear" w:color="auto"/>
          </w:tcPr>
          <w:p>
            <w:pPr>
              <w:jc w:val="left"/>
            </w:pPr>
            <w:r/>
            <w:r>
              <w:rPr>
                <w:rFonts w:ascii="Arial" w:hAnsi="Arial" w:eastAsia="Arial"/>
                <w:b w:val="0"/>
                <w:i w:val="0"/>
                <w:sz w:val="12"/>
              </w:rPr>
              <w:t>Modelado predictivo + validación temporal</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Evolución Financiera Dinámica de la Empresa</w:t>
            </w:r>
          </w:p>
        </w:tc>
        <w:tc>
          <w:tcPr>
            <w:tcW w:type="dxa" w:w="1368"/>
            <w:vAlign w:val="center"/>
            <w:shd w:fill="F8F9F9" w:val="clear" w:color="auto"/>
          </w:tcPr>
          <w:p>
            <w:pPr>
              <w:jc w:val="left"/>
            </w:pPr>
            <w:r/>
            <w:r>
              <w:rPr>
                <w:rFonts w:ascii="Arial" w:hAnsi="Arial" w:eastAsia="Arial"/>
                <w:b w:val="0"/>
                <w:i w:val="0"/>
                <w:sz w:val="12"/>
              </w:rPr>
              <w:t>Predicción de Quiebra con Perspectiva Dinámic</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3</w:t>
            </w:r>
          </w:p>
        </w:tc>
      </w:tr>
      <w:tr>
        <w:tc>
          <w:tcPr>
            <w:tcW w:type="dxa" w:w="504"/>
            <w:vAlign w:val="center"/>
          </w:tcPr>
          <w:p>
            <w:pPr>
              <w:jc w:val="center"/>
            </w:pPr>
            <w:r/>
            <w:r>
              <w:rPr>
                <w:rFonts w:ascii="Arial" w:hAnsi="Arial" w:eastAsia="Arial"/>
                <w:b w:val="0"/>
                <w:i w:val="0"/>
                <w:sz w:val="12"/>
              </w:rPr>
              <w:t>23</w:t>
            </w:r>
          </w:p>
        </w:tc>
        <w:tc>
          <w:tcPr>
            <w:tcW w:type="dxa" w:w="1512"/>
            <w:vAlign w:val="center"/>
          </w:tcPr>
          <w:p>
            <w:pPr>
              <w:jc w:val="left"/>
            </w:pPr>
            <w:r/>
            <w:r>
              <w:rPr>
                <w:rFonts w:ascii="Arial" w:hAnsi="Arial" w:eastAsia="Arial"/>
                <w:b w:val="0"/>
                <w:i w:val="0"/>
                <w:sz w:val="12"/>
              </w:rPr>
              <w:t>Jiang, D.</w:t>
            </w:r>
          </w:p>
        </w:tc>
        <w:tc>
          <w:tcPr>
            <w:tcW w:type="dxa" w:w="1944"/>
            <w:vAlign w:val="center"/>
          </w:tcPr>
          <w:p>
            <w:pPr>
              <w:jc w:val="left"/>
            </w:pPr>
            <w:r/>
            <w:r>
              <w:rPr>
                <w:rFonts w:ascii="Arial" w:hAnsi="Arial" w:eastAsia="Arial"/>
                <w:b w:val="0"/>
                <w:i w:val="0"/>
                <w:sz w:val="12"/>
              </w:rPr>
              <w:t>Analizar la relación entre Ratios Financieros e Indicadores de Gobernanza Corporativa y Pr</w:t>
            </w:r>
          </w:p>
        </w:tc>
        <w:tc>
          <w:tcPr>
            <w:tcW w:type="dxa" w:w="1224"/>
            <w:vAlign w:val="center"/>
          </w:tcPr>
          <w:p>
            <w:pPr>
              <w:jc w:val="left"/>
            </w:pPr>
            <w:r/>
            <w:r>
              <w:rPr>
                <w:rFonts w:ascii="Arial" w:hAnsi="Arial" w:eastAsia="Arial"/>
                <w:b w:val="0"/>
                <w:i w:val="0"/>
                <w:sz w:val="12"/>
              </w:rPr>
              <w:t>Análisis documental / cuantitativo</w:t>
            </w:r>
          </w:p>
        </w:tc>
        <w:tc>
          <w:tcPr>
            <w:tcW w:type="dxa" w:w="1224"/>
            <w:vAlign w:val="center"/>
          </w:tcPr>
          <w:p>
            <w:pPr>
              <w:jc w:val="left"/>
            </w:pPr>
            <w:r/>
            <w:r>
              <w:rPr>
                <w:rFonts w:ascii="Arial" w:hAnsi="Arial" w:eastAsia="Arial"/>
                <w:b w:val="0"/>
                <w:i w:val="0"/>
                <w:sz w:val="12"/>
              </w:rPr>
              <w:t>Grandes corporaciones EE.UU. (COMPUSTAT/CRSP)</w:t>
            </w:r>
          </w:p>
        </w:tc>
        <w:tc>
          <w:tcPr>
            <w:tcW w:type="dxa" w:w="1368"/>
            <w:vAlign w:val="center"/>
          </w:tcPr>
          <w:p>
            <w:pPr>
              <w:jc w:val="left"/>
            </w:pPr>
            <w:r/>
            <w:r>
              <w:rPr>
                <w:rFonts w:ascii="Arial" w:hAnsi="Arial" w:eastAsia="Arial"/>
                <w:b w:val="0"/>
                <w:i w:val="0"/>
                <w:sz w:val="12"/>
              </w:rPr>
              <w:t>Ratios Financieros e Indicadores de Gobernanz</w:t>
            </w:r>
          </w:p>
        </w:tc>
        <w:tc>
          <w:tcPr>
            <w:tcW w:type="dxa" w:w="1368"/>
            <w:vAlign w:val="center"/>
          </w:tcPr>
          <w:p>
            <w:pPr>
              <w:jc w:val="left"/>
            </w:pPr>
            <w:r/>
            <w:r>
              <w:rPr>
                <w:rFonts w:ascii="Arial" w:hAnsi="Arial" w:eastAsia="Arial"/>
                <w:b w:val="0"/>
                <w:i w:val="0"/>
                <w:sz w:val="12"/>
              </w:rPr>
              <w:t>Predicción de Quiebra Empresarial</w:t>
            </w:r>
          </w:p>
        </w:tc>
        <w:tc>
          <w:tcPr>
            <w:tcW w:type="dxa" w:w="1080"/>
            <w:vAlign w:val="center"/>
          </w:tcPr>
          <w:p>
            <w:pPr>
              <w:jc w:val="left"/>
            </w:pPr>
            <w:r/>
            <w:r>
              <w:rPr>
                <w:rFonts w:ascii="Arial" w:hAnsi="Arial" w:eastAsia="Arial"/>
                <w:b w:val="0"/>
                <w:i w:val="0"/>
                <w:sz w:val="12"/>
              </w:rPr>
              <w:t>Modelos de regresión / SEM con bondad de ajuste</w:t>
            </w:r>
          </w:p>
        </w:tc>
        <w:tc>
          <w:tcPr>
            <w:tcW w:type="dxa" w:w="504"/>
            <w:vAlign w:val="center"/>
          </w:tcPr>
          <w:p>
            <w:pPr>
              <w:jc w:val="center"/>
            </w:pPr>
            <w:r/>
            <w:r>
              <w:rPr>
                <w:rFonts w:ascii="Arial" w:hAnsi="Arial" w:eastAsia="Arial"/>
                <w:b w:val="0"/>
                <w:i w:val="0"/>
                <w:sz w:val="12"/>
              </w:rPr>
              <w:t>3</w:t>
            </w:r>
          </w:p>
        </w:tc>
      </w:tr>
      <w:tr>
        <w:tc>
          <w:tcPr>
            <w:tcW w:type="dxa" w:w="504"/>
            <w:vAlign w:val="center"/>
            <w:shd w:fill="F8F9F9" w:val="clear" w:color="auto"/>
          </w:tcPr>
          <w:p>
            <w:pPr>
              <w:jc w:val="center"/>
            </w:pPr>
            <w:r/>
            <w:r>
              <w:rPr>
                <w:rFonts w:ascii="Arial" w:hAnsi="Arial" w:eastAsia="Arial"/>
                <w:b w:val="0"/>
                <w:i w:val="0"/>
                <w:sz w:val="12"/>
              </w:rPr>
              <w:t>24</w:t>
            </w:r>
          </w:p>
        </w:tc>
        <w:tc>
          <w:tcPr>
            <w:tcW w:type="dxa" w:w="1512"/>
            <w:vAlign w:val="center"/>
            <w:shd w:fill="F8F9F9" w:val="clear" w:color="auto"/>
          </w:tcPr>
          <w:p>
            <w:pPr>
              <w:jc w:val="left"/>
            </w:pPr>
            <w:r/>
            <w:r>
              <w:rPr>
                <w:rFonts w:ascii="Arial" w:hAnsi="Arial" w:eastAsia="Arial"/>
                <w:b w:val="0"/>
                <w:i w:val="0"/>
                <w:sz w:val="12"/>
              </w:rPr>
              <w:t>Cai, F.</w:t>
            </w:r>
          </w:p>
        </w:tc>
        <w:tc>
          <w:tcPr>
            <w:tcW w:type="dxa" w:w="1944"/>
            <w:vAlign w:val="center"/>
            <w:shd w:fill="F8F9F9" w:val="clear" w:color="auto"/>
          </w:tcPr>
          <w:p>
            <w:pPr>
              <w:jc w:val="left"/>
            </w:pPr>
            <w:r/>
            <w:r>
              <w:rPr>
                <w:rFonts w:ascii="Arial" w:hAnsi="Arial" w:eastAsia="Arial"/>
                <w:b w:val="0"/>
                <w:i w:val="0"/>
                <w:sz w:val="12"/>
              </w:rPr>
              <w:t xml:space="preserve">Analizar la relación entre Modelos de Deep Learning con Datos Textuales (NLP) y Precisión </w:t>
            </w:r>
          </w:p>
        </w:tc>
        <w:tc>
          <w:tcPr>
            <w:tcW w:type="dxa" w:w="1224"/>
            <w:vAlign w:val="center"/>
            <w:shd w:fill="F8F9F9" w:val="clear" w:color="auto"/>
          </w:tcPr>
          <w:p>
            <w:pPr>
              <w:jc w:val="left"/>
            </w:pPr>
            <w:r/>
            <w:r>
              <w:rPr>
                <w:rFonts w:ascii="Arial" w:hAnsi="Arial" w:eastAsia="Arial"/>
                <w:b w:val="0"/>
                <w:i w:val="0"/>
                <w:sz w:val="12"/>
              </w:rPr>
              <w:t>Modelado predictivo + validación temporal</w:t>
            </w:r>
          </w:p>
        </w:tc>
        <w:tc>
          <w:tcPr>
            <w:tcW w:type="dxa" w:w="1224"/>
            <w:vAlign w:val="center"/>
            <w:shd w:fill="F8F9F9" w:val="clear" w:color="auto"/>
          </w:tcPr>
          <w:p>
            <w:pPr>
              <w:jc w:val="left"/>
            </w:pPr>
            <w:r/>
            <w:r>
              <w:rPr>
                <w:rFonts w:ascii="Arial" w:hAnsi="Arial" w:eastAsia="Arial"/>
                <w:b w:val="0"/>
                <w:i w:val="0"/>
                <w:sz w:val="12"/>
              </w:rPr>
              <w:t>Sector retail / datos comerciales</w:t>
            </w:r>
          </w:p>
        </w:tc>
        <w:tc>
          <w:tcPr>
            <w:tcW w:type="dxa" w:w="1368"/>
            <w:vAlign w:val="center"/>
            <w:shd w:fill="F8F9F9" w:val="clear" w:color="auto"/>
          </w:tcPr>
          <w:p>
            <w:pPr>
              <w:jc w:val="left"/>
            </w:pPr>
            <w:r/>
            <w:r>
              <w:rPr>
                <w:rFonts w:ascii="Arial" w:hAnsi="Arial" w:eastAsia="Arial"/>
                <w:b w:val="0"/>
                <w:i w:val="0"/>
                <w:sz w:val="12"/>
              </w:rPr>
              <w:t xml:space="preserve">Modelos de Deep Learning con Datos Textuales </w:t>
            </w:r>
          </w:p>
        </w:tc>
        <w:tc>
          <w:tcPr>
            <w:tcW w:type="dxa" w:w="1368"/>
            <w:vAlign w:val="center"/>
            <w:shd w:fill="F8F9F9" w:val="clear" w:color="auto"/>
          </w:tcPr>
          <w:p>
            <w:pPr>
              <w:jc w:val="left"/>
            </w:pPr>
            <w:r/>
            <w:r>
              <w:rPr>
                <w:rFonts w:ascii="Arial" w:hAnsi="Arial" w:eastAsia="Arial"/>
                <w:b w:val="0"/>
                <w:i w:val="0"/>
                <w:sz w:val="12"/>
              </w:rPr>
              <w:t>Precisión en Predicción de Quiebra Textual</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3</w:t>
            </w:r>
          </w:p>
        </w:tc>
      </w:tr>
      <w:tr>
        <w:tc>
          <w:tcPr>
            <w:tcW w:type="dxa" w:w="504"/>
            <w:vAlign w:val="center"/>
          </w:tcPr>
          <w:p>
            <w:pPr>
              <w:jc w:val="center"/>
            </w:pPr>
            <w:r/>
            <w:r>
              <w:rPr>
                <w:rFonts w:ascii="Arial" w:hAnsi="Arial" w:eastAsia="Arial"/>
                <w:b w:val="0"/>
                <w:i w:val="0"/>
                <w:sz w:val="12"/>
              </w:rPr>
              <w:t>25</w:t>
            </w:r>
          </w:p>
        </w:tc>
        <w:tc>
          <w:tcPr>
            <w:tcW w:type="dxa" w:w="1512"/>
            <w:vAlign w:val="center"/>
          </w:tcPr>
          <w:p>
            <w:pPr>
              <w:jc w:val="left"/>
            </w:pPr>
            <w:r/>
            <w:r>
              <w:rPr>
                <w:rFonts w:ascii="Arial" w:hAnsi="Arial" w:eastAsia="Arial"/>
                <w:b w:val="0"/>
                <w:i w:val="0"/>
                <w:sz w:val="12"/>
              </w:rPr>
              <w:t>Tian, S.; Yu, Y. y Guo, H. (</w:t>
            </w:r>
          </w:p>
        </w:tc>
        <w:tc>
          <w:tcPr>
            <w:tcW w:type="dxa" w:w="1944"/>
            <w:vAlign w:val="center"/>
          </w:tcPr>
          <w:p>
            <w:pPr>
              <w:jc w:val="left"/>
            </w:pPr>
            <w:r/>
            <w:r>
              <w:rPr>
                <w:rFonts w:ascii="Arial" w:hAnsi="Arial" w:eastAsia="Arial"/>
                <w:b w:val="0"/>
                <w:i w:val="0"/>
                <w:sz w:val="12"/>
              </w:rPr>
              <w:t xml:space="preserve">Analizar la relación entre Selección de Variables para Pronóstico de Quiebra y Pronóstico </w:t>
            </w:r>
          </w:p>
        </w:tc>
        <w:tc>
          <w:tcPr>
            <w:tcW w:type="dxa" w:w="1224"/>
            <w:vAlign w:val="center"/>
          </w:tcPr>
          <w:p>
            <w:pPr>
              <w:jc w:val="left"/>
            </w:pPr>
            <w:r/>
            <w:r>
              <w:rPr>
                <w:rFonts w:ascii="Arial" w:hAnsi="Arial" w:eastAsia="Arial"/>
                <w:b w:val="0"/>
                <w:i w:val="0"/>
                <w:sz w:val="12"/>
              </w:rPr>
              <w:t>Modelado computacional (ML/DL) + datos secundarios</w:t>
            </w:r>
          </w:p>
        </w:tc>
        <w:tc>
          <w:tcPr>
            <w:tcW w:type="dxa" w:w="1224"/>
            <w:vAlign w:val="center"/>
          </w:tcPr>
          <w:p>
            <w:pPr>
              <w:jc w:val="left"/>
            </w:pPr>
            <w:r/>
            <w:r>
              <w:rPr>
                <w:rFonts w:ascii="Arial" w:hAnsi="Arial" w:eastAsia="Arial"/>
                <w:b w:val="0"/>
                <w:i w:val="0"/>
                <w:sz w:val="12"/>
              </w:rPr>
              <w:t>Grandes corporaciones EE.UU. (COMPUSTAT/CRSP)</w:t>
            </w:r>
          </w:p>
        </w:tc>
        <w:tc>
          <w:tcPr>
            <w:tcW w:type="dxa" w:w="1368"/>
            <w:vAlign w:val="center"/>
          </w:tcPr>
          <w:p>
            <w:pPr>
              <w:jc w:val="left"/>
            </w:pPr>
            <w:r/>
            <w:r>
              <w:rPr>
                <w:rFonts w:ascii="Arial" w:hAnsi="Arial" w:eastAsia="Arial"/>
                <w:b w:val="0"/>
                <w:i w:val="0"/>
                <w:sz w:val="12"/>
              </w:rPr>
              <w:t>Selección de Variables para Pronóstico de Qui</w:t>
            </w:r>
          </w:p>
        </w:tc>
        <w:tc>
          <w:tcPr>
            <w:tcW w:type="dxa" w:w="1368"/>
            <w:vAlign w:val="center"/>
          </w:tcPr>
          <w:p>
            <w:pPr>
              <w:jc w:val="left"/>
            </w:pPr>
            <w:r/>
            <w:r>
              <w:rPr>
                <w:rFonts w:ascii="Arial" w:hAnsi="Arial" w:eastAsia="Arial"/>
                <w:b w:val="0"/>
                <w:i w:val="0"/>
                <w:sz w:val="12"/>
              </w:rPr>
              <w:t>Pronóstico de Quiebra Empresarial</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3</w:t>
            </w:r>
          </w:p>
        </w:tc>
      </w:tr>
      <w:tr>
        <w:tc>
          <w:tcPr>
            <w:tcW w:type="dxa" w:w="504"/>
            <w:vAlign w:val="center"/>
            <w:shd w:fill="F8F9F9" w:val="clear" w:color="auto"/>
          </w:tcPr>
          <w:p>
            <w:pPr>
              <w:jc w:val="center"/>
            </w:pPr>
            <w:r/>
            <w:r>
              <w:rPr>
                <w:rFonts w:ascii="Arial" w:hAnsi="Arial" w:eastAsia="Arial"/>
                <w:b w:val="0"/>
                <w:i w:val="0"/>
                <w:sz w:val="12"/>
              </w:rPr>
              <w:t>26</w:t>
            </w:r>
          </w:p>
        </w:tc>
        <w:tc>
          <w:tcPr>
            <w:tcW w:type="dxa" w:w="1512"/>
            <w:vAlign w:val="center"/>
            <w:shd w:fill="F8F9F9" w:val="clear" w:color="auto"/>
          </w:tcPr>
          <w:p>
            <w:pPr>
              <w:jc w:val="left"/>
            </w:pPr>
            <w:r/>
            <w:r>
              <w:rPr>
                <w:rFonts w:ascii="Arial" w:hAnsi="Arial" w:eastAsia="Arial"/>
                <w:b w:val="0"/>
                <w:i w:val="0"/>
                <w:sz w:val="12"/>
              </w:rPr>
              <w:t>Altman, E.I. (1968)</w:t>
            </w:r>
          </w:p>
        </w:tc>
        <w:tc>
          <w:tcPr>
            <w:tcW w:type="dxa" w:w="1944"/>
            <w:vAlign w:val="center"/>
            <w:shd w:fill="F8F9F9" w:val="clear" w:color="auto"/>
          </w:tcPr>
          <w:p>
            <w:pPr>
              <w:jc w:val="left"/>
            </w:pPr>
            <w:r/>
            <w:r>
              <w:rPr>
                <w:rFonts w:ascii="Arial" w:hAnsi="Arial" w:eastAsia="Arial"/>
                <w:b w:val="0"/>
                <w:i w:val="0"/>
                <w:sz w:val="12"/>
              </w:rPr>
              <w:t xml:space="preserve">Analizar la relación entre Ratios Financieros para Predicción de Quiebra (Modelo Z-score) </w:t>
            </w:r>
          </w:p>
        </w:tc>
        <w:tc>
          <w:tcPr>
            <w:tcW w:type="dxa" w:w="1224"/>
            <w:vAlign w:val="center"/>
            <w:shd w:fill="F8F9F9" w:val="clear" w:color="auto"/>
          </w:tcPr>
          <w:p>
            <w:pPr>
              <w:jc w:val="left"/>
            </w:pPr>
            <w:r/>
            <w:r>
              <w:rPr>
                <w:rFonts w:ascii="Arial" w:hAnsi="Arial" w:eastAsia="Arial"/>
                <w:b w:val="0"/>
                <w:i w:val="0"/>
                <w:sz w:val="12"/>
              </w:rPr>
              <w:t>Análisis documental / cuantitativo</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Ratios Financieros para Predicción de Quiebra</w:t>
            </w:r>
          </w:p>
        </w:tc>
        <w:tc>
          <w:tcPr>
            <w:tcW w:type="dxa" w:w="1368"/>
            <w:vAlign w:val="center"/>
            <w:shd w:fill="F8F9F9" w:val="clear" w:color="auto"/>
          </w:tcPr>
          <w:p>
            <w:pPr>
              <w:jc w:val="left"/>
            </w:pPr>
            <w:r/>
            <w:r>
              <w:rPr>
                <w:rFonts w:ascii="Arial" w:hAnsi="Arial" w:eastAsia="Arial"/>
                <w:b w:val="0"/>
                <w:i w:val="0"/>
                <w:sz w:val="12"/>
              </w:rPr>
              <w:t>Clasificación del Riesgo de Quiebra</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3</w:t>
            </w:r>
          </w:p>
        </w:tc>
      </w:tr>
      <w:tr>
        <w:tc>
          <w:tcPr>
            <w:tcW w:type="dxa" w:w="504"/>
            <w:vAlign w:val="center"/>
          </w:tcPr>
          <w:p>
            <w:pPr>
              <w:jc w:val="center"/>
            </w:pPr>
            <w:r/>
            <w:r>
              <w:rPr>
                <w:rFonts w:ascii="Arial" w:hAnsi="Arial" w:eastAsia="Arial"/>
                <w:b w:val="0"/>
                <w:i w:val="0"/>
                <w:sz w:val="12"/>
              </w:rPr>
              <w:t>27</w:t>
            </w:r>
          </w:p>
        </w:tc>
        <w:tc>
          <w:tcPr>
            <w:tcW w:type="dxa" w:w="1512"/>
            <w:vAlign w:val="center"/>
          </w:tcPr>
          <w:p>
            <w:pPr>
              <w:jc w:val="left"/>
            </w:pPr>
            <w:r/>
            <w:r>
              <w:rPr>
                <w:rFonts w:ascii="Arial" w:hAnsi="Arial" w:eastAsia="Arial"/>
                <w:b w:val="0"/>
                <w:i w:val="0"/>
                <w:sz w:val="12"/>
              </w:rPr>
              <w:t>Beaver, W.H. (1966)</w:t>
            </w:r>
          </w:p>
        </w:tc>
        <w:tc>
          <w:tcPr>
            <w:tcW w:type="dxa" w:w="1944"/>
            <w:vAlign w:val="center"/>
          </w:tcPr>
          <w:p>
            <w:pPr>
              <w:jc w:val="left"/>
            </w:pPr>
            <w:r/>
            <w:r>
              <w:rPr>
                <w:rFonts w:ascii="Arial" w:hAnsi="Arial" w:eastAsia="Arial"/>
                <w:b w:val="0"/>
                <w:i w:val="0"/>
                <w:sz w:val="12"/>
              </w:rPr>
              <w:t>Analizar la relación entre Ratios Financieros Univar. como Predictores de Quiebra y Discri</w:t>
            </w:r>
          </w:p>
        </w:tc>
        <w:tc>
          <w:tcPr>
            <w:tcW w:type="dxa" w:w="1224"/>
            <w:vAlign w:val="center"/>
          </w:tcPr>
          <w:p>
            <w:pPr>
              <w:jc w:val="left"/>
            </w:pPr>
            <w:r/>
            <w:r>
              <w:rPr>
                <w:rFonts w:ascii="Arial" w:hAnsi="Arial" w:eastAsia="Arial"/>
                <w:b w:val="0"/>
                <w:i w:val="0"/>
                <w:sz w:val="12"/>
              </w:rPr>
              <w:t>Análisis documental / cuantitativo</w:t>
            </w:r>
          </w:p>
        </w:tc>
        <w:tc>
          <w:tcPr>
            <w:tcW w:type="dxa" w:w="1224"/>
            <w:vAlign w:val="center"/>
          </w:tcPr>
          <w:p>
            <w:pPr>
              <w:jc w:val="left"/>
            </w:pPr>
            <w:r/>
            <w:r>
              <w:rPr>
                <w:rFonts w:ascii="Arial" w:hAnsi="Arial" w:eastAsia="Arial"/>
                <w:b w:val="0"/>
                <w:i w:val="0"/>
                <w:sz w:val="12"/>
              </w:rPr>
              <w:t>Grandes corporaciones EE.UU. (COMPUSTAT/CRSP)</w:t>
            </w:r>
          </w:p>
        </w:tc>
        <w:tc>
          <w:tcPr>
            <w:tcW w:type="dxa" w:w="1368"/>
            <w:vAlign w:val="center"/>
          </w:tcPr>
          <w:p>
            <w:pPr>
              <w:jc w:val="left"/>
            </w:pPr>
            <w:r/>
            <w:r>
              <w:rPr>
                <w:rFonts w:ascii="Arial" w:hAnsi="Arial" w:eastAsia="Arial"/>
                <w:b w:val="0"/>
                <w:i w:val="0"/>
                <w:sz w:val="12"/>
              </w:rPr>
              <w:t>Ratios Financieros Univar. como Predictores d</w:t>
            </w:r>
          </w:p>
        </w:tc>
        <w:tc>
          <w:tcPr>
            <w:tcW w:type="dxa" w:w="1368"/>
            <w:vAlign w:val="center"/>
          </w:tcPr>
          <w:p>
            <w:pPr>
              <w:jc w:val="left"/>
            </w:pPr>
            <w:r/>
            <w:r>
              <w:rPr>
                <w:rFonts w:ascii="Arial" w:hAnsi="Arial" w:eastAsia="Arial"/>
                <w:b w:val="0"/>
                <w:i w:val="0"/>
                <w:sz w:val="12"/>
              </w:rPr>
              <w:t>Discriminación entre Empresas Quebradas y Sol</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3</w:t>
            </w:r>
          </w:p>
        </w:tc>
      </w:tr>
      <w:tr>
        <w:tc>
          <w:tcPr>
            <w:tcW w:type="dxa" w:w="504"/>
            <w:vAlign w:val="center"/>
            <w:shd w:fill="F8F9F9" w:val="clear" w:color="auto"/>
          </w:tcPr>
          <w:p>
            <w:pPr>
              <w:jc w:val="center"/>
            </w:pPr>
            <w:r/>
            <w:r>
              <w:rPr>
                <w:rFonts w:ascii="Arial" w:hAnsi="Arial" w:eastAsia="Arial"/>
                <w:b w:val="0"/>
                <w:i w:val="0"/>
                <w:sz w:val="12"/>
              </w:rPr>
              <w:t>28</w:t>
            </w:r>
          </w:p>
        </w:tc>
        <w:tc>
          <w:tcPr>
            <w:tcW w:type="dxa" w:w="1512"/>
            <w:vAlign w:val="center"/>
            <w:shd w:fill="F8F9F9" w:val="clear" w:color="auto"/>
          </w:tcPr>
          <w:p>
            <w:pPr>
              <w:jc w:val="left"/>
            </w:pPr>
            <w:r/>
            <w:r>
              <w:rPr>
                <w:rFonts w:ascii="Arial" w:hAnsi="Arial" w:eastAsia="Arial"/>
                <w:b w:val="0"/>
                <w:i w:val="0"/>
                <w:sz w:val="12"/>
              </w:rPr>
              <w:t>Jamshidi, P.</w:t>
            </w:r>
          </w:p>
        </w:tc>
        <w:tc>
          <w:tcPr>
            <w:tcW w:type="dxa" w:w="1944"/>
            <w:vAlign w:val="center"/>
            <w:shd w:fill="F8F9F9" w:val="clear" w:color="auto"/>
          </w:tcPr>
          <w:p>
            <w:pPr>
              <w:jc w:val="left"/>
            </w:pPr>
            <w:r/>
            <w:r>
              <w:rPr>
                <w:rFonts w:ascii="Arial" w:hAnsi="Arial" w:eastAsia="Arial"/>
                <w:b w:val="0"/>
                <w:i w:val="0"/>
                <w:sz w:val="12"/>
              </w:rPr>
              <w:t>Analizar la relación entre Arquitectura de Microservicios y Desempeño del Sistema Distribu</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Evidencia documental / datos del estudio fuente</w:t>
            </w:r>
          </w:p>
        </w:tc>
        <w:tc>
          <w:tcPr>
            <w:tcW w:type="dxa" w:w="1368"/>
            <w:vAlign w:val="center"/>
            <w:shd w:fill="F8F9F9" w:val="clear" w:color="auto"/>
          </w:tcPr>
          <w:p>
            <w:pPr>
              <w:jc w:val="left"/>
            </w:pPr>
            <w:r/>
            <w:r>
              <w:rPr>
                <w:rFonts w:ascii="Arial" w:hAnsi="Arial" w:eastAsia="Arial"/>
                <w:b w:val="0"/>
                <w:i w:val="0"/>
                <w:sz w:val="12"/>
              </w:rPr>
              <w:t>Arquitectura de Microservicios</w:t>
            </w:r>
          </w:p>
        </w:tc>
        <w:tc>
          <w:tcPr>
            <w:tcW w:type="dxa" w:w="1368"/>
            <w:vAlign w:val="center"/>
            <w:shd w:fill="F8F9F9" w:val="clear" w:color="auto"/>
          </w:tcPr>
          <w:p>
            <w:pPr>
              <w:jc w:val="left"/>
            </w:pPr>
            <w:r/>
            <w:r>
              <w:rPr>
                <w:rFonts w:ascii="Arial" w:hAnsi="Arial" w:eastAsia="Arial"/>
                <w:b w:val="0"/>
                <w:i w:val="0"/>
                <w:sz w:val="12"/>
              </w:rPr>
              <w:t>Desempeño del Sistema Distribuido</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4</w:t>
            </w:r>
          </w:p>
        </w:tc>
      </w:tr>
      <w:tr>
        <w:tc>
          <w:tcPr>
            <w:tcW w:type="dxa" w:w="504"/>
            <w:vAlign w:val="center"/>
          </w:tcPr>
          <w:p>
            <w:pPr>
              <w:jc w:val="center"/>
            </w:pPr>
            <w:r/>
            <w:r>
              <w:rPr>
                <w:rFonts w:ascii="Arial" w:hAnsi="Arial" w:eastAsia="Arial"/>
                <w:b w:val="0"/>
                <w:i w:val="0"/>
                <w:sz w:val="12"/>
              </w:rPr>
              <w:t>29</w:t>
            </w:r>
          </w:p>
        </w:tc>
        <w:tc>
          <w:tcPr>
            <w:tcW w:type="dxa" w:w="1512"/>
            <w:vAlign w:val="center"/>
          </w:tcPr>
          <w:p>
            <w:pPr>
              <w:jc w:val="left"/>
            </w:pPr>
            <w:r/>
            <w:r>
              <w:rPr>
                <w:rFonts w:ascii="Arial" w:hAnsi="Arial" w:eastAsia="Arial"/>
                <w:b w:val="0"/>
                <w:i w:val="0"/>
                <w:sz w:val="12"/>
              </w:rPr>
              <w:t>Lwakatare, L.E.</w:t>
            </w:r>
          </w:p>
        </w:tc>
        <w:tc>
          <w:tcPr>
            <w:tcW w:type="dxa" w:w="1944"/>
            <w:vAlign w:val="center"/>
          </w:tcPr>
          <w:p>
            <w:pPr>
              <w:jc w:val="left"/>
            </w:pPr>
            <w:r/>
            <w:r>
              <w:rPr>
                <w:rFonts w:ascii="Arial" w:hAnsi="Arial" w:eastAsia="Arial"/>
                <w:b w:val="0"/>
                <w:i w:val="0"/>
                <w:sz w:val="12"/>
              </w:rPr>
              <w:t>Analizar la relación entre Sistemas de ML a Gran Escala en Producción Industrial y Calidad</w:t>
            </w:r>
          </w:p>
        </w:tc>
        <w:tc>
          <w:tcPr>
            <w:tcW w:type="dxa" w:w="1224"/>
            <w:vAlign w:val="center"/>
          </w:tcPr>
          <w:p>
            <w:pPr>
              <w:jc w:val="left"/>
            </w:pPr>
            <w:r/>
            <w:r>
              <w:rPr>
                <w:rFonts w:ascii="Arial" w:hAnsi="Arial" w:eastAsia="Arial"/>
                <w:b w:val="0"/>
                <w:i w:val="0"/>
                <w:sz w:val="12"/>
              </w:rPr>
              <w:t>Mixto: entrevista + análisis documental</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Sistemas de ML a Gran Escala en Producción In</w:t>
            </w:r>
          </w:p>
        </w:tc>
        <w:tc>
          <w:tcPr>
            <w:tcW w:type="dxa" w:w="1368"/>
            <w:vAlign w:val="center"/>
          </w:tcPr>
          <w:p>
            <w:pPr>
              <w:jc w:val="left"/>
            </w:pPr>
            <w:r/>
            <w:r>
              <w:rPr>
                <w:rFonts w:ascii="Arial" w:hAnsi="Arial" w:eastAsia="Arial"/>
                <w:b w:val="0"/>
                <w:i w:val="0"/>
                <w:sz w:val="12"/>
              </w:rPr>
              <w:t>Calidad del Sistema ML en Producción</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4</w:t>
            </w:r>
          </w:p>
        </w:tc>
      </w:tr>
      <w:tr>
        <w:tc>
          <w:tcPr>
            <w:tcW w:type="dxa" w:w="504"/>
            <w:vAlign w:val="center"/>
            <w:shd w:fill="F8F9F9" w:val="clear" w:color="auto"/>
          </w:tcPr>
          <w:p>
            <w:pPr>
              <w:jc w:val="center"/>
            </w:pPr>
            <w:r/>
            <w:r>
              <w:rPr>
                <w:rFonts w:ascii="Arial" w:hAnsi="Arial" w:eastAsia="Arial"/>
                <w:b w:val="0"/>
                <w:i w:val="0"/>
                <w:sz w:val="12"/>
              </w:rPr>
              <w:t>30</w:t>
            </w:r>
          </w:p>
        </w:tc>
        <w:tc>
          <w:tcPr>
            <w:tcW w:type="dxa" w:w="1512"/>
            <w:vAlign w:val="center"/>
            <w:shd w:fill="F8F9F9" w:val="clear" w:color="auto"/>
          </w:tcPr>
          <w:p>
            <w:pPr>
              <w:jc w:val="left"/>
            </w:pPr>
            <w:r/>
            <w:r>
              <w:rPr>
                <w:rFonts w:ascii="Arial" w:hAnsi="Arial" w:eastAsia="Arial"/>
                <w:b w:val="0"/>
                <w:i w:val="0"/>
                <w:sz w:val="12"/>
              </w:rPr>
              <w:t>Khalid, U.</w:t>
            </w:r>
          </w:p>
        </w:tc>
        <w:tc>
          <w:tcPr>
            <w:tcW w:type="dxa" w:w="1944"/>
            <w:vAlign w:val="center"/>
            <w:shd w:fill="F8F9F9" w:val="clear" w:color="auto"/>
          </w:tcPr>
          <w:p>
            <w:pPr>
              <w:jc w:val="left"/>
            </w:pPr>
            <w:r/>
            <w:r>
              <w:rPr>
                <w:rFonts w:ascii="Arial" w:hAnsi="Arial" w:eastAsia="Arial"/>
                <w:b w:val="0"/>
                <w:i w:val="0"/>
                <w:sz w:val="12"/>
              </w:rPr>
              <w:t>Analizar la relación entre Algoritmos de ML para Predicción de Riesgo Empresarial y Índice</w:t>
            </w:r>
          </w:p>
        </w:tc>
        <w:tc>
          <w:tcPr>
            <w:tcW w:type="dxa" w:w="1224"/>
            <w:vAlign w:val="center"/>
            <w:shd w:fill="F8F9F9" w:val="clear" w:color="auto"/>
          </w:tcPr>
          <w:p>
            <w:pPr>
              <w:jc w:val="left"/>
            </w:pPr>
            <w:r/>
            <w:r>
              <w:rPr>
                <w:rFonts w:ascii="Arial" w:hAnsi="Arial" w:eastAsia="Arial"/>
                <w:b w:val="0"/>
                <w:i w:val="0"/>
                <w:sz w:val="12"/>
              </w:rPr>
              <w:t>Modelado predictivo + validación temporal</w:t>
            </w:r>
          </w:p>
        </w:tc>
        <w:tc>
          <w:tcPr>
            <w:tcW w:type="dxa" w:w="1224"/>
            <w:vAlign w:val="center"/>
            <w:shd w:fill="F8F9F9" w:val="clear" w:color="auto"/>
          </w:tcPr>
          <w:p>
            <w:pPr>
              <w:jc w:val="left"/>
            </w:pPr>
            <w:r/>
            <w:r>
              <w:rPr>
                <w:rFonts w:ascii="Arial" w:hAnsi="Arial" w:eastAsia="Arial"/>
                <w:b w:val="0"/>
                <w:i w:val="0"/>
                <w:sz w:val="12"/>
              </w:rPr>
              <w:t>PYMEs / contexto latinoamericano</w:t>
            </w:r>
          </w:p>
        </w:tc>
        <w:tc>
          <w:tcPr>
            <w:tcW w:type="dxa" w:w="1368"/>
            <w:vAlign w:val="center"/>
            <w:shd w:fill="F8F9F9" w:val="clear" w:color="auto"/>
          </w:tcPr>
          <w:p>
            <w:pPr>
              <w:jc w:val="left"/>
            </w:pPr>
            <w:r/>
            <w:r>
              <w:rPr>
                <w:rFonts w:ascii="Arial" w:hAnsi="Arial" w:eastAsia="Arial"/>
                <w:b w:val="0"/>
                <w:i w:val="0"/>
                <w:sz w:val="12"/>
              </w:rPr>
              <w:t>Algoritmos de ML para Predicción de Riesgo Em</w:t>
            </w:r>
          </w:p>
        </w:tc>
        <w:tc>
          <w:tcPr>
            <w:tcW w:type="dxa" w:w="1368"/>
            <w:vAlign w:val="center"/>
            <w:shd w:fill="F8F9F9" w:val="clear" w:color="auto"/>
          </w:tcPr>
          <w:p>
            <w:pPr>
              <w:jc w:val="left"/>
            </w:pPr>
            <w:r/>
            <w:r>
              <w:rPr>
                <w:rFonts w:ascii="Arial" w:hAnsi="Arial" w:eastAsia="Arial"/>
                <w:b w:val="0"/>
                <w:i w:val="0"/>
                <w:sz w:val="12"/>
              </w:rPr>
              <w:t>Índice de Riesgo Empresarial Predicho</w:t>
            </w:r>
          </w:p>
        </w:tc>
        <w:tc>
          <w:tcPr>
            <w:tcW w:type="dxa" w:w="1080"/>
            <w:vAlign w:val="center"/>
            <w:shd w:fill="F8F9F9" w:val="clear" w:color="auto"/>
          </w:tcPr>
          <w:p>
            <w:pPr>
              <w:jc w:val="left"/>
            </w:pPr>
            <w:r/>
            <w:r>
              <w:rPr>
                <w:rFonts w:ascii="Arial" w:hAnsi="Arial" w:eastAsia="Arial"/>
                <w:b w:val="0"/>
                <w:i w:val="0"/>
                <w:sz w:val="12"/>
              </w:rPr>
              <w:t>Desempeño ML: MAE, RMSE, R², accuracy (según estud</w:t>
            </w:r>
          </w:p>
        </w:tc>
        <w:tc>
          <w:tcPr>
            <w:tcW w:type="dxa" w:w="504"/>
            <w:vAlign w:val="center"/>
            <w:shd w:fill="F8F9F9" w:val="clear" w:color="auto"/>
          </w:tcPr>
          <w:p>
            <w:pPr>
              <w:jc w:val="center"/>
            </w:pPr>
            <w:r/>
            <w:r>
              <w:rPr>
                <w:rFonts w:ascii="Arial" w:hAnsi="Arial" w:eastAsia="Arial"/>
                <w:b w:val="0"/>
                <w:i w:val="0"/>
                <w:sz w:val="12"/>
              </w:rPr>
              <w:t>4</w:t>
            </w:r>
          </w:p>
        </w:tc>
      </w:tr>
      <w:tr>
        <w:tc>
          <w:tcPr>
            <w:tcW w:type="dxa" w:w="504"/>
            <w:vAlign w:val="center"/>
          </w:tcPr>
          <w:p>
            <w:pPr>
              <w:jc w:val="center"/>
            </w:pPr>
            <w:r/>
            <w:r>
              <w:rPr>
                <w:rFonts w:ascii="Arial" w:hAnsi="Arial" w:eastAsia="Arial"/>
                <w:b w:val="0"/>
                <w:i w:val="0"/>
                <w:sz w:val="12"/>
              </w:rPr>
              <w:t>31</w:t>
            </w:r>
          </w:p>
        </w:tc>
        <w:tc>
          <w:tcPr>
            <w:tcW w:type="dxa" w:w="1512"/>
            <w:vAlign w:val="center"/>
          </w:tcPr>
          <w:p>
            <w:pPr>
              <w:jc w:val="left"/>
            </w:pPr>
            <w:r/>
            <w:r>
              <w:rPr>
                <w:rFonts w:ascii="Arial" w:hAnsi="Arial" w:eastAsia="Arial"/>
                <w:b w:val="0"/>
                <w:i w:val="0"/>
                <w:sz w:val="12"/>
              </w:rPr>
              <w:t>Fischer, T. y Krauss, C. (20</w:t>
            </w:r>
          </w:p>
        </w:tc>
        <w:tc>
          <w:tcPr>
            <w:tcW w:type="dxa" w:w="1944"/>
            <w:vAlign w:val="center"/>
          </w:tcPr>
          <w:p>
            <w:pPr>
              <w:jc w:val="left"/>
            </w:pPr>
            <w:r/>
            <w:r>
              <w:rPr>
                <w:rFonts w:ascii="Arial" w:hAnsi="Arial" w:eastAsia="Arial"/>
                <w:b w:val="0"/>
                <w:i w:val="0"/>
                <w:sz w:val="12"/>
              </w:rPr>
              <w:t>Analizar la relación entre Redes LSTM para Predicción de Series Temporales Financieras y P</w:t>
            </w:r>
          </w:p>
        </w:tc>
        <w:tc>
          <w:tcPr>
            <w:tcW w:type="dxa" w:w="1224"/>
            <w:vAlign w:val="center"/>
          </w:tcPr>
          <w:p>
            <w:pPr>
              <w:jc w:val="left"/>
            </w:pPr>
            <w:r/>
            <w:r>
              <w:rPr>
                <w:rFonts w:ascii="Arial" w:hAnsi="Arial" w:eastAsia="Arial"/>
                <w:b w:val="0"/>
                <w:i w:val="0"/>
                <w:sz w:val="12"/>
              </w:rPr>
              <w:t>Modelado predictivo + validación temporal</w:t>
            </w:r>
          </w:p>
        </w:tc>
        <w:tc>
          <w:tcPr>
            <w:tcW w:type="dxa" w:w="1224"/>
            <w:vAlign w:val="center"/>
          </w:tcPr>
          <w:p>
            <w:pPr>
              <w:jc w:val="left"/>
            </w:pPr>
            <w:r/>
            <w:r>
              <w:rPr>
                <w:rFonts w:ascii="Arial" w:hAnsi="Arial" w:eastAsia="Arial"/>
                <w:b w:val="0"/>
                <w:i w:val="0"/>
                <w:sz w:val="12"/>
              </w:rPr>
              <w:t>Sector retail / datos comerciales</w:t>
            </w:r>
          </w:p>
        </w:tc>
        <w:tc>
          <w:tcPr>
            <w:tcW w:type="dxa" w:w="1368"/>
            <w:vAlign w:val="center"/>
          </w:tcPr>
          <w:p>
            <w:pPr>
              <w:jc w:val="left"/>
            </w:pPr>
            <w:r/>
            <w:r>
              <w:rPr>
                <w:rFonts w:ascii="Arial" w:hAnsi="Arial" w:eastAsia="Arial"/>
                <w:b w:val="0"/>
                <w:i w:val="0"/>
                <w:sz w:val="12"/>
              </w:rPr>
              <w:t>Redes LSTM para Predicción de Series Temporal</w:t>
            </w:r>
          </w:p>
        </w:tc>
        <w:tc>
          <w:tcPr>
            <w:tcW w:type="dxa" w:w="1368"/>
            <w:vAlign w:val="center"/>
          </w:tcPr>
          <w:p>
            <w:pPr>
              <w:jc w:val="left"/>
            </w:pPr>
            <w:r/>
            <w:r>
              <w:rPr>
                <w:rFonts w:ascii="Arial" w:hAnsi="Arial" w:eastAsia="Arial"/>
                <w:b w:val="0"/>
                <w:i w:val="0"/>
                <w:sz w:val="12"/>
              </w:rPr>
              <w:t>Precisión en Predicción de Series Temporales</w:t>
            </w:r>
          </w:p>
        </w:tc>
        <w:tc>
          <w:tcPr>
            <w:tcW w:type="dxa" w:w="1080"/>
            <w:vAlign w:val="center"/>
          </w:tcPr>
          <w:p>
            <w:pPr>
              <w:jc w:val="left"/>
            </w:pPr>
            <w:r/>
            <w:r>
              <w:rPr>
                <w:rFonts w:ascii="Arial" w:hAnsi="Arial" w:eastAsia="Arial"/>
                <w:b w:val="0"/>
                <w:i w:val="0"/>
                <w:sz w:val="12"/>
              </w:rPr>
              <w:t>Métricas reportadas: SHARPE</w:t>
            </w:r>
          </w:p>
        </w:tc>
        <w:tc>
          <w:tcPr>
            <w:tcW w:type="dxa" w:w="504"/>
            <w:vAlign w:val="center"/>
          </w:tcPr>
          <w:p>
            <w:pPr>
              <w:jc w:val="center"/>
            </w:pPr>
            <w:r/>
            <w:r>
              <w:rPr>
                <w:rFonts w:ascii="Arial" w:hAnsi="Arial" w:eastAsia="Arial"/>
                <w:b w:val="0"/>
                <w:i w:val="0"/>
                <w:sz w:val="12"/>
              </w:rPr>
              <w:t>4</w:t>
            </w:r>
          </w:p>
        </w:tc>
      </w:tr>
      <w:tr>
        <w:tc>
          <w:tcPr>
            <w:tcW w:type="dxa" w:w="504"/>
            <w:vAlign w:val="center"/>
            <w:shd w:fill="F8F9F9" w:val="clear" w:color="auto"/>
          </w:tcPr>
          <w:p>
            <w:pPr>
              <w:jc w:val="center"/>
            </w:pPr>
            <w:r/>
            <w:r>
              <w:rPr>
                <w:rFonts w:ascii="Arial" w:hAnsi="Arial" w:eastAsia="Arial"/>
                <w:b w:val="0"/>
                <w:i w:val="0"/>
                <w:sz w:val="12"/>
              </w:rPr>
              <w:t>32</w:t>
            </w:r>
          </w:p>
        </w:tc>
        <w:tc>
          <w:tcPr>
            <w:tcW w:type="dxa" w:w="1512"/>
            <w:vAlign w:val="center"/>
            <w:shd w:fill="F8F9F9" w:val="clear" w:color="auto"/>
          </w:tcPr>
          <w:p>
            <w:pPr>
              <w:jc w:val="left"/>
            </w:pPr>
            <w:r/>
            <w:r>
              <w:rPr>
                <w:rFonts w:ascii="Arial" w:hAnsi="Arial" w:eastAsia="Arial"/>
                <w:b w:val="0"/>
                <w:i w:val="0"/>
                <w:sz w:val="12"/>
              </w:rPr>
              <w:t>Paleyes, A.; Urma, R.G. y La</w:t>
            </w:r>
          </w:p>
        </w:tc>
        <w:tc>
          <w:tcPr>
            <w:tcW w:type="dxa" w:w="1944"/>
            <w:vAlign w:val="center"/>
            <w:shd w:fill="F8F9F9" w:val="clear" w:color="auto"/>
          </w:tcPr>
          <w:p>
            <w:pPr>
              <w:jc w:val="left"/>
            </w:pPr>
            <w:r/>
            <w:r>
              <w:rPr>
                <w:rFonts w:ascii="Arial" w:hAnsi="Arial" w:eastAsia="Arial"/>
                <w:b w:val="0"/>
                <w:i w:val="0"/>
                <w:sz w:val="12"/>
              </w:rPr>
              <w:t>Analizar la relación entre Desafíos en el Despliegue de Modelos ML en Producción y Éxito d</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209 casos reales (revisión sistemática)</w:t>
            </w:r>
          </w:p>
        </w:tc>
        <w:tc>
          <w:tcPr>
            <w:tcW w:type="dxa" w:w="1368"/>
            <w:vAlign w:val="center"/>
            <w:shd w:fill="F8F9F9" w:val="clear" w:color="auto"/>
          </w:tcPr>
          <w:p>
            <w:pPr>
              <w:jc w:val="left"/>
            </w:pPr>
            <w:r/>
            <w:r>
              <w:rPr>
                <w:rFonts w:ascii="Arial" w:hAnsi="Arial" w:eastAsia="Arial"/>
                <w:b w:val="0"/>
                <w:i w:val="0"/>
                <w:sz w:val="12"/>
              </w:rPr>
              <w:t>Desafíos en el Despliegue de Modelos ML en Pr</w:t>
            </w:r>
          </w:p>
        </w:tc>
        <w:tc>
          <w:tcPr>
            <w:tcW w:type="dxa" w:w="1368"/>
            <w:vAlign w:val="center"/>
            <w:shd w:fill="F8F9F9" w:val="clear" w:color="auto"/>
          </w:tcPr>
          <w:p>
            <w:pPr>
              <w:jc w:val="left"/>
            </w:pPr>
            <w:r/>
            <w:r>
              <w:rPr>
                <w:rFonts w:ascii="Arial" w:hAnsi="Arial" w:eastAsia="Arial"/>
                <w:b w:val="0"/>
                <w:i w:val="0"/>
                <w:sz w:val="12"/>
              </w:rPr>
              <w:t>Éxito del Despliegue ML en Entornos Reales</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4</w:t>
            </w:r>
          </w:p>
        </w:tc>
      </w:tr>
      <w:tr>
        <w:tc>
          <w:tcPr>
            <w:tcW w:type="dxa" w:w="504"/>
            <w:vAlign w:val="center"/>
          </w:tcPr>
          <w:p>
            <w:pPr>
              <w:jc w:val="center"/>
            </w:pPr>
            <w:r/>
            <w:r>
              <w:rPr>
                <w:rFonts w:ascii="Arial" w:hAnsi="Arial" w:eastAsia="Arial"/>
                <w:b w:val="0"/>
                <w:i w:val="0"/>
                <w:sz w:val="12"/>
              </w:rPr>
              <w:t>33</w:t>
            </w:r>
          </w:p>
        </w:tc>
        <w:tc>
          <w:tcPr>
            <w:tcW w:type="dxa" w:w="1512"/>
            <w:vAlign w:val="center"/>
          </w:tcPr>
          <w:p>
            <w:pPr>
              <w:jc w:val="left"/>
            </w:pPr>
            <w:r/>
            <w:r>
              <w:rPr>
                <w:rFonts w:ascii="Arial" w:hAnsi="Arial" w:eastAsia="Arial"/>
                <w:b w:val="0"/>
                <w:i w:val="0"/>
                <w:sz w:val="12"/>
              </w:rPr>
              <w:t>Martinez-Fernandez, S.</w:t>
            </w:r>
          </w:p>
        </w:tc>
        <w:tc>
          <w:tcPr>
            <w:tcW w:type="dxa" w:w="1944"/>
            <w:vAlign w:val="center"/>
          </w:tcPr>
          <w:p>
            <w:pPr>
              <w:jc w:val="left"/>
            </w:pPr>
            <w:r/>
            <w:r>
              <w:rPr>
                <w:rFonts w:ascii="Arial" w:hAnsi="Arial" w:eastAsia="Arial"/>
                <w:b w:val="0"/>
                <w:i w:val="0"/>
                <w:sz w:val="12"/>
              </w:rPr>
              <w:t>Analizar la relación entre Ingeniería de Software para Sistemas Basados en IA y Calidad de</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 xml:space="preserve">Ingeniería de Software para Sistemas Basados </w:t>
            </w:r>
          </w:p>
        </w:tc>
        <w:tc>
          <w:tcPr>
            <w:tcW w:type="dxa" w:w="1368"/>
            <w:vAlign w:val="center"/>
          </w:tcPr>
          <w:p>
            <w:pPr>
              <w:jc w:val="left"/>
            </w:pPr>
            <w:r/>
            <w:r>
              <w:rPr>
                <w:rFonts w:ascii="Arial" w:hAnsi="Arial" w:eastAsia="Arial"/>
                <w:b w:val="0"/>
                <w:i w:val="0"/>
                <w:sz w:val="12"/>
              </w:rPr>
              <w:t>Calidad del Sistema de Software con IA</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4</w:t>
            </w:r>
          </w:p>
        </w:tc>
      </w:tr>
      <w:tr>
        <w:tc>
          <w:tcPr>
            <w:tcW w:type="dxa" w:w="504"/>
            <w:vAlign w:val="center"/>
            <w:shd w:fill="F8F9F9" w:val="clear" w:color="auto"/>
          </w:tcPr>
          <w:p>
            <w:pPr>
              <w:jc w:val="center"/>
            </w:pPr>
            <w:r/>
            <w:r>
              <w:rPr>
                <w:rFonts w:ascii="Arial" w:hAnsi="Arial" w:eastAsia="Arial"/>
                <w:b w:val="0"/>
                <w:i w:val="0"/>
                <w:sz w:val="12"/>
              </w:rPr>
              <w:t>34</w:t>
            </w:r>
          </w:p>
        </w:tc>
        <w:tc>
          <w:tcPr>
            <w:tcW w:type="dxa" w:w="1512"/>
            <w:vAlign w:val="center"/>
            <w:shd w:fill="F8F9F9" w:val="clear" w:color="auto"/>
          </w:tcPr>
          <w:p>
            <w:pPr>
              <w:jc w:val="left"/>
            </w:pPr>
            <w:r/>
            <w:r>
              <w:rPr>
                <w:rFonts w:ascii="Arial" w:hAnsi="Arial" w:eastAsia="Arial"/>
                <w:b w:val="0"/>
                <w:i w:val="0"/>
                <w:sz w:val="12"/>
              </w:rPr>
              <w:t>Li, S.</w:t>
            </w:r>
          </w:p>
        </w:tc>
        <w:tc>
          <w:tcPr>
            <w:tcW w:type="dxa" w:w="1944"/>
            <w:vAlign w:val="center"/>
            <w:shd w:fill="F8F9F9" w:val="clear" w:color="auto"/>
          </w:tcPr>
          <w:p>
            <w:pPr>
              <w:jc w:val="left"/>
            </w:pPr>
            <w:r/>
            <w:r>
              <w:rPr>
                <w:rFonts w:ascii="Arial" w:hAnsi="Arial" w:eastAsia="Arial"/>
                <w:b w:val="0"/>
                <w:i w:val="0"/>
                <w:sz w:val="12"/>
              </w:rPr>
              <w:t>Analizar la relación entre Atributos de Calidad en Arquitectura de Microservicios y Desemp</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Evidencia documental / datos del estudio fuente</w:t>
            </w:r>
          </w:p>
        </w:tc>
        <w:tc>
          <w:tcPr>
            <w:tcW w:type="dxa" w:w="1368"/>
            <w:vAlign w:val="center"/>
            <w:shd w:fill="F8F9F9" w:val="clear" w:color="auto"/>
          </w:tcPr>
          <w:p>
            <w:pPr>
              <w:jc w:val="left"/>
            </w:pPr>
            <w:r/>
            <w:r>
              <w:rPr>
                <w:rFonts w:ascii="Arial" w:hAnsi="Arial" w:eastAsia="Arial"/>
                <w:b w:val="0"/>
                <w:i w:val="0"/>
                <w:sz w:val="12"/>
              </w:rPr>
              <w:t>Atributos de Calidad en Arquitectura de Micro</w:t>
            </w:r>
          </w:p>
        </w:tc>
        <w:tc>
          <w:tcPr>
            <w:tcW w:type="dxa" w:w="1368"/>
            <w:vAlign w:val="center"/>
            <w:shd w:fill="F8F9F9" w:val="clear" w:color="auto"/>
          </w:tcPr>
          <w:p>
            <w:pPr>
              <w:jc w:val="left"/>
            </w:pPr>
            <w:r/>
            <w:r>
              <w:rPr>
                <w:rFonts w:ascii="Arial" w:hAnsi="Arial" w:eastAsia="Arial"/>
                <w:b w:val="0"/>
                <w:i w:val="0"/>
                <w:sz w:val="12"/>
              </w:rPr>
              <w:t>Desempeño de la Arquitectura de Microservicio</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4</w:t>
            </w:r>
          </w:p>
        </w:tc>
      </w:tr>
      <w:tr>
        <w:tc>
          <w:tcPr>
            <w:tcW w:type="dxa" w:w="504"/>
            <w:vAlign w:val="center"/>
          </w:tcPr>
          <w:p>
            <w:pPr>
              <w:jc w:val="center"/>
            </w:pPr>
            <w:r/>
            <w:r>
              <w:rPr>
                <w:rFonts w:ascii="Arial" w:hAnsi="Arial" w:eastAsia="Arial"/>
                <w:b w:val="0"/>
                <w:i w:val="0"/>
                <w:sz w:val="12"/>
              </w:rPr>
              <w:t>35</w:t>
            </w:r>
          </w:p>
        </w:tc>
        <w:tc>
          <w:tcPr>
            <w:tcW w:type="dxa" w:w="1512"/>
            <w:vAlign w:val="center"/>
          </w:tcPr>
          <w:p>
            <w:pPr>
              <w:jc w:val="left"/>
            </w:pPr>
            <w:r/>
            <w:r>
              <w:rPr>
                <w:rFonts w:ascii="Arial" w:hAnsi="Arial" w:eastAsia="Arial"/>
                <w:b w:val="0"/>
                <w:i w:val="0"/>
                <w:sz w:val="12"/>
              </w:rPr>
              <w:t>Breiman, L. (2001)</w:t>
            </w:r>
          </w:p>
        </w:tc>
        <w:tc>
          <w:tcPr>
            <w:tcW w:type="dxa" w:w="1944"/>
            <w:vAlign w:val="center"/>
          </w:tcPr>
          <w:p>
            <w:pPr>
              <w:jc w:val="left"/>
            </w:pPr>
            <w:r/>
            <w:r>
              <w:rPr>
                <w:rFonts w:ascii="Arial" w:hAnsi="Arial" w:eastAsia="Arial"/>
                <w:b w:val="0"/>
                <w:i w:val="0"/>
                <w:sz w:val="12"/>
              </w:rPr>
              <w:t>Analizar la relación entre Algoritmo Random Forest (Ensamble de Árboles de Decisión) y Exa</w:t>
            </w:r>
          </w:p>
        </w:tc>
        <w:tc>
          <w:tcPr>
            <w:tcW w:type="dxa" w:w="1224"/>
            <w:vAlign w:val="center"/>
          </w:tcPr>
          <w:p>
            <w:pPr>
              <w:jc w:val="left"/>
            </w:pPr>
            <w:r/>
            <w:r>
              <w:rPr>
                <w:rFonts w:ascii="Arial" w:hAnsi="Arial" w:eastAsia="Arial"/>
                <w:b w:val="0"/>
                <w:i w:val="0"/>
                <w:sz w:val="12"/>
              </w:rPr>
              <w:t>Modelado predictivo + validación temporal</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 xml:space="preserve">Algoritmo Random Forest (Ensamble de Árboles </w:t>
            </w:r>
          </w:p>
        </w:tc>
        <w:tc>
          <w:tcPr>
            <w:tcW w:type="dxa" w:w="1368"/>
            <w:vAlign w:val="center"/>
          </w:tcPr>
          <w:p>
            <w:pPr>
              <w:jc w:val="left"/>
            </w:pPr>
            <w:r/>
            <w:r>
              <w:rPr>
                <w:rFonts w:ascii="Arial" w:hAnsi="Arial" w:eastAsia="Arial"/>
                <w:b w:val="0"/>
                <w:i w:val="0"/>
                <w:sz w:val="12"/>
              </w:rPr>
              <w:t>Exactitud y Robustez del Modelo Predictivo</w:t>
            </w:r>
          </w:p>
        </w:tc>
        <w:tc>
          <w:tcPr>
            <w:tcW w:type="dxa" w:w="1080"/>
            <w:vAlign w:val="center"/>
          </w:tcPr>
          <w:p>
            <w:pPr>
              <w:jc w:val="left"/>
            </w:pPr>
            <w:r/>
            <w:r>
              <w:rPr>
                <w:rFonts w:ascii="Arial" w:hAnsi="Arial" w:eastAsia="Arial"/>
                <w:b w:val="0"/>
                <w:i w:val="0"/>
                <w:sz w:val="12"/>
              </w:rPr>
              <w:t>Modelos de regresión / SEM con bondad de ajuste</w:t>
            </w:r>
          </w:p>
        </w:tc>
        <w:tc>
          <w:tcPr>
            <w:tcW w:type="dxa" w:w="504"/>
            <w:vAlign w:val="center"/>
          </w:tcPr>
          <w:p>
            <w:pPr>
              <w:jc w:val="center"/>
            </w:pPr>
            <w:r/>
            <w:r>
              <w:rPr>
                <w:rFonts w:ascii="Arial" w:hAnsi="Arial" w:eastAsia="Arial"/>
                <w:b w:val="0"/>
                <w:i w:val="0"/>
                <w:sz w:val="12"/>
              </w:rPr>
              <w:t>5</w:t>
            </w:r>
          </w:p>
        </w:tc>
      </w:tr>
      <w:tr>
        <w:tc>
          <w:tcPr>
            <w:tcW w:type="dxa" w:w="504"/>
            <w:vAlign w:val="center"/>
            <w:shd w:fill="F8F9F9" w:val="clear" w:color="auto"/>
          </w:tcPr>
          <w:p>
            <w:pPr>
              <w:jc w:val="center"/>
            </w:pPr>
            <w:r/>
            <w:r>
              <w:rPr>
                <w:rFonts w:ascii="Arial" w:hAnsi="Arial" w:eastAsia="Arial"/>
                <w:b w:val="0"/>
                <w:i w:val="0"/>
                <w:sz w:val="12"/>
              </w:rPr>
              <w:t>36</w:t>
            </w:r>
          </w:p>
        </w:tc>
        <w:tc>
          <w:tcPr>
            <w:tcW w:type="dxa" w:w="1512"/>
            <w:vAlign w:val="center"/>
            <w:shd w:fill="F8F9F9" w:val="clear" w:color="auto"/>
          </w:tcPr>
          <w:p>
            <w:pPr>
              <w:jc w:val="left"/>
            </w:pPr>
            <w:r/>
            <w:r>
              <w:rPr>
                <w:rFonts w:ascii="Arial" w:hAnsi="Arial" w:eastAsia="Arial"/>
                <w:b w:val="0"/>
                <w:i w:val="0"/>
                <w:sz w:val="12"/>
              </w:rPr>
              <w:t>Dingsøyr, T.</w:t>
            </w:r>
          </w:p>
        </w:tc>
        <w:tc>
          <w:tcPr>
            <w:tcW w:type="dxa" w:w="1944"/>
            <w:vAlign w:val="center"/>
            <w:shd w:fill="F8F9F9" w:val="clear" w:color="auto"/>
          </w:tcPr>
          <w:p>
            <w:pPr>
              <w:jc w:val="left"/>
            </w:pPr>
            <w:r/>
            <w:r>
              <w:rPr>
                <w:rFonts w:ascii="Arial" w:hAnsi="Arial" w:eastAsia="Arial"/>
                <w:b w:val="0"/>
                <w:i w:val="0"/>
                <w:sz w:val="12"/>
              </w:rPr>
              <w:t>Analizar la relación entre Metodologías Ágiles de Desarrollo de Software y Desempeño del P</w:t>
            </w:r>
          </w:p>
        </w:tc>
        <w:tc>
          <w:tcPr>
            <w:tcW w:type="dxa" w:w="1224"/>
            <w:vAlign w:val="center"/>
            <w:shd w:fill="F8F9F9" w:val="clear" w:color="auto"/>
          </w:tcPr>
          <w:p>
            <w:pPr>
              <w:jc w:val="left"/>
            </w:pPr>
            <w:r/>
            <w:r>
              <w:rPr>
                <w:rFonts w:ascii="Arial" w:hAnsi="Arial" w:eastAsia="Arial"/>
                <w:b w:val="0"/>
                <w:i w:val="0"/>
                <w:sz w:val="12"/>
              </w:rPr>
              <w:t>Revisión sistemática / mapeo</w:t>
            </w:r>
          </w:p>
        </w:tc>
        <w:tc>
          <w:tcPr>
            <w:tcW w:type="dxa" w:w="1224"/>
            <w:vAlign w:val="center"/>
            <w:shd w:fill="F8F9F9" w:val="clear" w:color="auto"/>
          </w:tcPr>
          <w:p>
            <w:pPr>
              <w:jc w:val="left"/>
            </w:pPr>
            <w:r/>
            <w:r>
              <w:rPr>
                <w:rFonts w:ascii="Arial" w:hAnsi="Arial" w:eastAsia="Arial"/>
                <w:b w:val="0"/>
                <w:i w:val="0"/>
                <w:sz w:val="12"/>
              </w:rPr>
              <w:t>Muestra empírica del estudio original (ver artículo)</w:t>
            </w:r>
          </w:p>
        </w:tc>
        <w:tc>
          <w:tcPr>
            <w:tcW w:type="dxa" w:w="1368"/>
            <w:vAlign w:val="center"/>
            <w:shd w:fill="F8F9F9" w:val="clear" w:color="auto"/>
          </w:tcPr>
          <w:p>
            <w:pPr>
              <w:jc w:val="left"/>
            </w:pPr>
            <w:r/>
            <w:r>
              <w:rPr>
                <w:rFonts w:ascii="Arial" w:hAnsi="Arial" w:eastAsia="Arial"/>
                <w:b w:val="0"/>
                <w:i w:val="0"/>
                <w:sz w:val="12"/>
              </w:rPr>
              <w:t>Metodologías Ágiles de Desarrollo de Software</w:t>
            </w:r>
          </w:p>
        </w:tc>
        <w:tc>
          <w:tcPr>
            <w:tcW w:type="dxa" w:w="1368"/>
            <w:vAlign w:val="center"/>
            <w:shd w:fill="F8F9F9" w:val="clear" w:color="auto"/>
          </w:tcPr>
          <w:p>
            <w:pPr>
              <w:jc w:val="left"/>
            </w:pPr>
            <w:r/>
            <w:r>
              <w:rPr>
                <w:rFonts w:ascii="Arial" w:hAnsi="Arial" w:eastAsia="Arial"/>
                <w:b w:val="0"/>
                <w:i w:val="0"/>
                <w:sz w:val="12"/>
              </w:rPr>
              <w:t>Desempeño del Proyecto de Software</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5</w:t>
            </w:r>
          </w:p>
        </w:tc>
      </w:tr>
      <w:tr>
        <w:tc>
          <w:tcPr>
            <w:tcW w:type="dxa" w:w="504"/>
            <w:vAlign w:val="center"/>
          </w:tcPr>
          <w:p>
            <w:pPr>
              <w:jc w:val="center"/>
            </w:pPr>
            <w:r/>
            <w:r>
              <w:rPr>
                <w:rFonts w:ascii="Arial" w:hAnsi="Arial" w:eastAsia="Arial"/>
                <w:b w:val="0"/>
                <w:i w:val="0"/>
                <w:sz w:val="12"/>
              </w:rPr>
              <w:t>37</w:t>
            </w:r>
          </w:p>
        </w:tc>
        <w:tc>
          <w:tcPr>
            <w:tcW w:type="dxa" w:w="1512"/>
            <w:vAlign w:val="center"/>
          </w:tcPr>
          <w:p>
            <w:pPr>
              <w:jc w:val="left"/>
            </w:pPr>
            <w:r/>
            <w:r>
              <w:rPr>
                <w:rFonts w:ascii="Arial" w:hAnsi="Arial" w:eastAsia="Arial"/>
                <w:b w:val="0"/>
                <w:i w:val="0"/>
                <w:sz w:val="12"/>
              </w:rPr>
              <w:t>Malgonde, O. y Chari, K. (20</w:t>
            </w:r>
          </w:p>
        </w:tc>
        <w:tc>
          <w:tcPr>
            <w:tcW w:type="dxa" w:w="1944"/>
            <w:vAlign w:val="center"/>
          </w:tcPr>
          <w:p>
            <w:pPr>
              <w:jc w:val="left"/>
            </w:pPr>
            <w:r/>
            <w:r>
              <w:rPr>
                <w:rFonts w:ascii="Arial" w:hAnsi="Arial" w:eastAsia="Arial"/>
                <w:b w:val="0"/>
                <w:i w:val="0"/>
                <w:sz w:val="12"/>
              </w:rPr>
              <w:t>Analizar la relación entre Variables de Entrada para Predicción del Desempeño de Sprints y</w:t>
            </w:r>
          </w:p>
        </w:tc>
        <w:tc>
          <w:tcPr>
            <w:tcW w:type="dxa" w:w="1224"/>
            <w:vAlign w:val="center"/>
          </w:tcPr>
          <w:p>
            <w:pPr>
              <w:jc w:val="left"/>
            </w:pPr>
            <w:r/>
            <w:r>
              <w:rPr>
                <w:rFonts w:ascii="Arial" w:hAnsi="Arial" w:eastAsia="Arial"/>
                <w:b w:val="0"/>
                <w:i w:val="0"/>
                <w:sz w:val="12"/>
              </w:rPr>
              <w:t>Modelado predictivo + validación temporal</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Variables de Entrada para Predicción del Dese</w:t>
            </w:r>
          </w:p>
        </w:tc>
        <w:tc>
          <w:tcPr>
            <w:tcW w:type="dxa" w:w="1368"/>
            <w:vAlign w:val="center"/>
          </w:tcPr>
          <w:p>
            <w:pPr>
              <w:jc w:val="left"/>
            </w:pPr>
            <w:r/>
            <w:r>
              <w:rPr>
                <w:rFonts w:ascii="Arial" w:hAnsi="Arial" w:eastAsia="Arial"/>
                <w:b w:val="0"/>
                <w:i w:val="0"/>
                <w:sz w:val="12"/>
              </w:rPr>
              <w:t>Desempeño Predicho del Sprint</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5</w:t>
            </w:r>
          </w:p>
        </w:tc>
      </w:tr>
      <w:tr>
        <w:tc>
          <w:tcPr>
            <w:tcW w:type="dxa" w:w="504"/>
            <w:vAlign w:val="center"/>
            <w:shd w:fill="F8F9F9" w:val="clear" w:color="auto"/>
          </w:tcPr>
          <w:p>
            <w:pPr>
              <w:jc w:val="center"/>
            </w:pPr>
            <w:r/>
            <w:r>
              <w:rPr>
                <w:rFonts w:ascii="Arial" w:hAnsi="Arial" w:eastAsia="Arial"/>
                <w:b w:val="0"/>
                <w:i w:val="0"/>
                <w:sz w:val="12"/>
              </w:rPr>
              <w:t>38</w:t>
            </w:r>
          </w:p>
        </w:tc>
        <w:tc>
          <w:tcPr>
            <w:tcW w:type="dxa" w:w="1512"/>
            <w:vAlign w:val="center"/>
            <w:shd w:fill="F8F9F9" w:val="clear" w:color="auto"/>
          </w:tcPr>
          <w:p>
            <w:pPr>
              <w:jc w:val="left"/>
            </w:pPr>
            <w:r/>
            <w:r>
              <w:rPr>
                <w:rFonts w:ascii="Arial" w:hAnsi="Arial" w:eastAsia="Arial"/>
                <w:b w:val="0"/>
                <w:i w:val="0"/>
                <w:sz w:val="12"/>
              </w:rPr>
              <w:t>Kuhrmann, M.</w:t>
            </w:r>
          </w:p>
        </w:tc>
        <w:tc>
          <w:tcPr>
            <w:tcW w:type="dxa" w:w="1944"/>
            <w:vAlign w:val="center"/>
            <w:shd w:fill="F8F9F9" w:val="clear" w:color="auto"/>
          </w:tcPr>
          <w:p>
            <w:pPr>
              <w:jc w:val="left"/>
            </w:pPr>
            <w:r/>
            <w:r>
              <w:rPr>
                <w:rFonts w:ascii="Arial" w:hAnsi="Arial" w:eastAsia="Arial"/>
                <w:b w:val="0"/>
                <w:i w:val="0"/>
                <w:sz w:val="12"/>
              </w:rPr>
              <w:t xml:space="preserve">Analizar la relación entre Enfoque Híbrido de Desarrollo (Ágil + Tradicional Planificado) </w:t>
            </w:r>
          </w:p>
        </w:tc>
        <w:tc>
          <w:tcPr>
            <w:tcW w:type="dxa" w:w="1224"/>
            <w:vAlign w:val="center"/>
            <w:shd w:fill="F8F9F9" w:val="clear" w:color="auto"/>
          </w:tcPr>
          <w:p>
            <w:pPr>
              <w:jc w:val="left"/>
            </w:pPr>
            <w:r/>
            <w:r>
              <w:rPr>
                <w:rFonts w:ascii="Arial" w:hAnsi="Arial" w:eastAsia="Arial"/>
                <w:b w:val="0"/>
                <w:i w:val="0"/>
                <w:sz w:val="12"/>
              </w:rPr>
              <w:t>Encuesta cuantitativa</w:t>
            </w:r>
          </w:p>
        </w:tc>
        <w:tc>
          <w:tcPr>
            <w:tcW w:type="dxa" w:w="1224"/>
            <w:vAlign w:val="center"/>
            <w:shd w:fill="F8F9F9" w:val="clear" w:color="auto"/>
          </w:tcPr>
          <w:p>
            <w:pPr>
              <w:jc w:val="left"/>
            </w:pPr>
            <w:r/>
            <w:r>
              <w:rPr>
                <w:rFonts w:ascii="Arial" w:hAnsi="Arial" w:eastAsia="Arial"/>
                <w:b w:val="0"/>
                <w:i w:val="0"/>
                <w:sz w:val="12"/>
              </w:rPr>
              <w:t>Sector retail / datos comerciales</w:t>
            </w:r>
          </w:p>
        </w:tc>
        <w:tc>
          <w:tcPr>
            <w:tcW w:type="dxa" w:w="1368"/>
            <w:vAlign w:val="center"/>
            <w:shd w:fill="F8F9F9" w:val="clear" w:color="auto"/>
          </w:tcPr>
          <w:p>
            <w:pPr>
              <w:jc w:val="left"/>
            </w:pPr>
            <w:r/>
            <w:r>
              <w:rPr>
                <w:rFonts w:ascii="Arial" w:hAnsi="Arial" w:eastAsia="Arial"/>
                <w:b w:val="0"/>
                <w:i w:val="0"/>
                <w:sz w:val="12"/>
              </w:rPr>
              <w:t>Enfoque Híbrido de Desarrollo (Ágil + Tradici</w:t>
            </w:r>
          </w:p>
        </w:tc>
        <w:tc>
          <w:tcPr>
            <w:tcW w:type="dxa" w:w="1368"/>
            <w:vAlign w:val="center"/>
            <w:shd w:fill="F8F9F9" w:val="clear" w:color="auto"/>
          </w:tcPr>
          <w:p>
            <w:pPr>
              <w:jc w:val="left"/>
            </w:pPr>
            <w:r/>
            <w:r>
              <w:rPr>
                <w:rFonts w:ascii="Arial" w:hAnsi="Arial" w:eastAsia="Arial"/>
                <w:b w:val="0"/>
                <w:i w:val="0"/>
                <w:sz w:val="12"/>
              </w:rPr>
              <w:t>Efectividad del Proceso de Desarrollo Híbrido</w:t>
            </w:r>
          </w:p>
        </w:tc>
        <w:tc>
          <w:tcPr>
            <w:tcW w:type="dxa" w:w="1080"/>
            <w:vAlign w:val="center"/>
            <w:shd w:fill="F8F9F9" w:val="clear" w:color="auto"/>
          </w:tcPr>
          <w:p>
            <w:pPr>
              <w:jc w:val="left"/>
            </w:pPr>
            <w:r/>
            <w:r>
              <w:rPr>
                <w:rFonts w:ascii="Arial" w:hAnsi="Arial" w:eastAsia="Arial"/>
                <w:b w:val="0"/>
                <w:i w:val="0"/>
                <w:sz w:val="12"/>
              </w:rPr>
              <w:t>Modelos de regresión / SEM con bondad de ajuste</w:t>
            </w:r>
          </w:p>
        </w:tc>
        <w:tc>
          <w:tcPr>
            <w:tcW w:type="dxa" w:w="504"/>
            <w:vAlign w:val="center"/>
            <w:shd w:fill="F8F9F9" w:val="clear" w:color="auto"/>
          </w:tcPr>
          <w:p>
            <w:pPr>
              <w:jc w:val="center"/>
            </w:pPr>
            <w:r/>
            <w:r>
              <w:rPr>
                <w:rFonts w:ascii="Arial" w:hAnsi="Arial" w:eastAsia="Arial"/>
                <w:b w:val="0"/>
                <w:i w:val="0"/>
                <w:sz w:val="12"/>
              </w:rPr>
              <w:t>5</w:t>
            </w:r>
          </w:p>
        </w:tc>
      </w:tr>
      <w:tr>
        <w:tc>
          <w:tcPr>
            <w:tcW w:type="dxa" w:w="504"/>
            <w:vAlign w:val="center"/>
          </w:tcPr>
          <w:p>
            <w:pPr>
              <w:jc w:val="center"/>
            </w:pPr>
            <w:r/>
            <w:r>
              <w:rPr>
                <w:rFonts w:ascii="Arial" w:hAnsi="Arial" w:eastAsia="Arial"/>
                <w:b w:val="0"/>
                <w:i w:val="0"/>
                <w:sz w:val="12"/>
              </w:rPr>
              <w:t>39</w:t>
            </w:r>
          </w:p>
        </w:tc>
        <w:tc>
          <w:tcPr>
            <w:tcW w:type="dxa" w:w="1512"/>
            <w:vAlign w:val="center"/>
          </w:tcPr>
          <w:p>
            <w:pPr>
              <w:jc w:val="left"/>
            </w:pPr>
            <w:r/>
            <w:r>
              <w:rPr>
                <w:rFonts w:ascii="Arial" w:hAnsi="Arial" w:eastAsia="Arial"/>
                <w:b w:val="0"/>
                <w:i w:val="0"/>
                <w:sz w:val="12"/>
              </w:rPr>
              <w:t>Lepenioti, K.</w:t>
            </w:r>
          </w:p>
        </w:tc>
        <w:tc>
          <w:tcPr>
            <w:tcW w:type="dxa" w:w="1944"/>
            <w:vAlign w:val="center"/>
          </w:tcPr>
          <w:p>
            <w:pPr>
              <w:jc w:val="left"/>
            </w:pPr>
            <w:r/>
            <w:r>
              <w:rPr>
                <w:rFonts w:ascii="Arial" w:hAnsi="Arial" w:eastAsia="Arial"/>
                <w:b w:val="0"/>
                <w:i w:val="0"/>
                <w:sz w:val="12"/>
              </w:rPr>
              <w:t xml:space="preserve">Analizar la relación entre Analítica Prescriptiva para Optimización de Decisiones y Valor </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Analítica Prescriptiva para Optimización de D</w:t>
            </w:r>
          </w:p>
        </w:tc>
        <w:tc>
          <w:tcPr>
            <w:tcW w:type="dxa" w:w="1368"/>
            <w:vAlign w:val="center"/>
          </w:tcPr>
          <w:p>
            <w:pPr>
              <w:jc w:val="left"/>
            </w:pPr>
            <w:r/>
            <w:r>
              <w:rPr>
                <w:rFonts w:ascii="Arial" w:hAnsi="Arial" w:eastAsia="Arial"/>
                <w:b w:val="0"/>
                <w:i w:val="0"/>
                <w:sz w:val="12"/>
              </w:rPr>
              <w:t>Valor de las Decisiones Prescritas por el Sis</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5</w:t>
            </w:r>
          </w:p>
        </w:tc>
      </w:tr>
      <w:tr>
        <w:tc>
          <w:tcPr>
            <w:tcW w:type="dxa" w:w="504"/>
            <w:vAlign w:val="center"/>
            <w:shd w:fill="F8F9F9" w:val="clear" w:color="auto"/>
          </w:tcPr>
          <w:p>
            <w:pPr>
              <w:jc w:val="center"/>
            </w:pPr>
            <w:r/>
            <w:r>
              <w:rPr>
                <w:rFonts w:ascii="Arial" w:hAnsi="Arial" w:eastAsia="Arial"/>
                <w:b w:val="0"/>
                <w:i w:val="0"/>
                <w:sz w:val="12"/>
              </w:rPr>
              <w:t>40</w:t>
            </w:r>
          </w:p>
        </w:tc>
        <w:tc>
          <w:tcPr>
            <w:tcW w:type="dxa" w:w="1512"/>
            <w:vAlign w:val="center"/>
            <w:shd w:fill="F8F9F9" w:val="clear" w:color="auto"/>
          </w:tcPr>
          <w:p>
            <w:pPr>
              <w:jc w:val="left"/>
            </w:pPr>
            <w:r/>
            <w:r>
              <w:rPr>
                <w:rFonts w:ascii="Arial" w:hAnsi="Arial" w:eastAsia="Arial"/>
                <w:b w:val="0"/>
                <w:i w:val="0"/>
                <w:sz w:val="12"/>
              </w:rPr>
              <w:t xml:space="preserve">Choi, T.M.; Wallace, S.W. y </w:t>
            </w:r>
          </w:p>
        </w:tc>
        <w:tc>
          <w:tcPr>
            <w:tcW w:type="dxa" w:w="1944"/>
            <w:vAlign w:val="center"/>
            <w:shd w:fill="F8F9F9" w:val="clear" w:color="auto"/>
          </w:tcPr>
          <w:p>
            <w:pPr>
              <w:jc w:val="left"/>
            </w:pPr>
            <w:r/>
            <w:r>
              <w:rPr>
                <w:rFonts w:ascii="Arial" w:hAnsi="Arial" w:eastAsia="Arial"/>
                <w:b w:val="0"/>
                <w:i w:val="0"/>
                <w:sz w:val="12"/>
              </w:rPr>
              <w:t xml:space="preserve">Analizar la relación entre Analítica de Big Data en Gestión de Operaciones y Desempeño de </w:t>
            </w:r>
          </w:p>
        </w:tc>
        <w:tc>
          <w:tcPr>
            <w:tcW w:type="dxa" w:w="1224"/>
            <w:vAlign w:val="center"/>
            <w:shd w:fill="F8F9F9" w:val="clear" w:color="auto"/>
          </w:tcPr>
          <w:p>
            <w:pPr>
              <w:jc w:val="left"/>
            </w:pPr>
            <w:r/>
            <w:r>
              <w:rPr>
                <w:rFonts w:ascii="Arial" w:hAnsi="Arial" w:eastAsia="Arial"/>
                <w:b w:val="0"/>
                <w:i w:val="0"/>
                <w:sz w:val="12"/>
              </w:rPr>
              <w:t>Modelado computacional (ML/DL) + datos secundarios</w:t>
            </w:r>
          </w:p>
        </w:tc>
        <w:tc>
          <w:tcPr>
            <w:tcW w:type="dxa" w:w="1224"/>
            <w:vAlign w:val="center"/>
            <w:shd w:fill="F8F9F9" w:val="clear" w:color="auto"/>
          </w:tcPr>
          <w:p>
            <w:pPr>
              <w:jc w:val="left"/>
            </w:pPr>
            <w:r/>
            <w:r>
              <w:rPr>
                <w:rFonts w:ascii="Arial" w:hAnsi="Arial" w:eastAsia="Arial"/>
                <w:b w:val="0"/>
                <w:i w:val="0"/>
                <w:sz w:val="12"/>
              </w:rPr>
              <w:t>Sector retail / datos comerciales</w:t>
            </w:r>
          </w:p>
        </w:tc>
        <w:tc>
          <w:tcPr>
            <w:tcW w:type="dxa" w:w="1368"/>
            <w:vAlign w:val="center"/>
            <w:shd w:fill="F8F9F9" w:val="clear" w:color="auto"/>
          </w:tcPr>
          <w:p>
            <w:pPr>
              <w:jc w:val="left"/>
            </w:pPr>
            <w:r/>
            <w:r>
              <w:rPr>
                <w:rFonts w:ascii="Arial" w:hAnsi="Arial" w:eastAsia="Arial"/>
                <w:b w:val="0"/>
                <w:i w:val="0"/>
                <w:sz w:val="12"/>
              </w:rPr>
              <w:t>Analítica de Big Data en Gestión de Operacion</w:t>
            </w:r>
          </w:p>
        </w:tc>
        <w:tc>
          <w:tcPr>
            <w:tcW w:type="dxa" w:w="1368"/>
            <w:vAlign w:val="center"/>
            <w:shd w:fill="F8F9F9" w:val="clear" w:color="auto"/>
          </w:tcPr>
          <w:p>
            <w:pPr>
              <w:jc w:val="left"/>
            </w:pPr>
            <w:r/>
            <w:r>
              <w:rPr>
                <w:rFonts w:ascii="Arial" w:hAnsi="Arial" w:eastAsia="Arial"/>
                <w:b w:val="0"/>
                <w:i w:val="0"/>
                <w:sz w:val="12"/>
              </w:rPr>
              <w:t>Desempeño de la Gestión de Operaciones</w:t>
            </w:r>
          </w:p>
        </w:tc>
        <w:tc>
          <w:tcPr>
            <w:tcW w:type="dxa" w:w="1080"/>
            <w:vAlign w:val="center"/>
            <w:shd w:fill="F8F9F9" w:val="clear" w:color="auto"/>
          </w:tcPr>
          <w:p>
            <w:pPr>
              <w:jc w:val="left"/>
            </w:pPr>
            <w:r/>
            <w:r>
              <w:rPr>
                <w:rFonts w:ascii="Arial" w:hAnsi="Arial" w:eastAsia="Arial"/>
                <w:b w:val="0"/>
                <w:i w:val="0"/>
                <w:sz w:val="12"/>
              </w:rPr>
              <w:t>Resultados según indicadores y análisis del artícu</w:t>
            </w:r>
          </w:p>
        </w:tc>
        <w:tc>
          <w:tcPr>
            <w:tcW w:type="dxa" w:w="504"/>
            <w:vAlign w:val="center"/>
            <w:shd w:fill="F8F9F9" w:val="clear" w:color="auto"/>
          </w:tcPr>
          <w:p>
            <w:pPr>
              <w:jc w:val="center"/>
            </w:pPr>
            <w:r/>
            <w:r>
              <w:rPr>
                <w:rFonts w:ascii="Arial" w:hAnsi="Arial" w:eastAsia="Arial"/>
                <w:b w:val="0"/>
                <w:i w:val="0"/>
                <w:sz w:val="12"/>
              </w:rPr>
              <w:t>5</w:t>
            </w:r>
          </w:p>
        </w:tc>
      </w:tr>
      <w:tr>
        <w:tc>
          <w:tcPr>
            <w:tcW w:type="dxa" w:w="504"/>
            <w:vAlign w:val="center"/>
          </w:tcPr>
          <w:p>
            <w:pPr>
              <w:jc w:val="center"/>
            </w:pPr>
            <w:r/>
            <w:r>
              <w:rPr>
                <w:rFonts w:ascii="Arial" w:hAnsi="Arial" w:eastAsia="Arial"/>
                <w:b w:val="0"/>
                <w:i w:val="0"/>
                <w:sz w:val="12"/>
              </w:rPr>
              <w:t>41</w:t>
            </w:r>
          </w:p>
        </w:tc>
        <w:tc>
          <w:tcPr>
            <w:tcW w:type="dxa" w:w="1512"/>
            <w:vAlign w:val="center"/>
          </w:tcPr>
          <w:p>
            <w:pPr>
              <w:jc w:val="left"/>
            </w:pPr>
            <w:r/>
            <w:r>
              <w:rPr>
                <w:rFonts w:ascii="Arial" w:hAnsi="Arial" w:eastAsia="Arial"/>
                <w:b w:val="0"/>
                <w:i w:val="0"/>
                <w:sz w:val="12"/>
              </w:rPr>
              <w:t>Haakman, M.</w:t>
            </w:r>
          </w:p>
        </w:tc>
        <w:tc>
          <w:tcPr>
            <w:tcW w:type="dxa" w:w="1944"/>
            <w:vAlign w:val="center"/>
          </w:tcPr>
          <w:p>
            <w:pPr>
              <w:jc w:val="left"/>
            </w:pPr>
            <w:r/>
            <w:r>
              <w:rPr>
                <w:rFonts w:ascii="Arial" w:hAnsi="Arial" w:eastAsia="Arial"/>
                <w:b w:val="0"/>
                <w:i w:val="0"/>
                <w:sz w:val="12"/>
              </w:rPr>
              <w:t>Analizar la relación entre Ciclo de Vida del Modelo de IA — CRISP-ML(Q) y Calidad y Madure</w:t>
            </w:r>
          </w:p>
        </w:tc>
        <w:tc>
          <w:tcPr>
            <w:tcW w:type="dxa" w:w="1224"/>
            <w:vAlign w:val="center"/>
          </w:tcPr>
          <w:p>
            <w:pPr>
              <w:jc w:val="left"/>
            </w:pPr>
            <w:r/>
            <w:r>
              <w:rPr>
                <w:rFonts w:ascii="Arial" w:hAnsi="Arial" w:eastAsia="Arial"/>
                <w:b w:val="0"/>
                <w:i w:val="0"/>
                <w:sz w:val="12"/>
              </w:rPr>
              <w:t>Mixto: entrevista + análisis documental</w:t>
            </w:r>
          </w:p>
        </w:tc>
        <w:tc>
          <w:tcPr>
            <w:tcW w:type="dxa" w:w="1224"/>
            <w:vAlign w:val="center"/>
          </w:tcPr>
          <w:p>
            <w:pPr>
              <w:jc w:val="left"/>
            </w:pPr>
            <w:r/>
            <w:r>
              <w:rPr>
                <w:rFonts w:ascii="Arial" w:hAnsi="Arial" w:eastAsia="Arial"/>
                <w:b w:val="0"/>
                <w:i w:val="0"/>
                <w:sz w:val="12"/>
              </w:rPr>
              <w:t>Muestra empírica del estudio original (ver artículo)</w:t>
            </w:r>
          </w:p>
        </w:tc>
        <w:tc>
          <w:tcPr>
            <w:tcW w:type="dxa" w:w="1368"/>
            <w:vAlign w:val="center"/>
          </w:tcPr>
          <w:p>
            <w:pPr>
              <w:jc w:val="left"/>
            </w:pPr>
            <w:r/>
            <w:r>
              <w:rPr>
                <w:rFonts w:ascii="Arial" w:hAnsi="Arial" w:eastAsia="Arial"/>
                <w:b w:val="0"/>
                <w:i w:val="0"/>
                <w:sz w:val="12"/>
              </w:rPr>
              <w:t>Ciclo de Vida del Modelo de IA — CRISP-ML(Q)</w:t>
            </w:r>
          </w:p>
        </w:tc>
        <w:tc>
          <w:tcPr>
            <w:tcW w:type="dxa" w:w="1368"/>
            <w:vAlign w:val="center"/>
          </w:tcPr>
          <w:p>
            <w:pPr>
              <w:jc w:val="left"/>
            </w:pPr>
            <w:r/>
            <w:r>
              <w:rPr>
                <w:rFonts w:ascii="Arial" w:hAnsi="Arial" w:eastAsia="Arial"/>
                <w:b w:val="0"/>
                <w:i w:val="0"/>
                <w:sz w:val="12"/>
              </w:rPr>
              <w:t>Calidad y Madurez del Sistema de ML en Produc</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5</w:t>
            </w:r>
          </w:p>
        </w:tc>
      </w:tr>
      <w:tr>
        <w:tc>
          <w:tcPr>
            <w:tcW w:type="dxa" w:w="504"/>
            <w:vAlign w:val="center"/>
            <w:shd w:fill="F8F9F9" w:val="clear" w:color="auto"/>
          </w:tcPr>
          <w:p>
            <w:pPr>
              <w:jc w:val="center"/>
            </w:pPr>
            <w:r/>
            <w:r>
              <w:rPr>
                <w:rFonts w:ascii="Arial" w:hAnsi="Arial" w:eastAsia="Arial"/>
                <w:b w:val="0"/>
                <w:i w:val="0"/>
                <w:sz w:val="12"/>
              </w:rPr>
              <w:t>42</w:t>
            </w:r>
          </w:p>
        </w:tc>
        <w:tc>
          <w:tcPr>
            <w:tcW w:type="dxa" w:w="1512"/>
            <w:vAlign w:val="center"/>
            <w:shd w:fill="F8F9F9" w:val="clear" w:color="auto"/>
          </w:tcPr>
          <w:p>
            <w:pPr>
              <w:jc w:val="left"/>
            </w:pPr>
            <w:r/>
            <w:r>
              <w:rPr>
                <w:rFonts w:ascii="Arial" w:hAnsi="Arial" w:eastAsia="Arial"/>
                <w:b w:val="0"/>
                <w:i w:val="0"/>
                <w:sz w:val="12"/>
              </w:rPr>
              <w:t xml:space="preserve">Melville, N.; Kraemer, K. y </w:t>
            </w:r>
          </w:p>
        </w:tc>
        <w:tc>
          <w:tcPr>
            <w:tcW w:type="dxa" w:w="1944"/>
            <w:vAlign w:val="center"/>
            <w:shd w:fill="F8F9F9" w:val="clear" w:color="auto"/>
          </w:tcPr>
          <w:p>
            <w:pPr>
              <w:jc w:val="left"/>
            </w:pPr>
            <w:r/>
            <w:r>
              <w:rPr>
                <w:rFonts w:ascii="Arial" w:hAnsi="Arial" w:eastAsia="Arial"/>
                <w:b w:val="0"/>
                <w:i w:val="0"/>
                <w:sz w:val="12"/>
              </w:rPr>
              <w:t>Analizar la relación entre Inversión y Capacidades en Tecnología de Información (TI) y Des</w:t>
            </w:r>
          </w:p>
        </w:tc>
        <w:tc>
          <w:tcPr>
            <w:tcW w:type="dxa" w:w="1224"/>
            <w:vAlign w:val="center"/>
            <w:shd w:fill="F8F9F9" w:val="clear" w:color="auto"/>
          </w:tcPr>
          <w:p>
            <w:pPr>
              <w:jc w:val="left"/>
            </w:pPr>
            <w:r/>
            <w:r>
              <w:rPr>
                <w:rFonts w:ascii="Arial" w:hAnsi="Arial" w:eastAsia="Arial"/>
                <w:b w:val="0"/>
                <w:i w:val="0"/>
                <w:sz w:val="12"/>
              </w:rPr>
              <w:t>Encuesta cuantitativa</w:t>
            </w:r>
          </w:p>
        </w:tc>
        <w:tc>
          <w:tcPr>
            <w:tcW w:type="dxa" w:w="1224"/>
            <w:vAlign w:val="center"/>
            <w:shd w:fill="F8F9F9" w:val="clear" w:color="auto"/>
          </w:tcPr>
          <w:p>
            <w:pPr>
              <w:jc w:val="left"/>
            </w:pPr>
            <w:r/>
            <w:r>
              <w:rPr>
                <w:rFonts w:ascii="Arial" w:hAnsi="Arial" w:eastAsia="Arial"/>
                <w:b w:val="0"/>
                <w:i w:val="0"/>
                <w:sz w:val="12"/>
              </w:rPr>
              <w:t>Sector retail / datos comerciales</w:t>
            </w:r>
          </w:p>
        </w:tc>
        <w:tc>
          <w:tcPr>
            <w:tcW w:type="dxa" w:w="1368"/>
            <w:vAlign w:val="center"/>
            <w:shd w:fill="F8F9F9" w:val="clear" w:color="auto"/>
          </w:tcPr>
          <w:p>
            <w:pPr>
              <w:jc w:val="left"/>
            </w:pPr>
            <w:r/>
            <w:r>
              <w:rPr>
                <w:rFonts w:ascii="Arial" w:hAnsi="Arial" w:eastAsia="Arial"/>
                <w:b w:val="0"/>
                <w:i w:val="0"/>
                <w:sz w:val="12"/>
              </w:rPr>
              <w:t>Inversión y Capacidades en Tecnología de Info</w:t>
            </w:r>
          </w:p>
        </w:tc>
        <w:tc>
          <w:tcPr>
            <w:tcW w:type="dxa" w:w="1368"/>
            <w:vAlign w:val="center"/>
            <w:shd w:fill="F8F9F9" w:val="clear" w:color="auto"/>
          </w:tcPr>
          <w:p>
            <w:pPr>
              <w:jc w:val="left"/>
            </w:pPr>
            <w:r/>
            <w:r>
              <w:rPr>
                <w:rFonts w:ascii="Arial" w:hAnsi="Arial" w:eastAsia="Arial"/>
                <w:b w:val="0"/>
                <w:i w:val="0"/>
                <w:sz w:val="12"/>
              </w:rPr>
              <w:t>Desempeño Organizacional Impulsado por TI</w:t>
            </w:r>
          </w:p>
        </w:tc>
        <w:tc>
          <w:tcPr>
            <w:tcW w:type="dxa" w:w="1080"/>
            <w:vAlign w:val="center"/>
            <w:shd w:fill="F8F9F9" w:val="clear" w:color="auto"/>
          </w:tcPr>
          <w:p>
            <w:pPr>
              <w:jc w:val="left"/>
            </w:pPr>
            <w:r/>
            <w:r>
              <w:rPr>
                <w:rFonts w:ascii="Arial" w:hAnsi="Arial" w:eastAsia="Arial"/>
                <w:b w:val="0"/>
                <w:i w:val="0"/>
                <w:sz w:val="12"/>
              </w:rPr>
              <w:t>Modelos de regresión / SEM con bondad de ajuste</w:t>
            </w:r>
          </w:p>
        </w:tc>
        <w:tc>
          <w:tcPr>
            <w:tcW w:type="dxa" w:w="504"/>
            <w:vAlign w:val="center"/>
            <w:shd w:fill="F8F9F9" w:val="clear" w:color="auto"/>
          </w:tcPr>
          <w:p>
            <w:pPr>
              <w:jc w:val="center"/>
            </w:pPr>
            <w:r/>
            <w:r>
              <w:rPr>
                <w:rFonts w:ascii="Arial" w:hAnsi="Arial" w:eastAsia="Arial"/>
                <w:b w:val="0"/>
                <w:i w:val="0"/>
                <w:sz w:val="12"/>
              </w:rPr>
              <w:t>5</w:t>
            </w:r>
          </w:p>
        </w:tc>
      </w:tr>
      <w:tr>
        <w:tc>
          <w:tcPr>
            <w:tcW w:type="dxa" w:w="504"/>
            <w:vAlign w:val="center"/>
          </w:tcPr>
          <w:p>
            <w:pPr>
              <w:jc w:val="center"/>
            </w:pPr>
            <w:r/>
            <w:r>
              <w:rPr>
                <w:rFonts w:ascii="Arial" w:hAnsi="Arial" w:eastAsia="Arial"/>
                <w:b w:val="0"/>
                <w:i w:val="0"/>
                <w:sz w:val="12"/>
              </w:rPr>
              <w:t>43</w:t>
            </w:r>
          </w:p>
        </w:tc>
        <w:tc>
          <w:tcPr>
            <w:tcW w:type="dxa" w:w="1512"/>
            <w:vAlign w:val="center"/>
          </w:tcPr>
          <w:p>
            <w:pPr>
              <w:jc w:val="left"/>
            </w:pPr>
            <w:r/>
            <w:r>
              <w:rPr>
                <w:rFonts w:ascii="Arial" w:hAnsi="Arial" w:eastAsia="Arial"/>
                <w:b w:val="0"/>
                <w:i w:val="0"/>
                <w:sz w:val="12"/>
              </w:rPr>
              <w:t>Dai, J.; Mao, X.; Wu, P.; Zh</w:t>
            </w:r>
          </w:p>
        </w:tc>
        <w:tc>
          <w:tcPr>
            <w:tcW w:type="dxa" w:w="1944"/>
            <w:vAlign w:val="center"/>
          </w:tcPr>
          <w:p>
            <w:pPr>
              <w:jc w:val="left"/>
            </w:pPr>
            <w:r/>
            <w:r>
              <w:rPr>
                <w:rFonts w:ascii="Arial" w:hAnsi="Arial" w:eastAsia="Arial"/>
                <w:b w:val="0"/>
                <w:i w:val="0"/>
                <w:sz w:val="12"/>
              </w:rPr>
              <w:t>Analizar la relación entre IA y Big Data Aplicados al E-commerce de Pequeñas Empresas y De</w:t>
            </w:r>
          </w:p>
        </w:tc>
        <w:tc>
          <w:tcPr>
            <w:tcW w:type="dxa" w:w="1224"/>
            <w:vAlign w:val="center"/>
          </w:tcPr>
          <w:p>
            <w:pPr>
              <w:jc w:val="left"/>
            </w:pPr>
            <w:r/>
            <w:r>
              <w:rPr>
                <w:rFonts w:ascii="Arial" w:hAnsi="Arial" w:eastAsia="Arial"/>
                <w:b w:val="0"/>
                <w:i w:val="0"/>
                <w:sz w:val="12"/>
              </w:rPr>
              <w:t>Revisión sistemática / mapeo</w:t>
            </w:r>
          </w:p>
        </w:tc>
        <w:tc>
          <w:tcPr>
            <w:tcW w:type="dxa" w:w="1224"/>
            <w:vAlign w:val="center"/>
          </w:tcPr>
          <w:p>
            <w:pPr>
              <w:jc w:val="left"/>
            </w:pPr>
            <w:r/>
            <w:r>
              <w:rPr>
                <w:rFonts w:ascii="Arial" w:hAnsi="Arial" w:eastAsia="Arial"/>
                <w:b w:val="0"/>
                <w:i w:val="0"/>
                <w:sz w:val="12"/>
              </w:rPr>
              <w:t>Evidencia documental / datos del estudio fuente</w:t>
            </w:r>
          </w:p>
        </w:tc>
        <w:tc>
          <w:tcPr>
            <w:tcW w:type="dxa" w:w="1368"/>
            <w:vAlign w:val="center"/>
          </w:tcPr>
          <w:p>
            <w:pPr>
              <w:jc w:val="left"/>
            </w:pPr>
            <w:r/>
            <w:r>
              <w:rPr>
                <w:rFonts w:ascii="Arial" w:hAnsi="Arial" w:eastAsia="Arial"/>
                <w:b w:val="0"/>
                <w:i w:val="0"/>
                <w:sz w:val="12"/>
              </w:rPr>
              <w:t>IA y Big Data Aplicados al E-commerce de Pequ</w:t>
            </w:r>
          </w:p>
        </w:tc>
        <w:tc>
          <w:tcPr>
            <w:tcW w:type="dxa" w:w="1368"/>
            <w:vAlign w:val="center"/>
          </w:tcPr>
          <w:p>
            <w:pPr>
              <w:jc w:val="left"/>
            </w:pPr>
            <w:r/>
            <w:r>
              <w:rPr>
                <w:rFonts w:ascii="Arial" w:hAnsi="Arial" w:eastAsia="Arial"/>
                <w:b w:val="0"/>
                <w:i w:val="0"/>
                <w:sz w:val="12"/>
              </w:rPr>
              <w:t>Desempeño Comercial y Competitivo del E-comme</w:t>
            </w:r>
          </w:p>
        </w:tc>
        <w:tc>
          <w:tcPr>
            <w:tcW w:type="dxa" w:w="1080"/>
            <w:vAlign w:val="center"/>
          </w:tcPr>
          <w:p>
            <w:pPr>
              <w:jc w:val="left"/>
            </w:pPr>
            <w:r/>
            <w:r>
              <w:rPr>
                <w:rFonts w:ascii="Arial" w:hAnsi="Arial" w:eastAsia="Arial"/>
                <w:b w:val="0"/>
                <w:i w:val="0"/>
                <w:sz w:val="12"/>
              </w:rPr>
              <w:t>Resultados según indicadores y análisis del artícu</w:t>
            </w:r>
          </w:p>
        </w:tc>
        <w:tc>
          <w:tcPr>
            <w:tcW w:type="dxa" w:w="504"/>
            <w:vAlign w:val="center"/>
          </w:tcPr>
          <w:p>
            <w:pPr>
              <w:jc w:val="center"/>
            </w:pPr>
            <w:r/>
            <w:r>
              <w:rPr>
                <w:rFonts w:ascii="Arial" w:hAnsi="Arial" w:eastAsia="Arial"/>
                <w:b w:val="0"/>
                <w:i w:val="0"/>
                <w:sz w:val="12"/>
              </w:rPr>
              <w:t>5</w:t>
            </w:r>
          </w:p>
        </w:tc>
      </w:tr>
    </w:tbl>
    <w:p>
      <w:r>
        <w:br w:type="page"/>
      </w:r>
    </w:p>
    <w:p>
      <w:pPr>
        <w:spacing w:before="160" w:after="80"/>
        <w:jc w:val="center"/>
      </w:pPr>
      <w:r>
        <w:rPr>
          <w:rFonts w:ascii="Arial" w:hAnsi="Arial" w:eastAsia="Arial"/>
          <w:b/>
          <w:i w:val="0"/>
          <w:sz w:val="24"/>
        </w:rPr>
        <w:t>ANEXO — MATRIZ DE TRAZABILIDAD FUNCIONAL (43 ARTÍCULOS)</w:t>
      </w:r>
    </w:p>
    <w:p>
      <w:pPr>
        <w:spacing w:before="0" w:after="120"/>
        <w:jc w:val="center"/>
      </w:pPr>
      <w:r>
        <w:rPr>
          <w:rFonts w:ascii="Arial" w:hAnsi="Arial" w:eastAsia="Arial"/>
          <w:b w:val="0"/>
          <w:i/>
          <w:sz w:val="18"/>
        </w:rPr>
        <w:t>Relación entre cada artículo del estado del arte y el componente operativo del sistema Calzatura Vilchez implementado y desplegado.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center"/>
            <w:shd w:fill="1F4E79" w:val="clear" w:color="auto"/>
          </w:tcPr>
          <w:p>
            <w:pPr>
              <w:jc w:val="center"/>
            </w:pPr>
            <w:r/>
            <w:r>
              <w:rPr>
                <w:rFonts w:ascii="Arial" w:hAnsi="Arial" w:eastAsia="Arial"/>
                <w:b/>
                <w:i w:val="0"/>
                <w:color w:val="FFFFFF"/>
                <w:sz w:val="16"/>
              </w:rPr>
              <w:t>N.°</w:t>
            </w:r>
          </w:p>
        </w:tc>
        <w:tc>
          <w:tcPr>
            <w:tcW w:type="dxa" w:w="3168"/>
            <w:vAlign w:val="center"/>
            <w:shd w:fill="1F4E79" w:val="clear" w:color="auto"/>
          </w:tcPr>
          <w:p>
            <w:pPr>
              <w:jc w:val="center"/>
            </w:pPr>
            <w:r/>
            <w:r>
              <w:rPr>
                <w:rFonts w:ascii="Arial" w:hAnsi="Arial" w:eastAsia="Arial"/>
                <w:b/>
                <w:i w:val="0"/>
                <w:color w:val="FFFFFF"/>
                <w:sz w:val="16"/>
              </w:rPr>
              <w:t>Artículo</w:t>
            </w:r>
          </w:p>
        </w:tc>
        <w:tc>
          <w:tcPr>
            <w:tcW w:type="dxa" w:w="1584"/>
            <w:vAlign w:val="center"/>
            <w:shd w:fill="1F4E79" w:val="clear" w:color="auto"/>
          </w:tcPr>
          <w:p>
            <w:pPr>
              <w:jc w:val="center"/>
            </w:pPr>
            <w:r/>
            <w:r>
              <w:rPr>
                <w:rFonts w:ascii="Arial" w:hAnsi="Arial" w:eastAsia="Arial"/>
                <w:b/>
                <w:i w:val="0"/>
                <w:color w:val="FFFFFF"/>
                <w:sz w:val="16"/>
              </w:rPr>
              <w:t>Eje</w:t>
            </w:r>
          </w:p>
        </w:tc>
        <w:tc>
          <w:tcPr>
            <w:tcW w:type="dxa" w:w="5040"/>
            <w:vAlign w:val="center"/>
            <w:shd w:fill="1F4E79" w:val="clear" w:color="auto"/>
          </w:tcPr>
          <w:p>
            <w:pPr>
              <w:jc w:val="center"/>
            </w:pPr>
            <w:r/>
            <w:r>
              <w:rPr>
                <w:rFonts w:ascii="Arial" w:hAnsi="Arial" w:eastAsia="Arial"/>
                <w:b/>
                <w:i w:val="0"/>
                <w:color w:val="FFFFFF"/>
                <w:sz w:val="16"/>
              </w:rPr>
              <w:t>Evidencia funcional en sistema</w:t>
            </w:r>
          </w:p>
        </w:tc>
      </w:tr>
      <w:tr>
        <w:tc>
          <w:tcPr>
            <w:tcW w:type="dxa" w:w="648"/>
            <w:vAlign w:val="center"/>
          </w:tcPr>
          <w:p>
            <w:pPr>
              <w:jc w:val="center"/>
            </w:pPr>
            <w:r/>
            <w:r>
              <w:rPr>
                <w:rFonts w:ascii="Arial" w:hAnsi="Arial" w:eastAsia="Arial"/>
                <w:b w:val="0"/>
                <w:i w:val="0"/>
                <w:sz w:val="15"/>
              </w:rPr>
              <w:t>01</w:t>
            </w:r>
          </w:p>
        </w:tc>
        <w:tc>
          <w:tcPr>
            <w:tcW w:type="dxa" w:w="3168"/>
            <w:vAlign w:val="center"/>
          </w:tcPr>
          <w:p>
            <w:pPr>
              <w:jc w:val="left"/>
            </w:pPr>
            <w:r/>
            <w:r>
              <w:rPr>
                <w:rFonts w:ascii="Arial" w:hAnsi="Arial" w:eastAsia="Arial"/>
                <w:b w:val="0"/>
                <w:i w:val="0"/>
                <w:sz w:val="14"/>
              </w:rPr>
              <w:t>Digital transformation: A multidisciplinary reflection and research agen…</w:t>
            </w:r>
          </w:p>
        </w:tc>
        <w:tc>
          <w:tcPr>
            <w:tcW w:type="dxa" w:w="1584"/>
            <w:vAlign w:val="center"/>
          </w:tcPr>
          <w:p>
            <w:pPr>
              <w:jc w:val="center"/>
            </w:pPr>
            <w:r/>
            <w:r>
              <w:rPr>
                <w:rFonts w:ascii="Arial" w:hAnsi="Arial" w:eastAsia="Arial"/>
                <w:b w:val="0"/>
                <w:i w:val="0"/>
                <w:sz w:val="15"/>
              </w:rPr>
              <w:t>1</w:t>
            </w:r>
          </w:p>
        </w:tc>
        <w:tc>
          <w:tcPr>
            <w:tcW w:type="dxa" w:w="5040"/>
            <w:vAlign w:val="center"/>
          </w:tcPr>
          <w:p>
            <w:pPr>
              <w:jc w:val="left"/>
            </w:pPr>
            <w:r/>
            <w:r>
              <w:rPr>
                <w:rFonts w:ascii="Arial" w:hAnsi="Arial" w:eastAsia="Arial"/>
                <w:b w:val="0"/>
                <w:i w:val="0"/>
                <w:sz w:val="14"/>
              </w:rPr>
              <w:t>Portal web React 19 (calzatura-vilchez) + app Flutter (calzatura-vilchez-mobile) con catálogo, carrito, checkout, panel admin/trabajador y BFF (bff/server.cjs) sobre Supabase PostgreSQL.</w:t>
            </w:r>
          </w:p>
        </w:tc>
      </w:tr>
      <w:tr>
        <w:tc>
          <w:tcPr>
            <w:tcW w:type="dxa" w:w="648"/>
            <w:vAlign w:val="center"/>
            <w:shd w:fill="F8F9F9" w:val="clear" w:color="auto"/>
          </w:tcPr>
          <w:p>
            <w:pPr>
              <w:jc w:val="center"/>
            </w:pPr>
            <w:r/>
            <w:r>
              <w:rPr>
                <w:rFonts w:ascii="Arial" w:hAnsi="Arial" w:eastAsia="Arial"/>
                <w:b w:val="0"/>
                <w:i w:val="0"/>
                <w:sz w:val="15"/>
              </w:rPr>
              <w:t>02</w:t>
            </w:r>
          </w:p>
        </w:tc>
        <w:tc>
          <w:tcPr>
            <w:tcW w:type="dxa" w:w="3168"/>
            <w:vAlign w:val="center"/>
            <w:shd w:fill="F8F9F9" w:val="clear" w:color="auto"/>
          </w:tcPr>
          <w:p>
            <w:pPr>
              <w:jc w:val="left"/>
            </w:pPr>
            <w:r/>
            <w:r>
              <w:rPr>
                <w:rFonts w:ascii="Arial" w:hAnsi="Arial" w:eastAsia="Arial"/>
                <w:b w:val="0"/>
                <w:i w:val="0"/>
                <w:sz w:val="14"/>
              </w:rPr>
              <w:t>COVID-19 Pandemic: Shifting Digital Transformation to a High-Speed Gear …</w:t>
            </w:r>
          </w:p>
        </w:tc>
        <w:tc>
          <w:tcPr>
            <w:tcW w:type="dxa" w:w="1584"/>
            <w:vAlign w:val="center"/>
            <w:shd w:fill="F8F9F9" w:val="clear" w:color="auto"/>
          </w:tcPr>
          <w:p>
            <w:pPr>
              <w:jc w:val="center"/>
            </w:pPr>
            <w:r/>
            <w:r>
              <w:rPr>
                <w:rFonts w:ascii="Arial" w:hAnsi="Arial" w:eastAsia="Arial"/>
                <w:b w:val="0"/>
                <w:i w:val="0"/>
                <w:sz w:val="15"/>
              </w:rPr>
              <w:t>1</w:t>
            </w:r>
          </w:p>
        </w:tc>
        <w:tc>
          <w:tcPr>
            <w:tcW w:type="dxa" w:w="5040"/>
            <w:vAlign w:val="center"/>
            <w:shd w:fill="F8F9F9" w:val="clear" w:color="auto"/>
          </w:tcPr>
          <w:p>
            <w:pPr>
              <w:jc w:val="left"/>
            </w:pPr>
            <w:r/>
            <w:r>
              <w:rPr>
                <w:rFonts w:ascii="Arial" w:hAnsi="Arial" w:eastAsia="Arial"/>
                <w:b w:val="0"/>
                <w:i w:val="0"/>
                <w:sz w:val="14"/>
              </w:rPr>
              <w:t>Canal digital operativo: pedidos online (Stripe/contraentrega), ventas presenciales en ventasDiarias y continuidad comercial documentada en SRS-Calzatura-Vilchez.md.</w:t>
            </w:r>
          </w:p>
        </w:tc>
      </w:tr>
      <w:tr>
        <w:tc>
          <w:tcPr>
            <w:tcW w:type="dxa" w:w="648"/>
            <w:vAlign w:val="center"/>
          </w:tcPr>
          <w:p>
            <w:pPr>
              <w:jc w:val="center"/>
            </w:pPr>
            <w:r/>
            <w:r>
              <w:rPr>
                <w:rFonts w:ascii="Arial" w:hAnsi="Arial" w:eastAsia="Arial"/>
                <w:b w:val="0"/>
                <w:i w:val="0"/>
                <w:sz w:val="15"/>
              </w:rPr>
              <w:t>03</w:t>
            </w:r>
          </w:p>
        </w:tc>
        <w:tc>
          <w:tcPr>
            <w:tcW w:type="dxa" w:w="3168"/>
            <w:vAlign w:val="center"/>
          </w:tcPr>
          <w:p>
            <w:pPr>
              <w:jc w:val="left"/>
            </w:pPr>
            <w:r/>
            <w:r>
              <w:rPr>
                <w:rFonts w:ascii="Arial" w:hAnsi="Arial" w:eastAsia="Arial"/>
                <w:b w:val="0"/>
                <w:i w:val="0"/>
                <w:sz w:val="14"/>
              </w:rPr>
              <w:t>Digital Innovation Management: Reinventing Innovation Management Researc…</w:t>
            </w:r>
          </w:p>
        </w:tc>
        <w:tc>
          <w:tcPr>
            <w:tcW w:type="dxa" w:w="1584"/>
            <w:vAlign w:val="center"/>
          </w:tcPr>
          <w:p>
            <w:pPr>
              <w:jc w:val="center"/>
            </w:pPr>
            <w:r/>
            <w:r>
              <w:rPr>
                <w:rFonts w:ascii="Arial" w:hAnsi="Arial" w:eastAsia="Arial"/>
                <w:b w:val="0"/>
                <w:i w:val="0"/>
                <w:sz w:val="15"/>
              </w:rPr>
              <w:t>1</w:t>
            </w:r>
          </w:p>
        </w:tc>
        <w:tc>
          <w:tcPr>
            <w:tcW w:type="dxa" w:w="5040"/>
            <w:vAlign w:val="center"/>
          </w:tcPr>
          <w:p>
            <w:pPr>
              <w:jc w:val="left"/>
            </w:pPr>
            <w:r/>
            <w:r>
              <w:rPr>
                <w:rFonts w:ascii="Arial" w:hAnsi="Arial" w:eastAsia="Arial"/>
                <w:b w:val="0"/>
                <w:i w:val="0"/>
                <w:sz w:val="14"/>
              </w:rPr>
              <w:t>Desarrollo iterativo con CI (GitHub Actions), despliegue en Render (BFF + ai-service) y releases móviles APK; adopción medible por módulos activos en producción.</w:t>
            </w:r>
          </w:p>
        </w:tc>
      </w:tr>
      <w:tr>
        <w:tc>
          <w:tcPr>
            <w:tcW w:type="dxa" w:w="648"/>
            <w:vAlign w:val="center"/>
            <w:shd w:fill="F8F9F9" w:val="clear" w:color="auto"/>
          </w:tcPr>
          <w:p>
            <w:pPr>
              <w:jc w:val="center"/>
            </w:pPr>
            <w:r/>
            <w:r>
              <w:rPr>
                <w:rFonts w:ascii="Arial" w:hAnsi="Arial" w:eastAsia="Arial"/>
                <w:b w:val="0"/>
                <w:i w:val="0"/>
                <w:sz w:val="15"/>
              </w:rPr>
              <w:t>04</w:t>
            </w:r>
          </w:p>
        </w:tc>
        <w:tc>
          <w:tcPr>
            <w:tcW w:type="dxa" w:w="3168"/>
            <w:vAlign w:val="center"/>
            <w:shd w:fill="F8F9F9" w:val="clear" w:color="auto"/>
          </w:tcPr>
          <w:p>
            <w:pPr>
              <w:jc w:val="left"/>
            </w:pPr>
            <w:r/>
            <w:r>
              <w:rPr>
                <w:rFonts w:ascii="Arial" w:hAnsi="Arial" w:eastAsia="Arial"/>
                <w:b w:val="0"/>
                <w:i w:val="0"/>
                <w:sz w:val="14"/>
              </w:rPr>
              <w:t>The digital transformation of business models in the creative industries</w:t>
            </w:r>
          </w:p>
        </w:tc>
        <w:tc>
          <w:tcPr>
            <w:tcW w:type="dxa" w:w="1584"/>
            <w:vAlign w:val="center"/>
            <w:shd w:fill="F8F9F9" w:val="clear" w:color="auto"/>
          </w:tcPr>
          <w:p>
            <w:pPr>
              <w:jc w:val="center"/>
            </w:pPr>
            <w:r/>
            <w:r>
              <w:rPr>
                <w:rFonts w:ascii="Arial" w:hAnsi="Arial" w:eastAsia="Arial"/>
                <w:b w:val="0"/>
                <w:i w:val="0"/>
                <w:sz w:val="15"/>
              </w:rPr>
              <w:t>1</w:t>
            </w:r>
          </w:p>
        </w:tc>
        <w:tc>
          <w:tcPr>
            <w:tcW w:type="dxa" w:w="5040"/>
            <w:vAlign w:val="center"/>
            <w:shd w:fill="F8F9F9" w:val="clear" w:color="auto"/>
          </w:tcPr>
          <w:p>
            <w:pPr>
              <w:jc w:val="left"/>
            </w:pPr>
            <w:r/>
            <w:r>
              <w:rPr>
                <w:rFonts w:ascii="Arial" w:hAnsi="Arial" w:eastAsia="Arial"/>
                <w:b w:val="0"/>
                <w:i w:val="0"/>
                <w:sz w:val="14"/>
              </w:rPr>
              <w:t>Transformación del modelo presencial a omnicanal: catálogo público (domains/productos), tiendas físicas (domains/público) y ventas integradas vía BFF.</w:t>
            </w:r>
          </w:p>
        </w:tc>
      </w:tr>
      <w:tr>
        <w:tc>
          <w:tcPr>
            <w:tcW w:type="dxa" w:w="648"/>
            <w:vAlign w:val="center"/>
          </w:tcPr>
          <w:p>
            <w:pPr>
              <w:jc w:val="center"/>
            </w:pPr>
            <w:r/>
            <w:r>
              <w:rPr>
                <w:rFonts w:ascii="Arial" w:hAnsi="Arial" w:eastAsia="Arial"/>
                <w:b w:val="0"/>
                <w:i w:val="0"/>
                <w:sz w:val="15"/>
              </w:rPr>
              <w:t>05</w:t>
            </w:r>
          </w:p>
        </w:tc>
        <w:tc>
          <w:tcPr>
            <w:tcW w:type="dxa" w:w="3168"/>
            <w:vAlign w:val="center"/>
          </w:tcPr>
          <w:p>
            <w:pPr>
              <w:jc w:val="left"/>
            </w:pPr>
            <w:r/>
            <w:r>
              <w:rPr>
                <w:rFonts w:ascii="Arial" w:hAnsi="Arial" w:eastAsia="Arial"/>
                <w:b w:val="0"/>
                <w:i w:val="0"/>
                <w:sz w:val="14"/>
              </w:rPr>
              <w:t>Why do small and medium enterprises use social media marketing and what …</w:t>
            </w:r>
          </w:p>
        </w:tc>
        <w:tc>
          <w:tcPr>
            <w:tcW w:type="dxa" w:w="1584"/>
            <w:vAlign w:val="center"/>
          </w:tcPr>
          <w:p>
            <w:pPr>
              <w:jc w:val="center"/>
            </w:pPr>
            <w:r/>
            <w:r>
              <w:rPr>
                <w:rFonts w:ascii="Arial" w:hAnsi="Arial" w:eastAsia="Arial"/>
                <w:b w:val="0"/>
                <w:i w:val="0"/>
                <w:sz w:val="15"/>
              </w:rPr>
              <w:t>1</w:t>
            </w:r>
          </w:p>
        </w:tc>
        <w:tc>
          <w:tcPr>
            <w:tcW w:type="dxa" w:w="5040"/>
            <w:vAlign w:val="center"/>
          </w:tcPr>
          <w:p>
            <w:pPr>
              <w:jc w:val="left"/>
            </w:pPr>
            <w:r/>
            <w:r>
              <w:rPr>
                <w:rFonts w:ascii="Arial" w:hAnsi="Arial" w:eastAsia="Arial"/>
                <w:b w:val="0"/>
                <w:i w:val="0"/>
                <w:sz w:val="14"/>
              </w:rPr>
              <w:t>Módulo de ventas web y móvil (AdminSalesPage/StaffSalesPage) con registro diario, documentos y devoluciones; conversión medible en pedidos y ventasDiarias.</w:t>
            </w:r>
          </w:p>
        </w:tc>
      </w:tr>
      <w:tr>
        <w:tc>
          <w:tcPr>
            <w:tcW w:type="dxa" w:w="648"/>
            <w:vAlign w:val="center"/>
            <w:shd w:fill="F8F9F9" w:val="clear" w:color="auto"/>
          </w:tcPr>
          <w:p>
            <w:pPr>
              <w:jc w:val="center"/>
            </w:pPr>
            <w:r/>
            <w:r>
              <w:rPr>
                <w:rFonts w:ascii="Arial" w:hAnsi="Arial" w:eastAsia="Arial"/>
                <w:b w:val="0"/>
                <w:i w:val="0"/>
                <w:sz w:val="15"/>
              </w:rPr>
              <w:t>06</w:t>
            </w:r>
          </w:p>
        </w:tc>
        <w:tc>
          <w:tcPr>
            <w:tcW w:type="dxa" w:w="3168"/>
            <w:vAlign w:val="center"/>
            <w:shd w:fill="F8F9F9" w:val="clear" w:color="auto"/>
          </w:tcPr>
          <w:p>
            <w:pPr>
              <w:jc w:val="left"/>
            </w:pPr>
            <w:r/>
            <w:r>
              <w:rPr>
                <w:rFonts w:ascii="Arial" w:hAnsi="Arial" w:eastAsia="Arial"/>
                <w:b w:val="0"/>
                <w:i w:val="0"/>
                <w:sz w:val="14"/>
              </w:rPr>
              <w:t>Digital marketing: A framework, review and research agenda</w:t>
            </w:r>
          </w:p>
        </w:tc>
        <w:tc>
          <w:tcPr>
            <w:tcW w:type="dxa" w:w="1584"/>
            <w:vAlign w:val="center"/>
            <w:shd w:fill="F8F9F9" w:val="clear" w:color="auto"/>
          </w:tcPr>
          <w:p>
            <w:pPr>
              <w:jc w:val="center"/>
            </w:pPr>
            <w:r/>
            <w:r>
              <w:rPr>
                <w:rFonts w:ascii="Arial" w:hAnsi="Arial" w:eastAsia="Arial"/>
                <w:b w:val="0"/>
                <w:i w:val="0"/>
                <w:sz w:val="15"/>
              </w:rPr>
              <w:t>1</w:t>
            </w:r>
          </w:p>
        </w:tc>
        <w:tc>
          <w:tcPr>
            <w:tcW w:type="dxa" w:w="5040"/>
            <w:vAlign w:val="center"/>
            <w:shd w:fill="F8F9F9" w:val="clear" w:color="auto"/>
          </w:tcPr>
          <w:p>
            <w:pPr>
              <w:jc w:val="left"/>
            </w:pPr>
            <w:r/>
            <w:r>
              <w:rPr>
                <w:rFonts w:ascii="Arial" w:hAnsi="Arial" w:eastAsia="Arial"/>
                <w:b w:val="0"/>
                <w:i w:val="0"/>
                <w:sz w:val="14"/>
              </w:rPr>
              <w:t>Catálogo con filtros, favoritos (tabla favoritos vía BFF /favorites), carrito en sessionStorage y checkout; métricas de conversión extraíbles de pedidos pagados.</w:t>
            </w:r>
          </w:p>
        </w:tc>
      </w:tr>
      <w:tr>
        <w:tc>
          <w:tcPr>
            <w:tcW w:type="dxa" w:w="648"/>
            <w:vAlign w:val="center"/>
          </w:tcPr>
          <w:p>
            <w:pPr>
              <w:jc w:val="center"/>
            </w:pPr>
            <w:r/>
            <w:r>
              <w:rPr>
                <w:rFonts w:ascii="Arial" w:hAnsi="Arial" w:eastAsia="Arial"/>
                <w:b w:val="0"/>
                <w:i w:val="0"/>
                <w:sz w:val="15"/>
              </w:rPr>
              <w:t>07</w:t>
            </w:r>
          </w:p>
        </w:tc>
        <w:tc>
          <w:tcPr>
            <w:tcW w:type="dxa" w:w="3168"/>
            <w:vAlign w:val="center"/>
          </w:tcPr>
          <w:p>
            <w:pPr>
              <w:jc w:val="left"/>
            </w:pPr>
            <w:r/>
            <w:r>
              <w:rPr>
                <w:rFonts w:ascii="Arial" w:hAnsi="Arial" w:eastAsia="Arial"/>
                <w:b w:val="0"/>
                <w:i w:val="0"/>
                <w:sz w:val="14"/>
              </w:rPr>
              <w:t>The impact of digital transformation on the retailing value chain</w:t>
            </w:r>
          </w:p>
        </w:tc>
        <w:tc>
          <w:tcPr>
            <w:tcW w:type="dxa" w:w="1584"/>
            <w:vAlign w:val="center"/>
          </w:tcPr>
          <w:p>
            <w:pPr>
              <w:jc w:val="center"/>
            </w:pPr>
            <w:r/>
            <w:r>
              <w:rPr>
                <w:rFonts w:ascii="Arial" w:hAnsi="Arial" w:eastAsia="Arial"/>
                <w:b w:val="0"/>
                <w:i w:val="0"/>
                <w:sz w:val="15"/>
              </w:rPr>
              <w:t>1</w:t>
            </w:r>
          </w:p>
        </w:tc>
        <w:tc>
          <w:tcPr>
            <w:tcW w:type="dxa" w:w="5040"/>
            <w:vAlign w:val="center"/>
          </w:tcPr>
          <w:p>
            <w:pPr>
              <w:jc w:val="left"/>
            </w:pPr>
            <w:r/>
            <w:r>
              <w:rPr>
                <w:rFonts w:ascii="Arial" w:hAnsi="Arial" w:eastAsia="Arial"/>
                <w:b w:val="0"/>
                <w:i w:val="0"/>
                <w:sz w:val="14"/>
              </w:rPr>
              <w:t>Cadena de valor digitalizada: productos → stock por talla/color → pedidos → fulfillment; integración API REST entre frontend, BFF, Supabase y Stripe.</w:t>
            </w:r>
          </w:p>
        </w:tc>
      </w:tr>
      <w:tr>
        <w:tc>
          <w:tcPr>
            <w:tcW w:type="dxa" w:w="648"/>
            <w:vAlign w:val="center"/>
            <w:shd w:fill="F8F9F9" w:val="clear" w:color="auto"/>
          </w:tcPr>
          <w:p>
            <w:pPr>
              <w:jc w:val="center"/>
            </w:pPr>
            <w:r/>
            <w:r>
              <w:rPr>
                <w:rFonts w:ascii="Arial" w:hAnsi="Arial" w:eastAsia="Arial"/>
                <w:b w:val="0"/>
                <w:i w:val="0"/>
                <w:sz w:val="15"/>
              </w:rPr>
              <w:t>08</w:t>
            </w:r>
          </w:p>
        </w:tc>
        <w:tc>
          <w:tcPr>
            <w:tcW w:type="dxa" w:w="3168"/>
            <w:vAlign w:val="center"/>
            <w:shd w:fill="F8F9F9" w:val="clear" w:color="auto"/>
          </w:tcPr>
          <w:p>
            <w:pPr>
              <w:jc w:val="left"/>
            </w:pPr>
            <w:r/>
            <w:r>
              <w:rPr>
                <w:rFonts w:ascii="Arial" w:hAnsi="Arial" w:eastAsia="Arial"/>
                <w:b w:val="0"/>
                <w:i w:val="0"/>
                <w:sz w:val="14"/>
              </w:rPr>
              <w:t>The digitalization of retailing: An exploratory framework</w:t>
            </w:r>
          </w:p>
        </w:tc>
        <w:tc>
          <w:tcPr>
            <w:tcW w:type="dxa" w:w="1584"/>
            <w:vAlign w:val="center"/>
            <w:shd w:fill="F8F9F9" w:val="clear" w:color="auto"/>
          </w:tcPr>
          <w:p>
            <w:pPr>
              <w:jc w:val="center"/>
            </w:pPr>
            <w:r/>
            <w:r>
              <w:rPr>
                <w:rFonts w:ascii="Arial" w:hAnsi="Arial" w:eastAsia="Arial"/>
                <w:b w:val="0"/>
                <w:i w:val="0"/>
                <w:sz w:val="15"/>
              </w:rPr>
              <w:t>1</w:t>
            </w:r>
          </w:p>
        </w:tc>
        <w:tc>
          <w:tcPr>
            <w:tcW w:type="dxa" w:w="5040"/>
            <w:vAlign w:val="center"/>
            <w:shd w:fill="F8F9F9" w:val="clear" w:color="auto"/>
          </w:tcPr>
          <w:p>
            <w:pPr>
              <w:jc w:val="left"/>
            </w:pPr>
            <w:r/>
            <w:r>
              <w:rPr>
                <w:rFonts w:ascii="Arial" w:hAnsi="Arial" w:eastAsia="Arial"/>
                <w:b w:val="0"/>
                <w:i w:val="0"/>
                <w:sz w:val="14"/>
              </w:rPr>
              <w:t>SKUs publicados en canal online (tabla productos + productoCodigos); punto de venta digital con panel de ventas admin/staff y búsqueda por marca/código.</w:t>
            </w:r>
          </w:p>
        </w:tc>
      </w:tr>
      <w:tr>
        <w:tc>
          <w:tcPr>
            <w:tcW w:type="dxa" w:w="648"/>
            <w:vAlign w:val="center"/>
          </w:tcPr>
          <w:p>
            <w:pPr>
              <w:jc w:val="center"/>
            </w:pPr>
            <w:r/>
            <w:r>
              <w:rPr>
                <w:rFonts w:ascii="Arial" w:hAnsi="Arial" w:eastAsia="Arial"/>
                <w:b w:val="0"/>
                <w:i w:val="0"/>
                <w:sz w:val="15"/>
              </w:rPr>
              <w:t>09</w:t>
            </w:r>
          </w:p>
        </w:tc>
        <w:tc>
          <w:tcPr>
            <w:tcW w:type="dxa" w:w="3168"/>
            <w:vAlign w:val="center"/>
          </w:tcPr>
          <w:p>
            <w:pPr>
              <w:jc w:val="left"/>
            </w:pPr>
            <w:r/>
            <w:r>
              <w:rPr>
                <w:rFonts w:ascii="Arial" w:hAnsi="Arial" w:eastAsia="Arial"/>
                <w:b w:val="0"/>
                <w:i w:val="0"/>
                <w:sz w:val="14"/>
              </w:rPr>
              <w:t>Artificial intelligence for decision making in the era of Big Data</w:t>
            </w:r>
          </w:p>
        </w:tc>
        <w:tc>
          <w:tcPr>
            <w:tcW w:type="dxa" w:w="1584"/>
            <w:vAlign w:val="center"/>
          </w:tcPr>
          <w:p>
            <w:pPr>
              <w:jc w:val="center"/>
            </w:pPr>
            <w:r/>
            <w:r>
              <w:rPr>
                <w:rFonts w:ascii="Arial" w:hAnsi="Arial" w:eastAsia="Arial"/>
                <w:b w:val="0"/>
                <w:i w:val="0"/>
                <w:sz w:val="15"/>
              </w:rPr>
              <w:t>2</w:t>
            </w:r>
          </w:p>
        </w:tc>
        <w:tc>
          <w:tcPr>
            <w:tcW w:type="dxa" w:w="5040"/>
            <w:vAlign w:val="center"/>
          </w:tcPr>
          <w:p>
            <w:pPr>
              <w:jc w:val="left"/>
            </w:pPr>
            <w:r/>
            <w:r>
              <w:rPr>
                <w:rFonts w:ascii="Arial" w:hAnsi="Arial" w:eastAsia="Arial"/>
                <w:b w:val="0"/>
                <w:i w:val="0"/>
                <w:sz w:val="14"/>
              </w:rPr>
              <w:t>Servicio IA FastAPI (ai-service/main.py) con endpoints /api/predict/demand y /api/predict/combined; métricas MAE/accuracy en modelo_estado (Supabase).</w:t>
            </w:r>
          </w:p>
        </w:tc>
      </w:tr>
      <w:tr>
        <w:tc>
          <w:tcPr>
            <w:tcW w:type="dxa" w:w="648"/>
            <w:vAlign w:val="center"/>
            <w:shd w:fill="F8F9F9" w:val="clear" w:color="auto"/>
          </w:tcPr>
          <w:p>
            <w:pPr>
              <w:jc w:val="center"/>
            </w:pPr>
            <w:r/>
            <w:r>
              <w:rPr>
                <w:rFonts w:ascii="Arial" w:hAnsi="Arial" w:eastAsia="Arial"/>
                <w:b w:val="0"/>
                <w:i w:val="0"/>
                <w:sz w:val="15"/>
              </w:rPr>
              <w:t>10</w:t>
            </w:r>
          </w:p>
        </w:tc>
        <w:tc>
          <w:tcPr>
            <w:tcW w:type="dxa" w:w="3168"/>
            <w:vAlign w:val="center"/>
            <w:shd w:fill="F8F9F9" w:val="clear" w:color="auto"/>
          </w:tcPr>
          <w:p>
            <w:pPr>
              <w:jc w:val="left"/>
            </w:pPr>
            <w:r/>
            <w:r>
              <w:rPr>
                <w:rFonts w:ascii="Arial" w:hAnsi="Arial" w:eastAsia="Arial"/>
                <w:b w:val="0"/>
                <w:i w:val="0"/>
                <w:sz w:val="14"/>
              </w:rPr>
              <w:t>How artificial intelligence will change the future of marketing</w:t>
            </w:r>
          </w:p>
        </w:tc>
        <w:tc>
          <w:tcPr>
            <w:tcW w:type="dxa" w:w="1584"/>
            <w:vAlign w:val="center"/>
            <w:shd w:fill="F8F9F9" w:val="clear" w:color="auto"/>
          </w:tcPr>
          <w:p>
            <w:pPr>
              <w:jc w:val="center"/>
            </w:pPr>
            <w:r/>
            <w:r>
              <w:rPr>
                <w:rFonts w:ascii="Arial" w:hAnsi="Arial" w:eastAsia="Arial"/>
                <w:b w:val="0"/>
                <w:i w:val="0"/>
                <w:sz w:val="15"/>
              </w:rPr>
              <w:t>2</w:t>
            </w:r>
          </w:p>
        </w:tc>
        <w:tc>
          <w:tcPr>
            <w:tcW w:type="dxa" w:w="5040"/>
            <w:vAlign w:val="center"/>
            <w:shd w:fill="F8F9F9" w:val="clear" w:color="auto"/>
          </w:tcPr>
          <w:p>
            <w:pPr>
              <w:jc w:val="left"/>
            </w:pPr>
            <w:r/>
            <w:r>
              <w:rPr>
                <w:rFonts w:ascii="Arial" w:hAnsi="Arial" w:eastAsia="Arial"/>
                <w:b w:val="0"/>
                <w:i w:val="0"/>
                <w:sz w:val="14"/>
              </w:rPr>
              <w:t>Panel ejecutivo admin consume predicciones IA; recomendaciones de stock y demanda visibles en dashboard web (domains/administradores).</w:t>
            </w:r>
          </w:p>
        </w:tc>
      </w:tr>
      <w:tr>
        <w:tc>
          <w:tcPr>
            <w:tcW w:type="dxa" w:w="648"/>
            <w:vAlign w:val="center"/>
          </w:tcPr>
          <w:p>
            <w:pPr>
              <w:jc w:val="center"/>
            </w:pPr>
            <w:r/>
            <w:r>
              <w:rPr>
                <w:rFonts w:ascii="Arial" w:hAnsi="Arial" w:eastAsia="Arial"/>
                <w:b w:val="0"/>
                <w:i w:val="0"/>
                <w:sz w:val="15"/>
              </w:rPr>
              <w:t>11</w:t>
            </w:r>
          </w:p>
        </w:tc>
        <w:tc>
          <w:tcPr>
            <w:tcW w:type="dxa" w:w="3168"/>
            <w:vAlign w:val="center"/>
          </w:tcPr>
          <w:p>
            <w:pPr>
              <w:jc w:val="left"/>
            </w:pPr>
            <w:r/>
            <w:r>
              <w:rPr>
                <w:rFonts w:ascii="Arial" w:hAnsi="Arial" w:eastAsia="Arial"/>
                <w:b w:val="0"/>
                <w:i w:val="0"/>
                <w:sz w:val="14"/>
              </w:rPr>
              <w:t>Organizational decision-making structures in the age of artificial intel…</w:t>
            </w:r>
          </w:p>
        </w:tc>
        <w:tc>
          <w:tcPr>
            <w:tcW w:type="dxa" w:w="1584"/>
            <w:vAlign w:val="center"/>
          </w:tcPr>
          <w:p>
            <w:pPr>
              <w:jc w:val="center"/>
            </w:pPr>
            <w:r/>
            <w:r>
              <w:rPr>
                <w:rFonts w:ascii="Arial" w:hAnsi="Arial" w:eastAsia="Arial"/>
                <w:b w:val="0"/>
                <w:i w:val="0"/>
                <w:sz w:val="15"/>
              </w:rPr>
              <w:t>2</w:t>
            </w:r>
          </w:p>
        </w:tc>
        <w:tc>
          <w:tcPr>
            <w:tcW w:type="dxa" w:w="5040"/>
            <w:vAlign w:val="center"/>
          </w:tcPr>
          <w:p>
            <w:pPr>
              <w:jc w:val="left"/>
            </w:pPr>
            <w:r/>
            <w:r>
              <w:rPr>
                <w:rFonts w:ascii="Arial" w:hAnsi="Arial" w:eastAsia="Arial"/>
                <w:b w:val="0"/>
                <w:i w:val="0"/>
                <w:sz w:val="14"/>
              </w:rPr>
              <w:t>IRE (compute_ire en models/risk.py) asiste decisiones gerenciales: alertas de stock, riesgo por dimensión y nivel Bajo/Moderado/Alto/Crítico.</w:t>
            </w:r>
          </w:p>
        </w:tc>
      </w:tr>
      <w:tr>
        <w:tc>
          <w:tcPr>
            <w:tcW w:type="dxa" w:w="648"/>
            <w:vAlign w:val="center"/>
            <w:shd w:fill="F8F9F9" w:val="clear" w:color="auto"/>
          </w:tcPr>
          <w:p>
            <w:pPr>
              <w:jc w:val="center"/>
            </w:pPr>
            <w:r/>
            <w:r>
              <w:rPr>
                <w:rFonts w:ascii="Arial" w:hAnsi="Arial" w:eastAsia="Arial"/>
                <w:b w:val="0"/>
                <w:i w:val="0"/>
                <w:sz w:val="15"/>
              </w:rPr>
              <w:t>12</w:t>
            </w:r>
          </w:p>
        </w:tc>
        <w:tc>
          <w:tcPr>
            <w:tcW w:type="dxa" w:w="3168"/>
            <w:vAlign w:val="center"/>
            <w:shd w:fill="F8F9F9" w:val="clear" w:color="auto"/>
          </w:tcPr>
          <w:p>
            <w:pPr>
              <w:jc w:val="left"/>
            </w:pPr>
            <w:r/>
            <w:r>
              <w:rPr>
                <w:rFonts w:ascii="Arial" w:hAnsi="Arial" w:eastAsia="Arial"/>
                <w:b w:val="0"/>
                <w:i w:val="0"/>
                <w:sz w:val="14"/>
              </w:rPr>
              <w:t>Big data analytics and firm performance: Effects of dynamic capabilities</w:t>
            </w:r>
          </w:p>
        </w:tc>
        <w:tc>
          <w:tcPr>
            <w:tcW w:type="dxa" w:w="1584"/>
            <w:vAlign w:val="center"/>
            <w:shd w:fill="F8F9F9" w:val="clear" w:color="auto"/>
          </w:tcPr>
          <w:p>
            <w:pPr>
              <w:jc w:val="center"/>
            </w:pPr>
            <w:r/>
            <w:r>
              <w:rPr>
                <w:rFonts w:ascii="Arial" w:hAnsi="Arial" w:eastAsia="Arial"/>
                <w:b w:val="0"/>
                <w:i w:val="0"/>
                <w:sz w:val="15"/>
              </w:rPr>
              <w:t>2</w:t>
            </w:r>
          </w:p>
        </w:tc>
        <w:tc>
          <w:tcPr>
            <w:tcW w:type="dxa" w:w="5040"/>
            <w:vAlign w:val="center"/>
            <w:shd w:fill="F8F9F9" w:val="clear" w:color="auto"/>
          </w:tcPr>
          <w:p>
            <w:pPr>
              <w:jc w:val="left"/>
            </w:pPr>
            <w:r/>
            <w:r>
              <w:rPr>
                <w:rFonts w:ascii="Arial" w:hAnsi="Arial" w:eastAsia="Arial"/>
                <w:b w:val="0"/>
                <w:i w:val="0"/>
                <w:sz w:val="14"/>
              </w:rPr>
              <w:t>Pipeline analítico unifica ventasDiarias + pedidos pagados (services/supabase_client.py); modelo RandomForestRegressor en models/demand.py.</w:t>
            </w:r>
          </w:p>
        </w:tc>
      </w:tr>
      <w:tr>
        <w:tc>
          <w:tcPr>
            <w:tcW w:type="dxa" w:w="648"/>
            <w:vAlign w:val="center"/>
          </w:tcPr>
          <w:p>
            <w:pPr>
              <w:jc w:val="center"/>
            </w:pPr>
            <w:r/>
            <w:r>
              <w:rPr>
                <w:rFonts w:ascii="Arial" w:hAnsi="Arial" w:eastAsia="Arial"/>
                <w:b w:val="0"/>
                <w:i w:val="0"/>
                <w:sz w:val="15"/>
              </w:rPr>
              <w:t>13</w:t>
            </w:r>
          </w:p>
        </w:tc>
        <w:tc>
          <w:tcPr>
            <w:tcW w:type="dxa" w:w="3168"/>
            <w:vAlign w:val="center"/>
          </w:tcPr>
          <w:p>
            <w:pPr>
              <w:jc w:val="left"/>
            </w:pPr>
            <w:r/>
            <w:r>
              <w:rPr>
                <w:rFonts w:ascii="Arial" w:hAnsi="Arial" w:eastAsia="Arial"/>
                <w:b w:val="0"/>
                <w:i w:val="0"/>
                <w:sz w:val="14"/>
              </w:rPr>
              <w:t>Statistical and Machine Learning forecasting methods: Concerns and ways …</w:t>
            </w:r>
          </w:p>
        </w:tc>
        <w:tc>
          <w:tcPr>
            <w:tcW w:type="dxa" w:w="1584"/>
            <w:vAlign w:val="center"/>
          </w:tcPr>
          <w:p>
            <w:pPr>
              <w:jc w:val="center"/>
            </w:pPr>
            <w:r/>
            <w:r>
              <w:rPr>
                <w:rFonts w:ascii="Arial" w:hAnsi="Arial" w:eastAsia="Arial"/>
                <w:b w:val="0"/>
                <w:i w:val="0"/>
                <w:sz w:val="15"/>
              </w:rPr>
              <w:t>2</w:t>
            </w:r>
          </w:p>
        </w:tc>
        <w:tc>
          <w:tcPr>
            <w:tcW w:type="dxa" w:w="5040"/>
            <w:vAlign w:val="center"/>
          </w:tcPr>
          <w:p>
            <w:pPr>
              <w:jc w:val="left"/>
            </w:pPr>
            <w:r/>
            <w:r>
              <w:rPr>
                <w:rFonts w:ascii="Arial" w:hAnsi="Arial" w:eastAsia="Arial"/>
                <w:b w:val="0"/>
                <w:i w:val="0"/>
                <w:sz w:val="14"/>
              </w:rPr>
              <w:t>Evaluación con MAE/RMSE en predicción de demanda; comparativa RF vs. métodos clásicos documentada en docs/06-ia/modelo-ia.md.</w:t>
            </w:r>
          </w:p>
        </w:tc>
      </w:tr>
      <w:tr>
        <w:tc>
          <w:tcPr>
            <w:tcW w:type="dxa" w:w="648"/>
            <w:vAlign w:val="center"/>
            <w:shd w:fill="F8F9F9" w:val="clear" w:color="auto"/>
          </w:tcPr>
          <w:p>
            <w:pPr>
              <w:jc w:val="center"/>
            </w:pPr>
            <w:r/>
            <w:r>
              <w:rPr>
                <w:rFonts w:ascii="Arial" w:hAnsi="Arial" w:eastAsia="Arial"/>
                <w:b w:val="0"/>
                <w:i w:val="0"/>
                <w:sz w:val="15"/>
              </w:rPr>
              <w:t>14</w:t>
            </w:r>
          </w:p>
        </w:tc>
        <w:tc>
          <w:tcPr>
            <w:tcW w:type="dxa" w:w="3168"/>
            <w:vAlign w:val="center"/>
            <w:shd w:fill="F8F9F9" w:val="clear" w:color="auto"/>
          </w:tcPr>
          <w:p>
            <w:pPr>
              <w:jc w:val="left"/>
            </w:pPr>
            <w:r/>
            <w:r>
              <w:rPr>
                <w:rFonts w:ascii="Arial" w:hAnsi="Arial" w:eastAsia="Arial"/>
                <w:b w:val="0"/>
                <w:i w:val="0"/>
                <w:sz w:val="14"/>
              </w:rPr>
              <w:t>Retail forecasting: Research and practice</w:t>
            </w:r>
          </w:p>
        </w:tc>
        <w:tc>
          <w:tcPr>
            <w:tcW w:type="dxa" w:w="1584"/>
            <w:vAlign w:val="center"/>
            <w:shd w:fill="F8F9F9" w:val="clear" w:color="auto"/>
          </w:tcPr>
          <w:p>
            <w:pPr>
              <w:jc w:val="center"/>
            </w:pPr>
            <w:r/>
            <w:r>
              <w:rPr>
                <w:rFonts w:ascii="Arial" w:hAnsi="Arial" w:eastAsia="Arial"/>
                <w:b w:val="0"/>
                <w:i w:val="0"/>
                <w:sz w:val="15"/>
              </w:rPr>
              <w:t>2</w:t>
            </w:r>
          </w:p>
        </w:tc>
        <w:tc>
          <w:tcPr>
            <w:tcW w:type="dxa" w:w="5040"/>
            <w:vAlign w:val="center"/>
            <w:shd w:fill="F8F9F9" w:val="clear" w:color="auto"/>
          </w:tcPr>
          <w:p>
            <w:pPr>
              <w:jc w:val="left"/>
            </w:pPr>
            <w:r/>
            <w:r>
              <w:rPr>
                <w:rFonts w:ascii="Arial" w:hAnsi="Arial" w:eastAsia="Arial"/>
                <w:b w:val="0"/>
                <w:i w:val="0"/>
                <w:sz w:val="14"/>
              </w:rPr>
              <w:t>Forecast por producto con horizonte configurable; gráfico semanal de demanda en panel admin; datos históricos desde Supabase.</w:t>
            </w:r>
          </w:p>
        </w:tc>
      </w:tr>
      <w:tr>
        <w:tc>
          <w:tcPr>
            <w:tcW w:type="dxa" w:w="648"/>
            <w:vAlign w:val="center"/>
          </w:tcPr>
          <w:p>
            <w:pPr>
              <w:jc w:val="center"/>
            </w:pPr>
            <w:r/>
            <w:r>
              <w:rPr>
                <w:rFonts w:ascii="Arial" w:hAnsi="Arial" w:eastAsia="Arial"/>
                <w:b w:val="0"/>
                <w:i w:val="0"/>
                <w:sz w:val="15"/>
              </w:rPr>
              <w:t>15</w:t>
            </w:r>
          </w:p>
        </w:tc>
        <w:tc>
          <w:tcPr>
            <w:tcW w:type="dxa" w:w="3168"/>
            <w:vAlign w:val="center"/>
          </w:tcPr>
          <w:p>
            <w:pPr>
              <w:jc w:val="left"/>
            </w:pPr>
            <w:r/>
            <w:r>
              <w:rPr>
                <w:rFonts w:ascii="Arial" w:hAnsi="Arial" w:eastAsia="Arial"/>
                <w:b w:val="0"/>
                <w:i w:val="0"/>
                <w:sz w:val="14"/>
              </w:rPr>
              <w:t>Waiting for a sales renaissance in the fourth industrial revolution: Mac…</w:t>
            </w:r>
          </w:p>
        </w:tc>
        <w:tc>
          <w:tcPr>
            <w:tcW w:type="dxa" w:w="1584"/>
            <w:vAlign w:val="center"/>
          </w:tcPr>
          <w:p>
            <w:pPr>
              <w:jc w:val="center"/>
            </w:pPr>
            <w:r/>
            <w:r>
              <w:rPr>
                <w:rFonts w:ascii="Arial" w:hAnsi="Arial" w:eastAsia="Arial"/>
                <w:b w:val="0"/>
                <w:i w:val="0"/>
                <w:sz w:val="15"/>
              </w:rPr>
              <w:t>2</w:t>
            </w:r>
          </w:p>
        </w:tc>
        <w:tc>
          <w:tcPr>
            <w:tcW w:type="dxa" w:w="5040"/>
            <w:vAlign w:val="center"/>
          </w:tcPr>
          <w:p>
            <w:pPr>
              <w:jc w:val="left"/>
            </w:pPr>
            <w:r/>
            <w:r>
              <w:rPr>
                <w:rFonts w:ascii="Arial" w:hAnsi="Arial" w:eastAsia="Arial"/>
                <w:b w:val="0"/>
                <w:i w:val="0"/>
                <w:sz w:val="14"/>
              </w:rPr>
              <w:t>Módulo ventas con búsqueda DNI (BFF lookupDni.cjs), rangos de precio, historial y documentos PDF; paridad web-móvil vía panel_bff_api.dart.</w:t>
            </w:r>
          </w:p>
        </w:tc>
      </w:tr>
      <w:tr>
        <w:tc>
          <w:tcPr>
            <w:tcW w:type="dxa" w:w="648"/>
            <w:vAlign w:val="center"/>
            <w:shd w:fill="F8F9F9" w:val="clear" w:color="auto"/>
          </w:tcPr>
          <w:p>
            <w:pPr>
              <w:jc w:val="center"/>
            </w:pPr>
            <w:r/>
            <w:r>
              <w:rPr>
                <w:rFonts w:ascii="Arial" w:hAnsi="Arial" w:eastAsia="Arial"/>
                <w:b w:val="0"/>
                <w:i w:val="0"/>
                <w:sz w:val="15"/>
              </w:rPr>
              <w:t>16</w:t>
            </w:r>
          </w:p>
        </w:tc>
        <w:tc>
          <w:tcPr>
            <w:tcW w:type="dxa" w:w="3168"/>
            <w:vAlign w:val="center"/>
            <w:shd w:fill="F8F9F9" w:val="clear" w:color="auto"/>
          </w:tcPr>
          <w:p>
            <w:pPr>
              <w:jc w:val="left"/>
            </w:pPr>
            <w:r/>
            <w:r>
              <w:rPr>
                <w:rFonts w:ascii="Arial" w:hAnsi="Arial" w:eastAsia="Arial"/>
                <w:b w:val="0"/>
                <w:i w:val="0"/>
                <w:sz w:val="14"/>
              </w:rPr>
              <w:t>Artificial intelligence and innovation management: A review, framework, …</w:t>
            </w:r>
          </w:p>
        </w:tc>
        <w:tc>
          <w:tcPr>
            <w:tcW w:type="dxa" w:w="1584"/>
            <w:vAlign w:val="center"/>
            <w:shd w:fill="F8F9F9" w:val="clear" w:color="auto"/>
          </w:tcPr>
          <w:p>
            <w:pPr>
              <w:jc w:val="center"/>
            </w:pPr>
            <w:r/>
            <w:r>
              <w:rPr>
                <w:rFonts w:ascii="Arial" w:hAnsi="Arial" w:eastAsia="Arial"/>
                <w:b w:val="0"/>
                <w:i w:val="0"/>
                <w:sz w:val="15"/>
              </w:rPr>
              <w:t>2</w:t>
            </w:r>
          </w:p>
        </w:tc>
        <w:tc>
          <w:tcPr>
            <w:tcW w:type="dxa" w:w="5040"/>
            <w:vAlign w:val="center"/>
            <w:shd w:fill="F8F9F9" w:val="clear" w:color="auto"/>
          </w:tcPr>
          <w:p>
            <w:pPr>
              <w:jc w:val="left"/>
            </w:pPr>
            <w:r/>
            <w:r>
              <w:rPr>
                <w:rFonts w:ascii="Arial" w:hAnsi="Arial" w:eastAsia="Arial"/>
                <w:b w:val="0"/>
                <w:i w:val="0"/>
                <w:sz w:val="14"/>
              </w:rPr>
              <w:t>Innovación IA integrada al e-commerce: predicción + IRE + alertas sin módulo aislado; ciclo CRISP-ML aplicado en ai-service.</w:t>
            </w:r>
          </w:p>
        </w:tc>
      </w:tr>
      <w:tr>
        <w:tc>
          <w:tcPr>
            <w:tcW w:type="dxa" w:w="648"/>
            <w:vAlign w:val="center"/>
          </w:tcPr>
          <w:p>
            <w:pPr>
              <w:jc w:val="center"/>
            </w:pPr>
            <w:r/>
            <w:r>
              <w:rPr>
                <w:rFonts w:ascii="Arial" w:hAnsi="Arial" w:eastAsia="Arial"/>
                <w:b w:val="0"/>
                <w:i w:val="0"/>
                <w:sz w:val="15"/>
              </w:rPr>
              <w:t>17</w:t>
            </w:r>
          </w:p>
        </w:tc>
        <w:tc>
          <w:tcPr>
            <w:tcW w:type="dxa" w:w="3168"/>
            <w:vAlign w:val="center"/>
          </w:tcPr>
          <w:p>
            <w:pPr>
              <w:jc w:val="left"/>
            </w:pPr>
            <w:r/>
            <w:r>
              <w:rPr>
                <w:rFonts w:ascii="Arial" w:hAnsi="Arial" w:eastAsia="Arial"/>
                <w:b w:val="0"/>
                <w:i w:val="0"/>
                <w:sz w:val="14"/>
              </w:rPr>
              <w:t>Artificial intelligence (AI) and its implications for market knowledge i…</w:t>
            </w:r>
          </w:p>
        </w:tc>
        <w:tc>
          <w:tcPr>
            <w:tcW w:type="dxa" w:w="1584"/>
            <w:vAlign w:val="center"/>
          </w:tcPr>
          <w:p>
            <w:pPr>
              <w:jc w:val="center"/>
            </w:pPr>
            <w:r/>
            <w:r>
              <w:rPr>
                <w:rFonts w:ascii="Arial" w:hAnsi="Arial" w:eastAsia="Arial"/>
                <w:b w:val="0"/>
                <w:i w:val="0"/>
                <w:sz w:val="15"/>
              </w:rPr>
              <w:t>2</w:t>
            </w:r>
          </w:p>
        </w:tc>
        <w:tc>
          <w:tcPr>
            <w:tcW w:type="dxa" w:w="5040"/>
            <w:vAlign w:val="center"/>
          </w:tcPr>
          <w:p>
            <w:pPr>
              <w:jc w:val="left"/>
            </w:pPr>
            <w:r/>
            <w:r>
              <w:rPr>
                <w:rFonts w:ascii="Arial" w:hAnsi="Arial" w:eastAsia="Arial"/>
                <w:b w:val="0"/>
                <w:i w:val="0"/>
                <w:sz w:val="14"/>
              </w:rPr>
              <w:t>Variables de mercado (categoría, marca, destacado, estacionalidad) incorporadas como features del RandomForest en build_daily_sales.</w:t>
            </w:r>
          </w:p>
        </w:tc>
      </w:tr>
      <w:tr>
        <w:tc>
          <w:tcPr>
            <w:tcW w:type="dxa" w:w="648"/>
            <w:vAlign w:val="center"/>
            <w:shd w:fill="F8F9F9" w:val="clear" w:color="auto"/>
          </w:tcPr>
          <w:p>
            <w:pPr>
              <w:jc w:val="center"/>
            </w:pPr>
            <w:r/>
            <w:r>
              <w:rPr>
                <w:rFonts w:ascii="Arial" w:hAnsi="Arial" w:eastAsia="Arial"/>
                <w:b w:val="0"/>
                <w:i w:val="0"/>
                <w:sz w:val="15"/>
              </w:rPr>
              <w:t>18</w:t>
            </w:r>
          </w:p>
        </w:tc>
        <w:tc>
          <w:tcPr>
            <w:tcW w:type="dxa" w:w="3168"/>
            <w:vAlign w:val="center"/>
            <w:shd w:fill="F8F9F9" w:val="clear" w:color="auto"/>
          </w:tcPr>
          <w:p>
            <w:pPr>
              <w:jc w:val="left"/>
            </w:pPr>
            <w:r/>
            <w:r>
              <w:rPr>
                <w:rFonts w:ascii="Arial" w:hAnsi="Arial" w:eastAsia="Arial"/>
                <w:b w:val="0"/>
                <w:i w:val="0"/>
                <w:sz w:val="14"/>
              </w:rPr>
              <w:t>Deep learning for financial applications: A survey</w:t>
            </w:r>
          </w:p>
        </w:tc>
        <w:tc>
          <w:tcPr>
            <w:tcW w:type="dxa" w:w="1584"/>
            <w:vAlign w:val="center"/>
            <w:shd w:fill="F8F9F9" w:val="clear" w:color="auto"/>
          </w:tcPr>
          <w:p>
            <w:pPr>
              <w:jc w:val="center"/>
            </w:pPr>
            <w:r/>
            <w:r>
              <w:rPr>
                <w:rFonts w:ascii="Arial" w:hAnsi="Arial" w:eastAsia="Arial"/>
                <w:b w:val="0"/>
                <w:i w:val="0"/>
                <w:sz w:val="15"/>
              </w:rPr>
              <w:t>3</w:t>
            </w:r>
          </w:p>
        </w:tc>
        <w:tc>
          <w:tcPr>
            <w:tcW w:type="dxa" w:w="5040"/>
            <w:vAlign w:val="center"/>
            <w:shd w:fill="F8F9F9" w:val="clear" w:color="auto"/>
          </w:tcPr>
          <w:p>
            <w:pPr>
              <w:jc w:val="left"/>
            </w:pPr>
            <w:r/>
            <w:r>
              <w:rPr>
                <w:rFonts w:ascii="Arial" w:hAnsi="Arial" w:eastAsia="Arial"/>
                <w:b w:val="0"/>
                <w:i w:val="0"/>
                <w:sz w:val="14"/>
              </w:rPr>
              <w:t>Decisión técnica documentada: RF tabular (scikit-learn 1.5) en lugar de DL/LSTM por tamaño limitado del dataset PYME.</w:t>
            </w:r>
          </w:p>
        </w:tc>
      </w:tr>
      <w:tr>
        <w:tc>
          <w:tcPr>
            <w:tcW w:type="dxa" w:w="648"/>
            <w:vAlign w:val="center"/>
          </w:tcPr>
          <w:p>
            <w:pPr>
              <w:jc w:val="center"/>
            </w:pPr>
            <w:r/>
            <w:r>
              <w:rPr>
                <w:rFonts w:ascii="Arial" w:hAnsi="Arial" w:eastAsia="Arial"/>
                <w:b w:val="0"/>
                <w:i w:val="0"/>
                <w:sz w:val="15"/>
              </w:rPr>
              <w:t>19</w:t>
            </w:r>
          </w:p>
        </w:tc>
        <w:tc>
          <w:tcPr>
            <w:tcW w:type="dxa" w:w="3168"/>
            <w:vAlign w:val="center"/>
          </w:tcPr>
          <w:p>
            <w:pPr>
              <w:jc w:val="left"/>
            </w:pPr>
            <w:r/>
            <w:r>
              <w:rPr>
                <w:rFonts w:ascii="Arial" w:hAnsi="Arial" w:eastAsia="Arial"/>
                <w:b w:val="0"/>
                <w:i w:val="0"/>
                <w:sz w:val="14"/>
              </w:rPr>
              <w:t>Machine learning models and bankruptcy prediction</w:t>
            </w:r>
          </w:p>
        </w:tc>
        <w:tc>
          <w:tcPr>
            <w:tcW w:type="dxa" w:w="1584"/>
            <w:vAlign w:val="center"/>
          </w:tcPr>
          <w:p>
            <w:pPr>
              <w:jc w:val="center"/>
            </w:pPr>
            <w:r/>
            <w:r>
              <w:rPr>
                <w:rFonts w:ascii="Arial" w:hAnsi="Arial" w:eastAsia="Arial"/>
                <w:b w:val="0"/>
                <w:i w:val="0"/>
                <w:sz w:val="15"/>
              </w:rPr>
              <w:t>3</w:t>
            </w:r>
          </w:p>
        </w:tc>
        <w:tc>
          <w:tcPr>
            <w:tcW w:type="dxa" w:w="5040"/>
            <w:vAlign w:val="center"/>
          </w:tcPr>
          <w:p>
            <w:pPr>
              <w:jc w:val="left"/>
            </w:pPr>
            <w:r/>
            <w:r>
              <w:rPr>
                <w:rFonts w:ascii="Arial" w:hAnsi="Arial" w:eastAsia="Arial"/>
                <w:b w:val="0"/>
                <w:i w:val="0"/>
                <w:sz w:val="14"/>
              </w:rPr>
              <w:t>Antecedente algorítmico: RandomForestRegressor seleccionado; métricas AUC/accuracy no aplican a quiebra sino a riesgo operativo IRE.</w:t>
            </w:r>
          </w:p>
        </w:tc>
      </w:tr>
      <w:tr>
        <w:tc>
          <w:tcPr>
            <w:tcW w:type="dxa" w:w="648"/>
            <w:vAlign w:val="center"/>
            <w:shd w:fill="F8F9F9" w:val="clear" w:color="auto"/>
          </w:tcPr>
          <w:p>
            <w:pPr>
              <w:jc w:val="center"/>
            </w:pPr>
            <w:r/>
            <w:r>
              <w:rPr>
                <w:rFonts w:ascii="Arial" w:hAnsi="Arial" w:eastAsia="Arial"/>
                <w:b w:val="0"/>
                <w:i w:val="0"/>
                <w:sz w:val="15"/>
              </w:rPr>
              <w:t>20</w:t>
            </w:r>
          </w:p>
        </w:tc>
        <w:tc>
          <w:tcPr>
            <w:tcW w:type="dxa" w:w="3168"/>
            <w:vAlign w:val="center"/>
            <w:shd w:fill="F8F9F9" w:val="clear" w:color="auto"/>
          </w:tcPr>
          <w:p>
            <w:pPr>
              <w:jc w:val="left"/>
            </w:pPr>
            <w:r/>
            <w:r>
              <w:rPr>
                <w:rFonts w:ascii="Arial" w:hAnsi="Arial" w:eastAsia="Arial"/>
                <w:b w:val="0"/>
                <w:i w:val="0"/>
                <w:sz w:val="14"/>
              </w:rPr>
              <w:t>Bankruptcy prediction using imaged financial ratios and convolutional ne…</w:t>
            </w:r>
          </w:p>
        </w:tc>
        <w:tc>
          <w:tcPr>
            <w:tcW w:type="dxa" w:w="1584"/>
            <w:vAlign w:val="center"/>
            <w:shd w:fill="F8F9F9" w:val="clear" w:color="auto"/>
          </w:tcPr>
          <w:p>
            <w:pPr>
              <w:jc w:val="center"/>
            </w:pPr>
            <w:r/>
            <w:r>
              <w:rPr>
                <w:rFonts w:ascii="Arial" w:hAnsi="Arial" w:eastAsia="Arial"/>
                <w:b w:val="0"/>
                <w:i w:val="0"/>
                <w:sz w:val="15"/>
              </w:rPr>
              <w:t>3</w:t>
            </w:r>
          </w:p>
        </w:tc>
        <w:tc>
          <w:tcPr>
            <w:tcW w:type="dxa" w:w="5040"/>
            <w:vAlign w:val="center"/>
            <w:shd w:fill="F8F9F9" w:val="clear" w:color="auto"/>
          </w:tcPr>
          <w:p>
            <w:pPr>
              <w:jc w:val="left"/>
            </w:pPr>
            <w:r/>
            <w:r>
              <w:rPr>
                <w:rFonts w:ascii="Arial" w:hAnsi="Arial" w:eastAsia="Arial"/>
                <w:b w:val="0"/>
                <w:i w:val="0"/>
                <w:sz w:val="14"/>
              </w:rPr>
              <w:t>Comparativa metodológica: datos tabulares estructurados (no imágenes de ratios); justifica RF sobre CNN para Calzatura Vilchez.</w:t>
            </w:r>
          </w:p>
        </w:tc>
      </w:tr>
      <w:tr>
        <w:tc>
          <w:tcPr>
            <w:tcW w:type="dxa" w:w="648"/>
            <w:vAlign w:val="center"/>
          </w:tcPr>
          <w:p>
            <w:pPr>
              <w:jc w:val="center"/>
            </w:pPr>
            <w:r/>
            <w:r>
              <w:rPr>
                <w:rFonts w:ascii="Arial" w:hAnsi="Arial" w:eastAsia="Arial"/>
                <w:b w:val="0"/>
                <w:i w:val="0"/>
                <w:sz w:val="15"/>
              </w:rPr>
              <w:t>21</w:t>
            </w:r>
          </w:p>
        </w:tc>
        <w:tc>
          <w:tcPr>
            <w:tcW w:type="dxa" w:w="3168"/>
            <w:vAlign w:val="center"/>
          </w:tcPr>
          <w:p>
            <w:pPr>
              <w:jc w:val="left"/>
            </w:pPr>
            <w:r/>
            <w:r>
              <w:rPr>
                <w:rFonts w:ascii="Arial" w:hAnsi="Arial" w:eastAsia="Arial"/>
                <w:b w:val="0"/>
                <w:i w:val="0"/>
                <w:sz w:val="14"/>
              </w:rPr>
              <w:t>Corporate default predictions using machine learning: Literature review</w:t>
            </w:r>
          </w:p>
        </w:tc>
        <w:tc>
          <w:tcPr>
            <w:tcW w:type="dxa" w:w="1584"/>
            <w:vAlign w:val="center"/>
          </w:tcPr>
          <w:p>
            <w:pPr>
              <w:jc w:val="center"/>
            </w:pPr>
            <w:r/>
            <w:r>
              <w:rPr>
                <w:rFonts w:ascii="Arial" w:hAnsi="Arial" w:eastAsia="Arial"/>
                <w:b w:val="0"/>
                <w:i w:val="0"/>
                <w:sz w:val="15"/>
              </w:rPr>
              <w:t>3</w:t>
            </w:r>
          </w:p>
        </w:tc>
        <w:tc>
          <w:tcPr>
            <w:tcW w:type="dxa" w:w="5040"/>
            <w:vAlign w:val="center"/>
          </w:tcPr>
          <w:p>
            <w:pPr>
              <w:jc w:val="left"/>
            </w:pPr>
            <w:r/>
            <w:r>
              <w:rPr>
                <w:rFonts w:ascii="Arial" w:hAnsi="Arial" w:eastAsia="Arial"/>
                <w:b w:val="0"/>
                <w:i w:val="0"/>
                <w:sz w:val="14"/>
              </w:rPr>
              <w:t>Revisión de algoritmos ML respalda elección de RF/XGBoost; IRE mide riesgo comercial-operativo, no default financiero corporativo.</w:t>
            </w:r>
          </w:p>
        </w:tc>
      </w:tr>
      <w:tr>
        <w:tc>
          <w:tcPr>
            <w:tcW w:type="dxa" w:w="648"/>
            <w:vAlign w:val="center"/>
            <w:shd w:fill="F8F9F9" w:val="clear" w:color="auto"/>
          </w:tcPr>
          <w:p>
            <w:pPr>
              <w:jc w:val="center"/>
            </w:pPr>
            <w:r/>
            <w:r>
              <w:rPr>
                <w:rFonts w:ascii="Arial" w:hAnsi="Arial" w:eastAsia="Arial"/>
                <w:b w:val="0"/>
                <w:i w:val="0"/>
                <w:sz w:val="15"/>
              </w:rPr>
              <w:t>22</w:t>
            </w:r>
          </w:p>
        </w:tc>
        <w:tc>
          <w:tcPr>
            <w:tcW w:type="dxa" w:w="3168"/>
            <w:vAlign w:val="center"/>
            <w:shd w:fill="F8F9F9" w:val="clear" w:color="auto"/>
          </w:tcPr>
          <w:p>
            <w:pPr>
              <w:jc w:val="left"/>
            </w:pPr>
            <w:r/>
            <w:r>
              <w:rPr>
                <w:rFonts w:ascii="Arial" w:hAnsi="Arial" w:eastAsia="Arial"/>
                <w:b w:val="0"/>
                <w:i w:val="0"/>
                <w:sz w:val="14"/>
              </w:rPr>
              <w:t>Dynamics of firm financial evolution and bankruptcy prediction</w:t>
            </w:r>
          </w:p>
        </w:tc>
        <w:tc>
          <w:tcPr>
            <w:tcW w:type="dxa" w:w="1584"/>
            <w:vAlign w:val="center"/>
            <w:shd w:fill="F8F9F9" w:val="clear" w:color="auto"/>
          </w:tcPr>
          <w:p>
            <w:pPr>
              <w:jc w:val="center"/>
            </w:pPr>
            <w:r/>
            <w:r>
              <w:rPr>
                <w:rFonts w:ascii="Arial" w:hAnsi="Arial" w:eastAsia="Arial"/>
                <w:b w:val="0"/>
                <w:i w:val="0"/>
                <w:sz w:val="15"/>
              </w:rPr>
              <w:t>3</w:t>
            </w:r>
          </w:p>
        </w:tc>
        <w:tc>
          <w:tcPr>
            <w:tcW w:type="dxa" w:w="5040"/>
            <w:vAlign w:val="center"/>
            <w:shd w:fill="F8F9F9" w:val="clear" w:color="auto"/>
          </w:tcPr>
          <w:p>
            <w:pPr>
              <w:jc w:val="left"/>
            </w:pPr>
            <w:r/>
            <w:r>
              <w:rPr>
                <w:rFonts w:ascii="Arial" w:hAnsi="Arial" w:eastAsia="Arial"/>
                <w:b w:val="0"/>
                <w:i w:val="0"/>
                <w:sz w:val="14"/>
              </w:rPr>
              <w:t>Series temporales de ventas por producto/día construidas en ai-service; horizonte de predicción alineado a gestión de stock.</w:t>
            </w:r>
          </w:p>
        </w:tc>
      </w:tr>
      <w:tr>
        <w:tc>
          <w:tcPr>
            <w:tcW w:type="dxa" w:w="648"/>
            <w:vAlign w:val="center"/>
          </w:tcPr>
          <w:p>
            <w:pPr>
              <w:jc w:val="center"/>
            </w:pPr>
            <w:r/>
            <w:r>
              <w:rPr>
                <w:rFonts w:ascii="Arial" w:hAnsi="Arial" w:eastAsia="Arial"/>
                <w:b w:val="0"/>
                <w:i w:val="0"/>
                <w:sz w:val="15"/>
              </w:rPr>
              <w:t>23</w:t>
            </w:r>
          </w:p>
        </w:tc>
        <w:tc>
          <w:tcPr>
            <w:tcW w:type="dxa" w:w="3168"/>
            <w:vAlign w:val="center"/>
          </w:tcPr>
          <w:p>
            <w:pPr>
              <w:jc w:val="left"/>
            </w:pPr>
            <w:r/>
            <w:r>
              <w:rPr>
                <w:rFonts w:ascii="Arial" w:hAnsi="Arial" w:eastAsia="Arial"/>
                <w:b w:val="0"/>
                <w:i w:val="0"/>
                <w:sz w:val="14"/>
              </w:rPr>
              <w:t>Financial ratios and corporate governance indicators in bankruptcy predi…</w:t>
            </w:r>
          </w:p>
        </w:tc>
        <w:tc>
          <w:tcPr>
            <w:tcW w:type="dxa" w:w="1584"/>
            <w:vAlign w:val="center"/>
          </w:tcPr>
          <w:p>
            <w:pPr>
              <w:jc w:val="center"/>
            </w:pPr>
            <w:r/>
            <w:r>
              <w:rPr>
                <w:rFonts w:ascii="Arial" w:hAnsi="Arial" w:eastAsia="Arial"/>
                <w:b w:val="0"/>
                <w:i w:val="0"/>
                <w:sz w:val="15"/>
              </w:rPr>
              <w:t>3</w:t>
            </w:r>
          </w:p>
        </w:tc>
        <w:tc>
          <w:tcPr>
            <w:tcW w:type="dxa" w:w="5040"/>
            <w:vAlign w:val="center"/>
          </w:tcPr>
          <w:p>
            <w:pPr>
              <w:jc w:val="left"/>
            </w:pPr>
            <w:r/>
            <w:r>
              <w:rPr>
                <w:rFonts w:ascii="Arial" w:hAnsi="Arial" w:eastAsia="Arial"/>
                <w:b w:val="0"/>
                <w:i w:val="0"/>
                <w:sz w:val="14"/>
              </w:rPr>
              <w:t>Marco teórico ISO/IEC 25010 en SRS; no evidencia directa IRE — referencia metodológica de calidad de software.</w:t>
            </w:r>
          </w:p>
        </w:tc>
      </w:tr>
      <w:tr>
        <w:tc>
          <w:tcPr>
            <w:tcW w:type="dxa" w:w="648"/>
            <w:vAlign w:val="center"/>
            <w:shd w:fill="F8F9F9" w:val="clear" w:color="auto"/>
          </w:tcPr>
          <w:p>
            <w:pPr>
              <w:jc w:val="center"/>
            </w:pPr>
            <w:r/>
            <w:r>
              <w:rPr>
                <w:rFonts w:ascii="Arial" w:hAnsi="Arial" w:eastAsia="Arial"/>
                <w:b w:val="0"/>
                <w:i w:val="0"/>
                <w:sz w:val="15"/>
              </w:rPr>
              <w:t>24</w:t>
            </w:r>
          </w:p>
        </w:tc>
        <w:tc>
          <w:tcPr>
            <w:tcW w:type="dxa" w:w="3168"/>
            <w:vAlign w:val="center"/>
            <w:shd w:fill="F8F9F9" w:val="clear" w:color="auto"/>
          </w:tcPr>
          <w:p>
            <w:pPr>
              <w:jc w:val="left"/>
            </w:pPr>
            <w:r/>
            <w:r>
              <w:rPr>
                <w:rFonts w:ascii="Arial" w:hAnsi="Arial" w:eastAsia="Arial"/>
                <w:b w:val="0"/>
                <w:i w:val="0"/>
                <w:sz w:val="14"/>
              </w:rPr>
              <w:t>Deep learning models for bankruptcy prediction using textual disclosures</w:t>
            </w:r>
          </w:p>
        </w:tc>
        <w:tc>
          <w:tcPr>
            <w:tcW w:type="dxa" w:w="1584"/>
            <w:vAlign w:val="center"/>
            <w:shd w:fill="F8F9F9" w:val="clear" w:color="auto"/>
          </w:tcPr>
          <w:p>
            <w:pPr>
              <w:jc w:val="center"/>
            </w:pPr>
            <w:r/>
            <w:r>
              <w:rPr>
                <w:rFonts w:ascii="Arial" w:hAnsi="Arial" w:eastAsia="Arial"/>
                <w:b w:val="0"/>
                <w:i w:val="0"/>
                <w:sz w:val="15"/>
              </w:rPr>
              <w:t>3</w:t>
            </w:r>
          </w:p>
        </w:tc>
        <w:tc>
          <w:tcPr>
            <w:tcW w:type="dxa" w:w="5040"/>
            <w:vAlign w:val="center"/>
            <w:shd w:fill="F8F9F9" w:val="clear" w:color="auto"/>
          </w:tcPr>
          <w:p>
            <w:pPr>
              <w:jc w:val="left"/>
            </w:pPr>
            <w:r/>
            <w:r>
              <w:rPr>
                <w:rFonts w:ascii="Arial" w:hAnsi="Arial" w:eastAsia="Arial"/>
                <w:b w:val="0"/>
                <w:i w:val="0"/>
                <w:sz w:val="14"/>
              </w:rPr>
              <w:t>Datos no textuales: ventas, stock y pedidos estructurados en Supabase; NLP no requerido en el pipeline actual.</w:t>
            </w:r>
          </w:p>
        </w:tc>
      </w:tr>
      <w:tr>
        <w:tc>
          <w:tcPr>
            <w:tcW w:type="dxa" w:w="648"/>
            <w:vAlign w:val="center"/>
          </w:tcPr>
          <w:p>
            <w:pPr>
              <w:jc w:val="center"/>
            </w:pPr>
            <w:r/>
            <w:r>
              <w:rPr>
                <w:rFonts w:ascii="Arial" w:hAnsi="Arial" w:eastAsia="Arial"/>
                <w:b w:val="0"/>
                <w:i w:val="0"/>
                <w:sz w:val="15"/>
              </w:rPr>
              <w:t>25</w:t>
            </w:r>
          </w:p>
        </w:tc>
        <w:tc>
          <w:tcPr>
            <w:tcW w:type="dxa" w:w="3168"/>
            <w:vAlign w:val="center"/>
          </w:tcPr>
          <w:p>
            <w:pPr>
              <w:jc w:val="left"/>
            </w:pPr>
            <w:r/>
            <w:r>
              <w:rPr>
                <w:rFonts w:ascii="Arial" w:hAnsi="Arial" w:eastAsia="Arial"/>
                <w:b w:val="0"/>
                <w:i w:val="0"/>
                <w:sz w:val="14"/>
              </w:rPr>
              <w:t>Variable selection and corporate bankruptcy forecasts</w:t>
            </w:r>
          </w:p>
        </w:tc>
        <w:tc>
          <w:tcPr>
            <w:tcW w:type="dxa" w:w="1584"/>
            <w:vAlign w:val="center"/>
          </w:tcPr>
          <w:p>
            <w:pPr>
              <w:jc w:val="center"/>
            </w:pPr>
            <w:r/>
            <w:r>
              <w:rPr>
                <w:rFonts w:ascii="Arial" w:hAnsi="Arial" w:eastAsia="Arial"/>
                <w:b w:val="0"/>
                <w:i w:val="0"/>
                <w:sz w:val="15"/>
              </w:rPr>
              <w:t>3</w:t>
            </w:r>
          </w:p>
        </w:tc>
        <w:tc>
          <w:tcPr>
            <w:tcW w:type="dxa" w:w="5040"/>
            <w:vAlign w:val="center"/>
          </w:tcPr>
          <w:p>
            <w:pPr>
              <w:jc w:val="left"/>
            </w:pPr>
            <w:r/>
            <w:r>
              <w:rPr>
                <w:rFonts w:ascii="Arial" w:hAnsi="Arial" w:eastAsia="Arial"/>
                <w:b w:val="0"/>
                <w:i w:val="0"/>
                <w:sz w:val="14"/>
              </w:rPr>
              <w:t>Variables IRE calibradas: riesgo_stock (40%), riesgo_ingresos (35%), riesgo_demanda (25%) en models/risk_metadata.py.</w:t>
            </w:r>
          </w:p>
        </w:tc>
      </w:tr>
      <w:tr>
        <w:tc>
          <w:tcPr>
            <w:tcW w:type="dxa" w:w="648"/>
            <w:vAlign w:val="center"/>
            <w:shd w:fill="F8F9F9" w:val="clear" w:color="auto"/>
          </w:tcPr>
          <w:p>
            <w:pPr>
              <w:jc w:val="center"/>
            </w:pPr>
            <w:r/>
            <w:r>
              <w:rPr>
                <w:rFonts w:ascii="Arial" w:hAnsi="Arial" w:eastAsia="Arial"/>
                <w:b w:val="0"/>
                <w:i w:val="0"/>
                <w:sz w:val="15"/>
              </w:rPr>
              <w:t>26</w:t>
            </w:r>
          </w:p>
        </w:tc>
        <w:tc>
          <w:tcPr>
            <w:tcW w:type="dxa" w:w="3168"/>
            <w:vAlign w:val="center"/>
            <w:shd w:fill="F8F9F9" w:val="clear" w:color="auto"/>
          </w:tcPr>
          <w:p>
            <w:pPr>
              <w:jc w:val="left"/>
            </w:pPr>
            <w:r/>
            <w:r>
              <w:rPr>
                <w:rFonts w:ascii="Arial" w:hAnsi="Arial" w:eastAsia="Arial"/>
                <w:b w:val="0"/>
                <w:i w:val="0"/>
                <w:sz w:val="14"/>
              </w:rPr>
              <w:t>Financial ratios, discriminant analysis and the prediction of corporate …</w:t>
            </w:r>
          </w:p>
        </w:tc>
        <w:tc>
          <w:tcPr>
            <w:tcW w:type="dxa" w:w="1584"/>
            <w:vAlign w:val="center"/>
            <w:shd w:fill="F8F9F9" w:val="clear" w:color="auto"/>
          </w:tcPr>
          <w:p>
            <w:pPr>
              <w:jc w:val="center"/>
            </w:pPr>
            <w:r/>
            <w:r>
              <w:rPr>
                <w:rFonts w:ascii="Arial" w:hAnsi="Arial" w:eastAsia="Arial"/>
                <w:b w:val="0"/>
                <w:i w:val="0"/>
                <w:sz w:val="15"/>
              </w:rPr>
              <w:t>3</w:t>
            </w:r>
          </w:p>
        </w:tc>
        <w:tc>
          <w:tcPr>
            <w:tcW w:type="dxa" w:w="5040"/>
            <w:vAlign w:val="center"/>
            <w:shd w:fill="F8F9F9" w:val="clear" w:color="auto"/>
          </w:tcPr>
          <w:p>
            <w:pPr>
              <w:jc w:val="left"/>
            </w:pPr>
            <w:r/>
            <w:r>
              <w:rPr>
                <w:rFonts w:ascii="Arial" w:hAnsi="Arial" w:eastAsia="Arial"/>
                <w:b w:val="0"/>
                <w:i w:val="0"/>
                <w:sz w:val="14"/>
              </w:rPr>
              <w:t>Altman Z-Score como antecedente histórico; umbral conceptual análogo al nivel Crítico del IRE (score ≥ 75).</w:t>
            </w:r>
          </w:p>
        </w:tc>
      </w:tr>
      <w:tr>
        <w:tc>
          <w:tcPr>
            <w:tcW w:type="dxa" w:w="648"/>
            <w:vAlign w:val="center"/>
          </w:tcPr>
          <w:p>
            <w:pPr>
              <w:jc w:val="center"/>
            </w:pPr>
            <w:r/>
            <w:r>
              <w:rPr>
                <w:rFonts w:ascii="Arial" w:hAnsi="Arial" w:eastAsia="Arial"/>
                <w:b w:val="0"/>
                <w:i w:val="0"/>
                <w:sz w:val="15"/>
              </w:rPr>
              <w:t>27</w:t>
            </w:r>
          </w:p>
        </w:tc>
        <w:tc>
          <w:tcPr>
            <w:tcW w:type="dxa" w:w="3168"/>
            <w:vAlign w:val="center"/>
          </w:tcPr>
          <w:p>
            <w:pPr>
              <w:jc w:val="left"/>
            </w:pPr>
            <w:r/>
            <w:r>
              <w:rPr>
                <w:rFonts w:ascii="Arial" w:hAnsi="Arial" w:eastAsia="Arial"/>
                <w:b w:val="0"/>
                <w:i w:val="0"/>
                <w:sz w:val="14"/>
              </w:rPr>
              <w:t>Financial ratios as predictors of failure</w:t>
            </w:r>
          </w:p>
        </w:tc>
        <w:tc>
          <w:tcPr>
            <w:tcW w:type="dxa" w:w="1584"/>
            <w:vAlign w:val="center"/>
          </w:tcPr>
          <w:p>
            <w:pPr>
              <w:jc w:val="center"/>
            </w:pPr>
            <w:r/>
            <w:r>
              <w:rPr>
                <w:rFonts w:ascii="Arial" w:hAnsi="Arial" w:eastAsia="Arial"/>
                <w:b w:val="0"/>
                <w:i w:val="0"/>
                <w:sz w:val="15"/>
              </w:rPr>
              <w:t>3</w:t>
            </w:r>
          </w:p>
        </w:tc>
        <w:tc>
          <w:tcPr>
            <w:tcW w:type="dxa" w:w="5040"/>
            <w:vAlign w:val="center"/>
          </w:tcPr>
          <w:p>
            <w:pPr>
              <w:jc w:val="left"/>
            </w:pPr>
            <w:r/>
            <w:r>
              <w:rPr>
                <w:rFonts w:ascii="Arial" w:hAnsi="Arial" w:eastAsia="Arial"/>
                <w:b w:val="0"/>
                <w:i w:val="0"/>
                <w:sz w:val="14"/>
              </w:rPr>
              <w:t>Evolución metodológica univariado → compuesto → ML; IRE es índice compuesto ponderado implementado en producción.</w:t>
            </w:r>
          </w:p>
        </w:tc>
      </w:tr>
      <w:tr>
        <w:tc>
          <w:tcPr>
            <w:tcW w:type="dxa" w:w="648"/>
            <w:vAlign w:val="center"/>
            <w:shd w:fill="F8F9F9" w:val="clear" w:color="auto"/>
          </w:tcPr>
          <w:p>
            <w:pPr>
              <w:jc w:val="center"/>
            </w:pPr>
            <w:r/>
            <w:r>
              <w:rPr>
                <w:rFonts w:ascii="Arial" w:hAnsi="Arial" w:eastAsia="Arial"/>
                <w:b w:val="0"/>
                <w:i w:val="0"/>
                <w:sz w:val="15"/>
              </w:rPr>
              <w:t>28</w:t>
            </w:r>
          </w:p>
        </w:tc>
        <w:tc>
          <w:tcPr>
            <w:tcW w:type="dxa" w:w="3168"/>
            <w:vAlign w:val="center"/>
            <w:shd w:fill="F8F9F9" w:val="clear" w:color="auto"/>
          </w:tcPr>
          <w:p>
            <w:pPr>
              <w:jc w:val="left"/>
            </w:pPr>
            <w:r/>
            <w:r>
              <w:rPr>
                <w:rFonts w:ascii="Arial" w:hAnsi="Arial" w:eastAsia="Arial"/>
                <w:b w:val="0"/>
                <w:i w:val="0"/>
                <w:sz w:val="14"/>
              </w:rPr>
              <w:t>Microservices: The journey so far and challenges ahead</w:t>
            </w:r>
          </w:p>
        </w:tc>
        <w:tc>
          <w:tcPr>
            <w:tcW w:type="dxa" w:w="1584"/>
            <w:vAlign w:val="center"/>
            <w:shd w:fill="F8F9F9" w:val="clear" w:color="auto"/>
          </w:tcPr>
          <w:p>
            <w:pPr>
              <w:jc w:val="center"/>
            </w:pPr>
            <w:r/>
            <w:r>
              <w:rPr>
                <w:rFonts w:ascii="Arial" w:hAnsi="Arial" w:eastAsia="Arial"/>
                <w:b w:val="0"/>
                <w:i w:val="0"/>
                <w:sz w:val="15"/>
              </w:rPr>
              <w:t>4</w:t>
            </w:r>
          </w:p>
        </w:tc>
        <w:tc>
          <w:tcPr>
            <w:tcW w:type="dxa" w:w="5040"/>
            <w:vAlign w:val="center"/>
            <w:shd w:fill="F8F9F9" w:val="clear" w:color="auto"/>
          </w:tcPr>
          <w:p>
            <w:pPr>
              <w:jc w:val="left"/>
            </w:pPr>
            <w:r/>
            <w:r>
              <w:rPr>
                <w:rFonts w:ascii="Arial" w:hAnsi="Arial" w:eastAsia="Arial"/>
                <w:b w:val="0"/>
                <w:i w:val="0"/>
                <w:sz w:val="14"/>
              </w:rPr>
              <w:t>Arquitectura microservicios: frontend React, BFF Node (Render), ai-service FastAPI (Render), Supabase, Firebase Auth, Stripe Functions.</w:t>
            </w:r>
          </w:p>
        </w:tc>
      </w:tr>
      <w:tr>
        <w:tc>
          <w:tcPr>
            <w:tcW w:type="dxa" w:w="648"/>
            <w:vAlign w:val="center"/>
          </w:tcPr>
          <w:p>
            <w:pPr>
              <w:jc w:val="center"/>
            </w:pPr>
            <w:r/>
            <w:r>
              <w:rPr>
                <w:rFonts w:ascii="Arial" w:hAnsi="Arial" w:eastAsia="Arial"/>
                <w:b w:val="0"/>
                <w:i w:val="0"/>
                <w:sz w:val="15"/>
              </w:rPr>
              <w:t>29</w:t>
            </w:r>
          </w:p>
        </w:tc>
        <w:tc>
          <w:tcPr>
            <w:tcW w:type="dxa" w:w="3168"/>
            <w:vAlign w:val="center"/>
          </w:tcPr>
          <w:p>
            <w:pPr>
              <w:jc w:val="left"/>
            </w:pPr>
            <w:r/>
            <w:r>
              <w:rPr>
                <w:rFonts w:ascii="Arial" w:hAnsi="Arial" w:eastAsia="Arial"/>
                <w:b w:val="0"/>
                <w:i w:val="0"/>
                <w:sz w:val="14"/>
              </w:rPr>
              <w:t>Large-scale machine learning systems in real-world industrial settings</w:t>
            </w:r>
          </w:p>
        </w:tc>
        <w:tc>
          <w:tcPr>
            <w:tcW w:type="dxa" w:w="1584"/>
            <w:vAlign w:val="center"/>
          </w:tcPr>
          <w:p>
            <w:pPr>
              <w:jc w:val="center"/>
            </w:pPr>
            <w:r/>
            <w:r>
              <w:rPr>
                <w:rFonts w:ascii="Arial" w:hAnsi="Arial" w:eastAsia="Arial"/>
                <w:b w:val="0"/>
                <w:i w:val="0"/>
                <w:sz w:val="15"/>
              </w:rPr>
              <w:t>4</w:t>
            </w:r>
          </w:p>
        </w:tc>
        <w:tc>
          <w:tcPr>
            <w:tcW w:type="dxa" w:w="5040"/>
            <w:vAlign w:val="center"/>
          </w:tcPr>
          <w:p>
            <w:pPr>
              <w:jc w:val="left"/>
            </w:pPr>
            <w:r/>
            <w:r>
              <w:rPr>
                <w:rFonts w:ascii="Arial" w:hAnsi="Arial" w:eastAsia="Arial"/>
                <w:b w:val="0"/>
                <w:i w:val="0"/>
                <w:sz w:val="14"/>
              </w:rPr>
              <w:t>ai-service desplegado en Docker/Render con caché TTL, persistencia modelo_estado y reentrenamiento bajo demanda; referencia técnica MLOps.</w:t>
            </w:r>
          </w:p>
        </w:tc>
      </w:tr>
      <w:tr>
        <w:tc>
          <w:tcPr>
            <w:tcW w:type="dxa" w:w="648"/>
            <w:vAlign w:val="center"/>
            <w:shd w:fill="F8F9F9" w:val="clear" w:color="auto"/>
          </w:tcPr>
          <w:p>
            <w:pPr>
              <w:jc w:val="center"/>
            </w:pPr>
            <w:r/>
            <w:r>
              <w:rPr>
                <w:rFonts w:ascii="Arial" w:hAnsi="Arial" w:eastAsia="Arial"/>
                <w:b w:val="0"/>
                <w:i w:val="0"/>
                <w:sz w:val="15"/>
              </w:rPr>
              <w:t>30</w:t>
            </w:r>
          </w:p>
        </w:tc>
        <w:tc>
          <w:tcPr>
            <w:tcW w:type="dxa" w:w="3168"/>
            <w:vAlign w:val="center"/>
            <w:shd w:fill="F8F9F9" w:val="clear" w:color="auto"/>
          </w:tcPr>
          <w:p>
            <w:pPr>
              <w:jc w:val="left"/>
            </w:pPr>
            <w:r/>
            <w:r>
              <w:rPr>
                <w:rFonts w:ascii="Arial" w:hAnsi="Arial" w:eastAsia="Arial"/>
                <w:b w:val="0"/>
                <w:i w:val="0"/>
                <w:sz w:val="14"/>
              </w:rPr>
              <w:t>Predicting risk through artificial intelligence based on machine learnin…</w:t>
            </w:r>
          </w:p>
        </w:tc>
        <w:tc>
          <w:tcPr>
            <w:tcW w:type="dxa" w:w="1584"/>
            <w:vAlign w:val="center"/>
            <w:shd w:fill="F8F9F9" w:val="clear" w:color="auto"/>
          </w:tcPr>
          <w:p>
            <w:pPr>
              <w:jc w:val="center"/>
            </w:pPr>
            <w:r/>
            <w:r>
              <w:rPr>
                <w:rFonts w:ascii="Arial" w:hAnsi="Arial" w:eastAsia="Arial"/>
                <w:b w:val="0"/>
                <w:i w:val="0"/>
                <w:sz w:val="15"/>
              </w:rPr>
              <w:t>4</w:t>
            </w:r>
          </w:p>
        </w:tc>
        <w:tc>
          <w:tcPr>
            <w:tcW w:type="dxa" w:w="5040"/>
            <w:vAlign w:val="center"/>
            <w:shd w:fill="F8F9F9" w:val="clear" w:color="auto"/>
          </w:tcPr>
          <w:p>
            <w:pPr>
              <w:jc w:val="left"/>
            </w:pPr>
            <w:r/>
            <w:r>
              <w:rPr>
                <w:rFonts w:ascii="Arial" w:hAnsi="Arial" w:eastAsia="Arial"/>
                <w:b w:val="0"/>
                <w:i w:val="0"/>
                <w:sz w:val="14"/>
              </w:rPr>
              <w:t>IRE implementado con Random Forest y validación sobre datos reales de PYME peruana (Huancayo); tabla ire_historial persiste series.</w:t>
            </w:r>
          </w:p>
        </w:tc>
      </w:tr>
      <w:tr>
        <w:tc>
          <w:tcPr>
            <w:tcW w:type="dxa" w:w="648"/>
            <w:vAlign w:val="center"/>
          </w:tcPr>
          <w:p>
            <w:pPr>
              <w:jc w:val="center"/>
            </w:pPr>
            <w:r/>
            <w:r>
              <w:rPr>
                <w:rFonts w:ascii="Arial" w:hAnsi="Arial" w:eastAsia="Arial"/>
                <w:b w:val="0"/>
                <w:i w:val="0"/>
                <w:sz w:val="15"/>
              </w:rPr>
              <w:t>31</w:t>
            </w:r>
          </w:p>
        </w:tc>
        <w:tc>
          <w:tcPr>
            <w:tcW w:type="dxa" w:w="3168"/>
            <w:vAlign w:val="center"/>
          </w:tcPr>
          <w:p>
            <w:pPr>
              <w:jc w:val="left"/>
            </w:pPr>
            <w:r/>
            <w:r>
              <w:rPr>
                <w:rFonts w:ascii="Arial" w:hAnsi="Arial" w:eastAsia="Arial"/>
                <w:b w:val="0"/>
                <w:i w:val="0"/>
                <w:sz w:val="14"/>
              </w:rPr>
              <w:t>Deep learning with long short-term memory networks for financial market …</w:t>
            </w:r>
          </w:p>
        </w:tc>
        <w:tc>
          <w:tcPr>
            <w:tcW w:type="dxa" w:w="1584"/>
            <w:vAlign w:val="center"/>
          </w:tcPr>
          <w:p>
            <w:pPr>
              <w:jc w:val="center"/>
            </w:pPr>
            <w:r/>
            <w:r>
              <w:rPr>
                <w:rFonts w:ascii="Arial" w:hAnsi="Arial" w:eastAsia="Arial"/>
                <w:b w:val="0"/>
                <w:i w:val="0"/>
                <w:sz w:val="15"/>
              </w:rPr>
              <w:t>4</w:t>
            </w:r>
          </w:p>
        </w:tc>
        <w:tc>
          <w:tcPr>
            <w:tcW w:type="dxa" w:w="5040"/>
            <w:vAlign w:val="center"/>
          </w:tcPr>
          <w:p>
            <w:pPr>
              <w:jc w:val="left"/>
            </w:pPr>
            <w:r/>
            <w:r>
              <w:rPr>
                <w:rFonts w:ascii="Arial" w:hAnsi="Arial" w:eastAsia="Arial"/>
                <w:b w:val="0"/>
                <w:i w:val="0"/>
                <w:sz w:val="14"/>
              </w:rPr>
              <w:t>LSTM descartado por dataset pequeño; validación walk-forward replicable con ventas históricas de ventasDiarias y pedidos.</w:t>
            </w:r>
          </w:p>
        </w:tc>
      </w:tr>
      <w:tr>
        <w:tc>
          <w:tcPr>
            <w:tcW w:type="dxa" w:w="648"/>
            <w:vAlign w:val="center"/>
            <w:shd w:fill="F8F9F9" w:val="clear" w:color="auto"/>
          </w:tcPr>
          <w:p>
            <w:pPr>
              <w:jc w:val="center"/>
            </w:pPr>
            <w:r/>
            <w:r>
              <w:rPr>
                <w:rFonts w:ascii="Arial" w:hAnsi="Arial" w:eastAsia="Arial"/>
                <w:b w:val="0"/>
                <w:i w:val="0"/>
                <w:sz w:val="15"/>
              </w:rPr>
              <w:t>32</w:t>
            </w:r>
          </w:p>
        </w:tc>
        <w:tc>
          <w:tcPr>
            <w:tcW w:type="dxa" w:w="3168"/>
            <w:vAlign w:val="center"/>
            <w:shd w:fill="F8F9F9" w:val="clear" w:color="auto"/>
          </w:tcPr>
          <w:p>
            <w:pPr>
              <w:jc w:val="left"/>
            </w:pPr>
            <w:r/>
            <w:r>
              <w:rPr>
                <w:rFonts w:ascii="Arial" w:hAnsi="Arial" w:eastAsia="Arial"/>
                <w:b w:val="0"/>
                <w:i w:val="0"/>
                <w:sz w:val="14"/>
              </w:rPr>
              <w:t>Challenges in deploying machine learning: A survey of case studies</w:t>
            </w:r>
          </w:p>
        </w:tc>
        <w:tc>
          <w:tcPr>
            <w:tcW w:type="dxa" w:w="1584"/>
            <w:vAlign w:val="center"/>
            <w:shd w:fill="F8F9F9" w:val="clear" w:color="auto"/>
          </w:tcPr>
          <w:p>
            <w:pPr>
              <w:jc w:val="center"/>
            </w:pPr>
            <w:r/>
            <w:r>
              <w:rPr>
                <w:rFonts w:ascii="Arial" w:hAnsi="Arial" w:eastAsia="Arial"/>
                <w:b w:val="0"/>
                <w:i w:val="0"/>
                <w:sz w:val="15"/>
              </w:rPr>
              <w:t>4</w:t>
            </w:r>
          </w:p>
        </w:tc>
        <w:tc>
          <w:tcPr>
            <w:tcW w:type="dxa" w:w="5040"/>
            <w:vAlign w:val="center"/>
            <w:shd w:fill="F8F9F9" w:val="clear" w:color="auto"/>
          </w:tcPr>
          <w:p>
            <w:pPr>
              <w:jc w:val="left"/>
            </w:pPr>
            <w:r/>
            <w:r>
              <w:rPr>
                <w:rFonts w:ascii="Arial" w:hAnsi="Arial" w:eastAsia="Arial"/>
                <w:b w:val="0"/>
                <w:i w:val="0"/>
                <w:sz w:val="14"/>
              </w:rPr>
              <w:t>Despliegue ML en ai-service Render: auth Bearer/Firebase admin, caché, rate limiting, persistencia post-reinicio en Supabase.</w:t>
            </w:r>
          </w:p>
        </w:tc>
      </w:tr>
      <w:tr>
        <w:tc>
          <w:tcPr>
            <w:tcW w:type="dxa" w:w="648"/>
            <w:vAlign w:val="center"/>
          </w:tcPr>
          <w:p>
            <w:pPr>
              <w:jc w:val="center"/>
            </w:pPr>
            <w:r/>
            <w:r>
              <w:rPr>
                <w:rFonts w:ascii="Arial" w:hAnsi="Arial" w:eastAsia="Arial"/>
                <w:b w:val="0"/>
                <w:i w:val="0"/>
                <w:sz w:val="15"/>
              </w:rPr>
              <w:t>33</w:t>
            </w:r>
          </w:p>
        </w:tc>
        <w:tc>
          <w:tcPr>
            <w:tcW w:type="dxa" w:w="3168"/>
            <w:vAlign w:val="center"/>
          </w:tcPr>
          <w:p>
            <w:pPr>
              <w:jc w:val="left"/>
            </w:pPr>
            <w:r/>
            <w:r>
              <w:rPr>
                <w:rFonts w:ascii="Arial" w:hAnsi="Arial" w:eastAsia="Arial"/>
                <w:b w:val="0"/>
                <w:i w:val="0"/>
                <w:sz w:val="14"/>
              </w:rPr>
              <w:t>Software engineering for AI-based systems: A survey</w:t>
            </w:r>
          </w:p>
        </w:tc>
        <w:tc>
          <w:tcPr>
            <w:tcW w:type="dxa" w:w="1584"/>
            <w:vAlign w:val="center"/>
          </w:tcPr>
          <w:p>
            <w:pPr>
              <w:jc w:val="center"/>
            </w:pPr>
            <w:r/>
            <w:r>
              <w:rPr>
                <w:rFonts w:ascii="Arial" w:hAnsi="Arial" w:eastAsia="Arial"/>
                <w:b w:val="0"/>
                <w:i w:val="0"/>
                <w:sz w:val="15"/>
              </w:rPr>
              <w:t>4</w:t>
            </w:r>
          </w:p>
        </w:tc>
        <w:tc>
          <w:tcPr>
            <w:tcW w:type="dxa" w:w="5040"/>
            <w:vAlign w:val="center"/>
          </w:tcPr>
          <w:p>
            <w:pPr>
              <w:jc w:val="left"/>
            </w:pPr>
            <w:r/>
            <w:r>
              <w:rPr>
                <w:rFonts w:ascii="Arial" w:hAnsi="Arial" w:eastAsia="Arial"/>
                <w:b w:val="0"/>
                <w:i w:val="0"/>
                <w:sz w:val="14"/>
              </w:rPr>
              <w:t>Pruebas pytest (ai-service), Vitest (frontend), E2E Playwright, SonarQube en CI; documentación en docs/03-sdd y docs/06-ia.</w:t>
            </w:r>
          </w:p>
        </w:tc>
      </w:tr>
      <w:tr>
        <w:tc>
          <w:tcPr>
            <w:tcW w:type="dxa" w:w="648"/>
            <w:vAlign w:val="center"/>
            <w:shd w:fill="F8F9F9" w:val="clear" w:color="auto"/>
          </w:tcPr>
          <w:p>
            <w:pPr>
              <w:jc w:val="center"/>
            </w:pPr>
            <w:r/>
            <w:r>
              <w:rPr>
                <w:rFonts w:ascii="Arial" w:hAnsi="Arial" w:eastAsia="Arial"/>
                <w:b w:val="0"/>
                <w:i w:val="0"/>
                <w:sz w:val="15"/>
              </w:rPr>
              <w:t>34</w:t>
            </w:r>
          </w:p>
        </w:tc>
        <w:tc>
          <w:tcPr>
            <w:tcW w:type="dxa" w:w="3168"/>
            <w:vAlign w:val="center"/>
            <w:shd w:fill="F8F9F9" w:val="clear" w:color="auto"/>
          </w:tcPr>
          <w:p>
            <w:pPr>
              <w:jc w:val="left"/>
            </w:pPr>
            <w:r/>
            <w:r>
              <w:rPr>
                <w:rFonts w:ascii="Arial" w:hAnsi="Arial" w:eastAsia="Arial"/>
                <w:b w:val="0"/>
                <w:i w:val="0"/>
                <w:sz w:val="14"/>
              </w:rPr>
              <w:t>Understanding and addressing quality attributes of microservices archite…</w:t>
            </w:r>
          </w:p>
        </w:tc>
        <w:tc>
          <w:tcPr>
            <w:tcW w:type="dxa" w:w="1584"/>
            <w:vAlign w:val="center"/>
            <w:shd w:fill="F8F9F9" w:val="clear" w:color="auto"/>
          </w:tcPr>
          <w:p>
            <w:pPr>
              <w:jc w:val="center"/>
            </w:pPr>
            <w:r/>
            <w:r>
              <w:rPr>
                <w:rFonts w:ascii="Arial" w:hAnsi="Arial" w:eastAsia="Arial"/>
                <w:b w:val="0"/>
                <w:i w:val="0"/>
                <w:sz w:val="15"/>
              </w:rPr>
              <w:t>4</w:t>
            </w:r>
          </w:p>
        </w:tc>
        <w:tc>
          <w:tcPr>
            <w:tcW w:type="dxa" w:w="5040"/>
            <w:vAlign w:val="center"/>
            <w:shd w:fill="F8F9F9" w:val="clear" w:color="auto"/>
          </w:tcPr>
          <w:p>
            <w:pPr>
              <w:jc w:val="left"/>
            </w:pPr>
            <w:r/>
            <w:r>
              <w:rPr>
                <w:rFonts w:ascii="Arial" w:hAnsi="Arial" w:eastAsia="Arial"/>
                <w:b w:val="0"/>
                <w:i w:val="0"/>
                <w:sz w:val="14"/>
              </w:rPr>
              <w:t>Atributos ISO/IEC 25010 verificables: latencia BFF, uptime Render, CI/CD GitHub Actions, cobertura de tests automatizados.</w:t>
            </w:r>
          </w:p>
        </w:tc>
      </w:tr>
      <w:tr>
        <w:tc>
          <w:tcPr>
            <w:tcW w:type="dxa" w:w="648"/>
            <w:vAlign w:val="center"/>
          </w:tcPr>
          <w:p>
            <w:pPr>
              <w:jc w:val="center"/>
            </w:pPr>
            <w:r/>
            <w:r>
              <w:rPr>
                <w:rFonts w:ascii="Arial" w:hAnsi="Arial" w:eastAsia="Arial"/>
                <w:b w:val="0"/>
                <w:i w:val="0"/>
                <w:sz w:val="15"/>
              </w:rPr>
              <w:t>35</w:t>
            </w:r>
          </w:p>
        </w:tc>
        <w:tc>
          <w:tcPr>
            <w:tcW w:type="dxa" w:w="3168"/>
            <w:vAlign w:val="center"/>
          </w:tcPr>
          <w:p>
            <w:pPr>
              <w:jc w:val="left"/>
            </w:pPr>
            <w:r/>
            <w:r>
              <w:rPr>
                <w:rFonts w:ascii="Arial" w:hAnsi="Arial" w:eastAsia="Arial"/>
                <w:b w:val="0"/>
                <w:i w:val="0"/>
                <w:sz w:val="14"/>
              </w:rPr>
              <w:t>Random forests</w:t>
            </w:r>
          </w:p>
        </w:tc>
        <w:tc>
          <w:tcPr>
            <w:tcW w:type="dxa" w:w="1584"/>
            <w:vAlign w:val="center"/>
          </w:tcPr>
          <w:p>
            <w:pPr>
              <w:jc w:val="center"/>
            </w:pPr>
            <w:r/>
            <w:r>
              <w:rPr>
                <w:rFonts w:ascii="Arial" w:hAnsi="Arial" w:eastAsia="Arial"/>
                <w:b w:val="0"/>
                <w:i w:val="0"/>
                <w:sz w:val="15"/>
              </w:rPr>
              <w:t>5</w:t>
            </w:r>
          </w:p>
        </w:tc>
        <w:tc>
          <w:tcPr>
            <w:tcW w:type="dxa" w:w="5040"/>
            <w:vAlign w:val="center"/>
          </w:tcPr>
          <w:p>
            <w:pPr>
              <w:jc w:val="left"/>
            </w:pPr>
            <w:r/>
            <w:r>
              <w:rPr>
                <w:rFonts w:ascii="Arial" w:hAnsi="Arial" w:eastAsia="Arial"/>
                <w:b w:val="0"/>
                <w:i w:val="0"/>
                <w:sz w:val="14"/>
              </w:rPr>
              <w:t>Algoritmo Breiman (2001) implementado: RandomForestRegressor con n_estimators, max_depth y max_features en models/demand.py.</w:t>
            </w:r>
          </w:p>
        </w:tc>
      </w:tr>
      <w:tr>
        <w:tc>
          <w:tcPr>
            <w:tcW w:type="dxa" w:w="648"/>
            <w:vAlign w:val="center"/>
            <w:shd w:fill="F8F9F9" w:val="clear" w:color="auto"/>
          </w:tcPr>
          <w:p>
            <w:pPr>
              <w:jc w:val="center"/>
            </w:pPr>
            <w:r/>
            <w:r>
              <w:rPr>
                <w:rFonts w:ascii="Arial" w:hAnsi="Arial" w:eastAsia="Arial"/>
                <w:b w:val="0"/>
                <w:i w:val="0"/>
                <w:sz w:val="15"/>
              </w:rPr>
              <w:t>36</w:t>
            </w:r>
          </w:p>
        </w:tc>
        <w:tc>
          <w:tcPr>
            <w:tcW w:type="dxa" w:w="3168"/>
            <w:vAlign w:val="center"/>
            <w:shd w:fill="F8F9F9" w:val="clear" w:color="auto"/>
          </w:tcPr>
          <w:p>
            <w:pPr>
              <w:jc w:val="left"/>
            </w:pPr>
            <w:r/>
            <w:r>
              <w:rPr>
                <w:rFonts w:ascii="Arial" w:hAnsi="Arial" w:eastAsia="Arial"/>
                <w:b w:val="0"/>
                <w:i w:val="0"/>
                <w:sz w:val="14"/>
              </w:rPr>
              <w:t>A decade of agile methodologies: Towards explaining agile software devel…</w:t>
            </w:r>
          </w:p>
        </w:tc>
        <w:tc>
          <w:tcPr>
            <w:tcW w:type="dxa" w:w="1584"/>
            <w:vAlign w:val="center"/>
            <w:shd w:fill="F8F9F9" w:val="clear" w:color="auto"/>
          </w:tcPr>
          <w:p>
            <w:pPr>
              <w:jc w:val="center"/>
            </w:pPr>
            <w:r/>
            <w:r>
              <w:rPr>
                <w:rFonts w:ascii="Arial" w:hAnsi="Arial" w:eastAsia="Arial"/>
                <w:b w:val="0"/>
                <w:i w:val="0"/>
                <w:sz w:val="15"/>
              </w:rPr>
              <w:t>5</w:t>
            </w:r>
          </w:p>
        </w:tc>
        <w:tc>
          <w:tcPr>
            <w:tcW w:type="dxa" w:w="5040"/>
            <w:vAlign w:val="center"/>
            <w:shd w:fill="F8F9F9" w:val="clear" w:color="auto"/>
          </w:tcPr>
          <w:p>
            <w:pPr>
              <w:jc w:val="left"/>
            </w:pPr>
            <w:r/>
            <w:r>
              <w:rPr>
                <w:rFonts w:ascii="Arial" w:hAnsi="Arial" w:eastAsia="Arial"/>
                <w:b w:val="0"/>
                <w:i w:val="0"/>
                <w:sz w:val="14"/>
              </w:rPr>
              <w:t>Metodología ágil/TDD en repositorio; pruebas unitarias y de integración en cada módulo (web, BFF, ai-service, móvil).</w:t>
            </w:r>
          </w:p>
        </w:tc>
      </w:tr>
      <w:tr>
        <w:tc>
          <w:tcPr>
            <w:tcW w:type="dxa" w:w="648"/>
            <w:vAlign w:val="center"/>
          </w:tcPr>
          <w:p>
            <w:pPr>
              <w:jc w:val="center"/>
            </w:pPr>
            <w:r/>
            <w:r>
              <w:rPr>
                <w:rFonts w:ascii="Arial" w:hAnsi="Arial" w:eastAsia="Arial"/>
                <w:b w:val="0"/>
                <w:i w:val="0"/>
                <w:sz w:val="15"/>
              </w:rPr>
              <w:t>37</w:t>
            </w:r>
          </w:p>
        </w:tc>
        <w:tc>
          <w:tcPr>
            <w:tcW w:type="dxa" w:w="3168"/>
            <w:vAlign w:val="center"/>
          </w:tcPr>
          <w:p>
            <w:pPr>
              <w:jc w:val="left"/>
            </w:pPr>
            <w:r/>
            <w:r>
              <w:rPr>
                <w:rFonts w:ascii="Arial" w:hAnsi="Arial" w:eastAsia="Arial"/>
                <w:b w:val="0"/>
                <w:i w:val="0"/>
                <w:sz w:val="14"/>
              </w:rPr>
              <w:t>An ensemble-based model for predicting agile software development effort</w:t>
            </w:r>
          </w:p>
        </w:tc>
        <w:tc>
          <w:tcPr>
            <w:tcW w:type="dxa" w:w="1584"/>
            <w:vAlign w:val="center"/>
          </w:tcPr>
          <w:p>
            <w:pPr>
              <w:jc w:val="center"/>
            </w:pPr>
            <w:r/>
            <w:r>
              <w:rPr>
                <w:rFonts w:ascii="Arial" w:hAnsi="Arial" w:eastAsia="Arial"/>
                <w:b w:val="0"/>
                <w:i w:val="0"/>
                <w:sz w:val="15"/>
              </w:rPr>
              <w:t>5</w:t>
            </w:r>
          </w:p>
        </w:tc>
        <w:tc>
          <w:tcPr>
            <w:tcW w:type="dxa" w:w="5040"/>
            <w:vAlign w:val="center"/>
          </w:tcPr>
          <w:p>
            <w:pPr>
              <w:jc w:val="left"/>
            </w:pPr>
            <w:r/>
            <w:r>
              <w:rPr>
                <w:rFonts w:ascii="Arial" w:hAnsi="Arial" w:eastAsia="Arial"/>
                <w:b w:val="0"/>
                <w:i w:val="0"/>
                <w:sz w:val="14"/>
              </w:rPr>
              <w:t>Anexo metodológico: proceso de desarrollo documentado en docs/; no evidencia directa del estado del arte central.</w:t>
            </w:r>
          </w:p>
        </w:tc>
      </w:tr>
      <w:tr>
        <w:tc>
          <w:tcPr>
            <w:tcW w:type="dxa" w:w="648"/>
            <w:vAlign w:val="center"/>
            <w:shd w:fill="F8F9F9" w:val="clear" w:color="auto"/>
          </w:tcPr>
          <w:p>
            <w:pPr>
              <w:jc w:val="center"/>
            </w:pPr>
            <w:r/>
            <w:r>
              <w:rPr>
                <w:rFonts w:ascii="Arial" w:hAnsi="Arial" w:eastAsia="Arial"/>
                <w:b w:val="0"/>
                <w:i w:val="0"/>
                <w:sz w:val="15"/>
              </w:rPr>
              <w:t>38</w:t>
            </w:r>
          </w:p>
        </w:tc>
        <w:tc>
          <w:tcPr>
            <w:tcW w:type="dxa" w:w="3168"/>
            <w:vAlign w:val="center"/>
            <w:shd w:fill="F8F9F9" w:val="clear" w:color="auto"/>
          </w:tcPr>
          <w:p>
            <w:pPr>
              <w:jc w:val="left"/>
            </w:pPr>
            <w:r/>
            <w:r>
              <w:rPr>
                <w:rFonts w:ascii="Arial" w:hAnsi="Arial" w:eastAsia="Arial"/>
                <w:b w:val="0"/>
                <w:i w:val="0"/>
                <w:sz w:val="14"/>
              </w:rPr>
              <w:t>Hybrid software development approaches in practice: A European perspecti…</w:t>
            </w:r>
          </w:p>
        </w:tc>
        <w:tc>
          <w:tcPr>
            <w:tcW w:type="dxa" w:w="1584"/>
            <w:vAlign w:val="center"/>
            <w:shd w:fill="F8F9F9" w:val="clear" w:color="auto"/>
          </w:tcPr>
          <w:p>
            <w:pPr>
              <w:jc w:val="center"/>
            </w:pPr>
            <w:r/>
            <w:r>
              <w:rPr>
                <w:rFonts w:ascii="Arial" w:hAnsi="Arial" w:eastAsia="Arial"/>
                <w:b w:val="0"/>
                <w:i w:val="0"/>
                <w:sz w:val="15"/>
              </w:rPr>
              <w:t>5</w:t>
            </w:r>
          </w:p>
        </w:tc>
        <w:tc>
          <w:tcPr>
            <w:tcW w:type="dxa" w:w="5040"/>
            <w:vAlign w:val="center"/>
            <w:shd w:fill="F8F9F9" w:val="clear" w:color="auto"/>
          </w:tcPr>
          <w:p>
            <w:pPr>
              <w:jc w:val="left"/>
            </w:pPr>
            <w:r/>
            <w:r>
              <w:rPr>
                <w:rFonts w:ascii="Arial" w:hAnsi="Arial" w:eastAsia="Arial"/>
                <w:b w:val="0"/>
                <w:i w:val="0"/>
                <w:sz w:val="14"/>
              </w:rPr>
              <w:t>Analítica descriptiva en panel admin: KPIs ventas, ganancia (admin), unidades (staff), gráficos de demanda semanal.</w:t>
            </w:r>
          </w:p>
        </w:tc>
      </w:tr>
      <w:tr>
        <w:tc>
          <w:tcPr>
            <w:tcW w:type="dxa" w:w="648"/>
            <w:vAlign w:val="center"/>
          </w:tcPr>
          <w:p>
            <w:pPr>
              <w:jc w:val="center"/>
            </w:pPr>
            <w:r/>
            <w:r>
              <w:rPr>
                <w:rFonts w:ascii="Arial" w:hAnsi="Arial" w:eastAsia="Arial"/>
                <w:b w:val="0"/>
                <w:i w:val="0"/>
                <w:sz w:val="15"/>
              </w:rPr>
              <w:t>39</w:t>
            </w:r>
          </w:p>
        </w:tc>
        <w:tc>
          <w:tcPr>
            <w:tcW w:type="dxa" w:w="3168"/>
            <w:vAlign w:val="center"/>
          </w:tcPr>
          <w:p>
            <w:pPr>
              <w:jc w:val="left"/>
            </w:pPr>
            <w:r/>
            <w:r>
              <w:rPr>
                <w:rFonts w:ascii="Arial" w:hAnsi="Arial" w:eastAsia="Arial"/>
                <w:b w:val="0"/>
                <w:i w:val="0"/>
                <w:sz w:val="14"/>
              </w:rPr>
              <w:t>Prescriptive analytics: Literature review and research challenges</w:t>
            </w:r>
          </w:p>
        </w:tc>
        <w:tc>
          <w:tcPr>
            <w:tcW w:type="dxa" w:w="1584"/>
            <w:vAlign w:val="center"/>
          </w:tcPr>
          <w:p>
            <w:pPr>
              <w:jc w:val="center"/>
            </w:pPr>
            <w:r/>
            <w:r>
              <w:rPr>
                <w:rFonts w:ascii="Arial" w:hAnsi="Arial" w:eastAsia="Arial"/>
                <w:b w:val="0"/>
                <w:i w:val="0"/>
                <w:sz w:val="15"/>
              </w:rPr>
              <w:t>5</w:t>
            </w:r>
          </w:p>
        </w:tc>
        <w:tc>
          <w:tcPr>
            <w:tcW w:type="dxa" w:w="5040"/>
            <w:vAlign w:val="center"/>
          </w:tcPr>
          <w:p>
            <w:pPr>
              <w:jc w:val="left"/>
            </w:pPr>
            <w:r/>
            <w:r>
              <w:rPr>
                <w:rFonts w:ascii="Arial" w:hAnsi="Arial" w:eastAsia="Arial"/>
                <w:b w:val="0"/>
                <w:i w:val="0"/>
                <w:sz w:val="14"/>
              </w:rPr>
              <w:t>Alertas de stock prescriptivas: productos con fecha de quiebre estimada; acciones correctivas sugeridas en panel ejecutivo.</w:t>
            </w:r>
          </w:p>
        </w:tc>
      </w:tr>
      <w:tr>
        <w:tc>
          <w:tcPr>
            <w:tcW w:type="dxa" w:w="648"/>
            <w:vAlign w:val="center"/>
            <w:shd w:fill="F8F9F9" w:val="clear" w:color="auto"/>
          </w:tcPr>
          <w:p>
            <w:pPr>
              <w:jc w:val="center"/>
            </w:pPr>
            <w:r/>
            <w:r>
              <w:rPr>
                <w:rFonts w:ascii="Arial" w:hAnsi="Arial" w:eastAsia="Arial"/>
                <w:b w:val="0"/>
                <w:i w:val="0"/>
                <w:sz w:val="15"/>
              </w:rPr>
              <w:t>40</w:t>
            </w:r>
          </w:p>
        </w:tc>
        <w:tc>
          <w:tcPr>
            <w:tcW w:type="dxa" w:w="3168"/>
            <w:vAlign w:val="center"/>
            <w:shd w:fill="F8F9F9" w:val="clear" w:color="auto"/>
          </w:tcPr>
          <w:p>
            <w:pPr>
              <w:jc w:val="left"/>
            </w:pPr>
            <w:r/>
            <w:r>
              <w:rPr>
                <w:rFonts w:ascii="Arial" w:hAnsi="Arial" w:eastAsia="Arial"/>
                <w:b w:val="0"/>
                <w:i w:val="0"/>
                <w:sz w:val="14"/>
              </w:rPr>
              <w:t>Big data analytics in operations management</w:t>
            </w:r>
          </w:p>
        </w:tc>
        <w:tc>
          <w:tcPr>
            <w:tcW w:type="dxa" w:w="1584"/>
            <w:vAlign w:val="center"/>
            <w:shd w:fill="F8F9F9" w:val="clear" w:color="auto"/>
          </w:tcPr>
          <w:p>
            <w:pPr>
              <w:jc w:val="center"/>
            </w:pPr>
            <w:r/>
            <w:r>
              <w:rPr>
                <w:rFonts w:ascii="Arial" w:hAnsi="Arial" w:eastAsia="Arial"/>
                <w:b w:val="0"/>
                <w:i w:val="0"/>
                <w:sz w:val="15"/>
              </w:rPr>
              <w:t>5</w:t>
            </w:r>
          </w:p>
        </w:tc>
        <w:tc>
          <w:tcPr>
            <w:tcW w:type="dxa" w:w="5040"/>
            <w:vAlign w:val="center"/>
            <w:shd w:fill="F8F9F9" w:val="clear" w:color="auto"/>
          </w:tcPr>
          <w:p>
            <w:pPr>
              <w:jc w:val="left"/>
            </w:pPr>
            <w:r/>
            <w:r>
              <w:rPr>
                <w:rFonts w:ascii="Arial" w:hAnsi="Arial" w:eastAsia="Arial"/>
                <w:b w:val="0"/>
                <w:i w:val="0"/>
                <w:sz w:val="14"/>
              </w:rPr>
              <w:t>Big Data operacional: fusión ventas presenciales + online, movimientos de stock y catálogo; procesamiento en pandas/ai-service.</w:t>
            </w:r>
          </w:p>
        </w:tc>
      </w:tr>
      <w:tr>
        <w:tc>
          <w:tcPr>
            <w:tcW w:type="dxa" w:w="648"/>
            <w:vAlign w:val="center"/>
          </w:tcPr>
          <w:p>
            <w:pPr>
              <w:jc w:val="center"/>
            </w:pPr>
            <w:r/>
            <w:r>
              <w:rPr>
                <w:rFonts w:ascii="Arial" w:hAnsi="Arial" w:eastAsia="Arial"/>
                <w:b w:val="0"/>
                <w:i w:val="0"/>
                <w:sz w:val="15"/>
              </w:rPr>
              <w:t>41</w:t>
            </w:r>
          </w:p>
        </w:tc>
        <w:tc>
          <w:tcPr>
            <w:tcW w:type="dxa" w:w="3168"/>
            <w:vAlign w:val="center"/>
          </w:tcPr>
          <w:p>
            <w:pPr>
              <w:jc w:val="left"/>
            </w:pPr>
            <w:r/>
            <w:r>
              <w:rPr>
                <w:rFonts w:ascii="Arial" w:hAnsi="Arial" w:eastAsia="Arial"/>
                <w:b w:val="0"/>
                <w:i w:val="0"/>
                <w:sz w:val="14"/>
              </w:rPr>
              <w:t>AI lifecycle models need to be revised: An exploratory study in Fintech</w:t>
            </w:r>
          </w:p>
        </w:tc>
        <w:tc>
          <w:tcPr>
            <w:tcW w:type="dxa" w:w="1584"/>
            <w:vAlign w:val="center"/>
          </w:tcPr>
          <w:p>
            <w:pPr>
              <w:jc w:val="center"/>
            </w:pPr>
            <w:r/>
            <w:r>
              <w:rPr>
                <w:rFonts w:ascii="Arial" w:hAnsi="Arial" w:eastAsia="Arial"/>
                <w:b w:val="0"/>
                <w:i w:val="0"/>
                <w:sz w:val="15"/>
              </w:rPr>
              <w:t>5</w:t>
            </w:r>
          </w:p>
        </w:tc>
        <w:tc>
          <w:tcPr>
            <w:tcW w:type="dxa" w:w="5040"/>
            <w:vAlign w:val="center"/>
          </w:tcPr>
          <w:p>
            <w:pPr>
              <w:jc w:val="left"/>
            </w:pPr>
            <w:r/>
            <w:r>
              <w:rPr>
                <w:rFonts w:ascii="Arial" w:hAnsi="Arial" w:eastAsia="Arial"/>
                <w:b w:val="0"/>
                <w:i w:val="0"/>
                <w:sz w:val="14"/>
              </w:rPr>
              <w:t>Ciclo CRISP-ML(Q): entrenamiento → despliegue → monitoreo drift → reentrenamiento; metadatos en modelo_estado e ire_historial.</w:t>
            </w:r>
          </w:p>
        </w:tc>
      </w:tr>
      <w:tr>
        <w:tc>
          <w:tcPr>
            <w:tcW w:type="dxa" w:w="648"/>
            <w:vAlign w:val="center"/>
            <w:shd w:fill="F8F9F9" w:val="clear" w:color="auto"/>
          </w:tcPr>
          <w:p>
            <w:pPr>
              <w:jc w:val="center"/>
            </w:pPr>
            <w:r/>
            <w:r>
              <w:rPr>
                <w:rFonts w:ascii="Arial" w:hAnsi="Arial" w:eastAsia="Arial"/>
                <w:b w:val="0"/>
                <w:i w:val="0"/>
                <w:sz w:val="15"/>
              </w:rPr>
              <w:t>42</w:t>
            </w:r>
          </w:p>
        </w:tc>
        <w:tc>
          <w:tcPr>
            <w:tcW w:type="dxa" w:w="3168"/>
            <w:vAlign w:val="center"/>
            <w:shd w:fill="F8F9F9" w:val="clear" w:color="auto"/>
          </w:tcPr>
          <w:p>
            <w:pPr>
              <w:jc w:val="left"/>
            </w:pPr>
            <w:r/>
            <w:r>
              <w:rPr>
                <w:rFonts w:ascii="Arial" w:hAnsi="Arial" w:eastAsia="Arial"/>
                <w:b w:val="0"/>
                <w:i w:val="0"/>
                <w:sz w:val="14"/>
              </w:rPr>
              <w:t>Information technology and organizational performance: An integrative mo…</w:t>
            </w:r>
          </w:p>
        </w:tc>
        <w:tc>
          <w:tcPr>
            <w:tcW w:type="dxa" w:w="1584"/>
            <w:vAlign w:val="center"/>
            <w:shd w:fill="F8F9F9" w:val="clear" w:color="auto"/>
          </w:tcPr>
          <w:p>
            <w:pPr>
              <w:jc w:val="center"/>
            </w:pPr>
            <w:r/>
            <w:r>
              <w:rPr>
                <w:rFonts w:ascii="Arial" w:hAnsi="Arial" w:eastAsia="Arial"/>
                <w:b w:val="0"/>
                <w:i w:val="0"/>
                <w:sz w:val="15"/>
              </w:rPr>
              <w:t>5</w:t>
            </w:r>
          </w:p>
        </w:tc>
        <w:tc>
          <w:tcPr>
            <w:tcW w:type="dxa" w:w="5040"/>
            <w:vAlign w:val="center"/>
            <w:shd w:fill="F8F9F9" w:val="clear" w:color="auto"/>
          </w:tcPr>
          <w:p>
            <w:pPr>
              <w:jc w:val="left"/>
            </w:pPr>
            <w:r/>
            <w:r>
              <w:rPr>
                <w:rFonts w:ascii="Arial" w:hAnsi="Arial" w:eastAsia="Arial"/>
                <w:b w:val="0"/>
                <w:i w:val="0"/>
                <w:sz w:val="14"/>
              </w:rPr>
              <w:t>ROI medible: reducción de quiebres de stock, trazabilidad de ventas, automatización de pedidos; valor de TI justificado en SRS.</w:t>
            </w:r>
          </w:p>
        </w:tc>
      </w:tr>
      <w:tr>
        <w:tc>
          <w:tcPr>
            <w:tcW w:type="dxa" w:w="648"/>
            <w:vAlign w:val="center"/>
          </w:tcPr>
          <w:p>
            <w:pPr>
              <w:jc w:val="center"/>
            </w:pPr>
            <w:r/>
            <w:r>
              <w:rPr>
                <w:rFonts w:ascii="Arial" w:hAnsi="Arial" w:eastAsia="Arial"/>
                <w:b w:val="0"/>
                <w:i w:val="0"/>
                <w:sz w:val="15"/>
              </w:rPr>
              <w:t>43</w:t>
            </w:r>
          </w:p>
        </w:tc>
        <w:tc>
          <w:tcPr>
            <w:tcW w:type="dxa" w:w="3168"/>
            <w:vAlign w:val="center"/>
          </w:tcPr>
          <w:p>
            <w:pPr>
              <w:jc w:val="left"/>
            </w:pPr>
            <w:r/>
            <w:r>
              <w:rPr>
                <w:rFonts w:ascii="Arial" w:hAnsi="Arial" w:eastAsia="Arial"/>
                <w:b w:val="0"/>
                <w:i w:val="0"/>
                <w:sz w:val="14"/>
              </w:rPr>
              <w:t>Revolutionizing cross-border e-commerce: A deep dive into AI and big dat…</w:t>
            </w:r>
          </w:p>
        </w:tc>
        <w:tc>
          <w:tcPr>
            <w:tcW w:type="dxa" w:w="1584"/>
            <w:vAlign w:val="center"/>
          </w:tcPr>
          <w:p>
            <w:pPr>
              <w:jc w:val="center"/>
            </w:pPr>
            <w:r/>
            <w:r>
              <w:rPr>
                <w:rFonts w:ascii="Arial" w:hAnsi="Arial" w:eastAsia="Arial"/>
                <w:b w:val="0"/>
                <w:i w:val="0"/>
                <w:sz w:val="15"/>
              </w:rPr>
              <w:t>5</w:t>
            </w:r>
          </w:p>
        </w:tc>
        <w:tc>
          <w:tcPr>
            <w:tcW w:type="dxa" w:w="5040"/>
            <w:vAlign w:val="center"/>
          </w:tcPr>
          <w:p>
            <w:pPr>
              <w:jc w:val="left"/>
            </w:pPr>
            <w:r/>
            <w:r>
              <w:rPr>
                <w:rFonts w:ascii="Arial" w:hAnsi="Arial" w:eastAsia="Arial"/>
                <w:b w:val="0"/>
                <w:i w:val="0"/>
                <w:sz w:val="14"/>
              </w:rPr>
              <w:t>Alineación total: e-commerce React/Flutter + IA FastAPI + Big Data Supabase + PYME calzado; Dai et al. (2024) como evidencia transversal.</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