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ANEXO 04. INSTRUMENTO DE INVESTIGACION</w:t>
      </w:r>
    </w:p>
    <w:p>
      <w:pPr>
        <w:jc w:val="center"/>
      </w:pPr>
      <w:r>
        <w:rPr>
          <w:rFonts w:ascii="Arial" w:hAnsi="Arial" w:eastAsia="Arial"/>
          <w:b/>
          <w:sz w:val="20"/>
        </w:rPr>
        <w:t>Cuestionario de percepción sobre la predicción del riesgo empresarial y utilidad del sistema web con Inteligencia Artificial en Calzatura Vilchez</w:t>
      </w:r>
    </w:p>
    <w:p>
      <w:r>
        <w:rPr>
          <w:rFonts w:ascii="Arial" w:hAnsi="Arial" w:eastAsia="Arial"/>
          <w:b/>
          <w:sz w:val="20"/>
        </w:rPr>
        <w:t>I. Ficha tecnica del instrumento</w:t>
      </w:r>
    </w:p>
    <w:tbl>
      <w:tblPr>
        <w:tblStyle w:val="TableGrid"/>
        <w:tblW w:type="auto" w:w="0"/>
        <w:jc w:val="center"/>
        <w:tblLook w:firstColumn="1" w:firstRow="1" w:lastColumn="0" w:lastRow="0" w:noHBand="0" w:noVBand="1" w:val="04A0"/>
      </w:tblPr>
      <w:tblGrid>
        <w:gridCol w:w="5256"/>
        <w:gridCol w:w="5256"/>
      </w:tblGrid>
      <w:tr>
        <w:tc>
          <w:tcPr>
            <w:tcW w:type="dxa" w:w="3168"/>
            <w:vAlign w:val="center"/>
            <w:shd w:fill="D9EAF7"/>
          </w:tcPr>
          <w:p>
            <w:pPr>
              <w:jc w:val="both"/>
            </w:pPr>
            <w:r/>
            <w:r>
              <w:rPr>
                <w:rFonts w:ascii="Arial" w:hAnsi="Arial" w:eastAsia="Arial"/>
                <w:b/>
                <w:sz w:val="16"/>
              </w:rPr>
              <w:t>Nombre del instrumento</w:t>
            </w:r>
          </w:p>
        </w:tc>
        <w:tc>
          <w:tcPr>
            <w:tcW w:type="dxa" w:w="6912"/>
            <w:vAlign w:val="center"/>
          </w:tcPr>
          <w:p>
            <w:pPr>
              <w:jc w:val="both"/>
            </w:pPr>
            <w:r/>
            <w:r>
              <w:rPr>
                <w:rFonts w:ascii="Arial" w:hAnsi="Arial" w:eastAsia="Arial"/>
                <w:b w:val="0"/>
                <w:sz w:val="16"/>
              </w:rPr>
              <w:t>Cuestionario de percepción sobre la predicción del riesgo empresarial y utilidad del sistema web con Inteligencia Artificial en Calzatura Vilchez</w:t>
            </w:r>
          </w:p>
        </w:tc>
      </w:tr>
      <w:tr>
        <w:tc>
          <w:tcPr>
            <w:tcW w:type="dxa" w:w="3168"/>
            <w:vAlign w:val="center"/>
            <w:shd w:fill="D9EAF7"/>
          </w:tcPr>
          <w:p>
            <w:pPr>
              <w:jc w:val="both"/>
            </w:pPr>
            <w:r/>
            <w:r>
              <w:rPr>
                <w:rFonts w:ascii="Arial" w:hAnsi="Arial" w:eastAsia="Arial"/>
                <w:b/>
                <w:sz w:val="16"/>
              </w:rPr>
              <w:t>Variable evaluada</w:t>
            </w:r>
          </w:p>
        </w:tc>
        <w:tc>
          <w:tcPr>
            <w:tcW w:type="dxa" w:w="6912"/>
            <w:vAlign w:val="center"/>
          </w:tcPr>
          <w:p>
            <w:pPr>
              <w:jc w:val="both"/>
            </w:pPr>
            <w:r/>
            <w:r>
              <w:rPr>
                <w:rFonts w:ascii="Arial" w:hAnsi="Arial" w:eastAsia="Arial"/>
                <w:b w:val="0"/>
                <w:sz w:val="16"/>
              </w:rPr>
              <w:t>Predicción del riesgo empresarial mediante el Índice de Riesgo Empresarial (IRE).</w:t>
            </w:r>
          </w:p>
        </w:tc>
      </w:tr>
      <w:tr>
        <w:tc>
          <w:tcPr>
            <w:tcW w:type="dxa" w:w="3168"/>
            <w:vAlign w:val="center"/>
            <w:shd w:fill="D9EAF7"/>
          </w:tcPr>
          <w:p>
            <w:pPr>
              <w:jc w:val="both"/>
            </w:pPr>
            <w:r/>
            <w:r>
              <w:rPr>
                <w:rFonts w:ascii="Arial" w:hAnsi="Arial" w:eastAsia="Arial"/>
                <w:b/>
                <w:sz w:val="16"/>
              </w:rPr>
              <w:t>Objetivo</w:t>
            </w:r>
          </w:p>
        </w:tc>
        <w:tc>
          <w:tcPr>
            <w:tcW w:type="dxa" w:w="6912"/>
            <w:vAlign w:val="center"/>
          </w:tcPr>
          <w:p>
            <w:pPr>
              <w:jc w:val="both"/>
            </w:pPr>
            <w:r/>
            <w:r>
              <w:rPr>
                <w:rFonts w:ascii="Arial" w:hAnsi="Arial" w:eastAsia="Arial"/>
                <w:b w:val="0"/>
                <w:sz w:val="16"/>
              </w:rPr>
              <w:t>Recolectar la percepcion del personal de Calzatura Vilchez sobre la capacidad de anticipar, validar y gestionar el riesgo empresarial antes y despues de la implementacion del sistema.</w:t>
            </w:r>
          </w:p>
        </w:tc>
      </w:tr>
      <w:tr>
        <w:tc>
          <w:tcPr>
            <w:tcW w:type="dxa" w:w="3168"/>
            <w:vAlign w:val="center"/>
            <w:shd w:fill="D9EAF7"/>
          </w:tcPr>
          <w:p>
            <w:pPr>
              <w:jc w:val="both"/>
            </w:pPr>
            <w:r/>
            <w:r>
              <w:rPr>
                <w:rFonts w:ascii="Arial" w:hAnsi="Arial" w:eastAsia="Arial"/>
                <w:b/>
                <w:sz w:val="16"/>
              </w:rPr>
              <w:t>Tecnica</w:t>
            </w:r>
          </w:p>
        </w:tc>
        <w:tc>
          <w:tcPr>
            <w:tcW w:type="dxa" w:w="6912"/>
            <w:vAlign w:val="center"/>
          </w:tcPr>
          <w:p>
            <w:pPr>
              <w:jc w:val="both"/>
            </w:pPr>
            <w:r/>
            <w:r>
              <w:rPr>
                <w:rFonts w:ascii="Arial" w:hAnsi="Arial" w:eastAsia="Arial"/>
                <w:b w:val="0"/>
                <w:sz w:val="16"/>
              </w:rPr>
              <w:t>Encuesta estructurada.</w:t>
            </w:r>
          </w:p>
        </w:tc>
      </w:tr>
      <w:tr>
        <w:tc>
          <w:tcPr>
            <w:tcW w:type="dxa" w:w="3168"/>
            <w:vAlign w:val="center"/>
            <w:shd w:fill="D9EAF7"/>
          </w:tcPr>
          <w:p>
            <w:pPr>
              <w:jc w:val="both"/>
            </w:pPr>
            <w:r/>
            <w:r>
              <w:rPr>
                <w:rFonts w:ascii="Arial" w:hAnsi="Arial" w:eastAsia="Arial"/>
                <w:b/>
                <w:sz w:val="16"/>
              </w:rPr>
              <w:t>Tipo de escala</w:t>
            </w:r>
          </w:p>
        </w:tc>
        <w:tc>
          <w:tcPr>
            <w:tcW w:type="dxa" w:w="6912"/>
            <w:vAlign w:val="center"/>
          </w:tcPr>
          <w:p>
            <w:pPr>
              <w:jc w:val="both"/>
            </w:pPr>
            <w:r/>
            <w:r>
              <w:rPr>
                <w:rFonts w:ascii="Arial" w:hAnsi="Arial" w:eastAsia="Arial"/>
                <w:b w:val="0"/>
                <w:sz w:val="16"/>
              </w:rPr>
              <w:t>Escala ordinal tipo Likert de 5 puntos.</w:t>
            </w:r>
          </w:p>
        </w:tc>
      </w:tr>
      <w:tr>
        <w:tc>
          <w:tcPr>
            <w:tcW w:type="dxa" w:w="3168"/>
            <w:vAlign w:val="center"/>
            <w:shd w:fill="D9EAF7"/>
          </w:tcPr>
          <w:p>
            <w:pPr>
              <w:jc w:val="both"/>
            </w:pPr>
            <w:r/>
            <w:r>
              <w:rPr>
                <w:rFonts w:ascii="Arial" w:hAnsi="Arial" w:eastAsia="Arial"/>
                <w:b/>
                <w:sz w:val="16"/>
              </w:rPr>
              <w:t>Numero de items</w:t>
            </w:r>
          </w:p>
        </w:tc>
        <w:tc>
          <w:tcPr>
            <w:tcW w:type="dxa" w:w="6912"/>
            <w:vAlign w:val="center"/>
          </w:tcPr>
          <w:p>
            <w:pPr>
              <w:jc w:val="both"/>
            </w:pPr>
            <w:r/>
            <w:r>
              <w:rPr>
                <w:rFonts w:ascii="Arial" w:hAnsi="Arial" w:eastAsia="Arial"/>
                <w:b w:val="0"/>
                <w:sz w:val="16"/>
              </w:rPr>
              <w:t>24 items distribuidos en 4 dimensiones, con 6 items por dimension.</w:t>
            </w:r>
          </w:p>
        </w:tc>
      </w:tr>
      <w:tr>
        <w:tc>
          <w:tcPr>
            <w:tcW w:type="dxa" w:w="3168"/>
            <w:vAlign w:val="center"/>
            <w:shd w:fill="D9EAF7"/>
          </w:tcPr>
          <w:p>
            <w:pPr>
              <w:jc w:val="both"/>
            </w:pPr>
            <w:r/>
            <w:r>
              <w:rPr>
                <w:rFonts w:ascii="Arial" w:hAnsi="Arial" w:eastAsia="Arial"/>
                <w:b/>
                <w:sz w:val="16"/>
              </w:rPr>
              <w:t>Poblacion de aplicacion</w:t>
            </w:r>
          </w:p>
        </w:tc>
        <w:tc>
          <w:tcPr>
            <w:tcW w:type="dxa" w:w="6912"/>
            <w:vAlign w:val="center"/>
          </w:tcPr>
          <w:p>
            <w:pPr>
              <w:jc w:val="both"/>
            </w:pPr>
            <w:r/>
            <w:r>
              <w:rPr>
                <w:rFonts w:ascii="Arial" w:hAnsi="Arial" w:eastAsia="Arial"/>
                <w:b w:val="0"/>
                <w:sz w:val="16"/>
              </w:rPr>
              <w:t>Personal directivo y operativo de Calzatura Vilchez.</w:t>
            </w:r>
          </w:p>
        </w:tc>
      </w:tr>
      <w:tr>
        <w:tc>
          <w:tcPr>
            <w:tcW w:type="dxa" w:w="3168"/>
            <w:vAlign w:val="center"/>
            <w:shd w:fill="D9EAF7"/>
          </w:tcPr>
          <w:p>
            <w:pPr>
              <w:jc w:val="both"/>
            </w:pPr>
            <w:r/>
            <w:r>
              <w:rPr>
                <w:rFonts w:ascii="Arial" w:hAnsi="Arial" w:eastAsia="Arial"/>
                <w:b/>
                <w:sz w:val="16"/>
              </w:rPr>
              <w:t>Momento de aplicacion</w:t>
            </w:r>
          </w:p>
        </w:tc>
        <w:tc>
          <w:tcPr>
            <w:tcW w:type="dxa" w:w="6912"/>
            <w:vAlign w:val="center"/>
          </w:tcPr>
          <w:p>
            <w:pPr>
              <w:jc w:val="both"/>
            </w:pPr>
            <w:r/>
            <w:r>
              <w:rPr>
                <w:rFonts w:ascii="Arial" w:hAnsi="Arial" w:eastAsia="Arial"/>
                <w:b w:val="0"/>
                <w:sz w:val="16"/>
              </w:rPr>
              <w:t>Preprueba y posprueba. El mismo instrumento se aplica antes y despues de la implementacion.</w:t>
            </w:r>
          </w:p>
        </w:tc>
      </w:tr>
      <w:tr>
        <w:tc>
          <w:tcPr>
            <w:tcW w:type="dxa" w:w="3168"/>
            <w:vAlign w:val="center"/>
            <w:shd w:fill="D9EAF7"/>
          </w:tcPr>
          <w:p>
            <w:pPr>
              <w:jc w:val="both"/>
            </w:pPr>
            <w:r/>
            <w:r>
              <w:rPr>
                <w:rFonts w:ascii="Arial" w:hAnsi="Arial" w:eastAsia="Arial"/>
                <w:b/>
                <w:sz w:val="16"/>
              </w:rPr>
              <w:t>Validez</w:t>
            </w:r>
          </w:p>
        </w:tc>
        <w:tc>
          <w:tcPr>
            <w:tcW w:type="dxa" w:w="6912"/>
            <w:vAlign w:val="center"/>
          </w:tcPr>
          <w:p>
            <w:pPr>
              <w:jc w:val="both"/>
            </w:pPr>
            <w:r/>
            <w:r>
              <w:rPr>
                <w:rFonts w:ascii="Arial" w:hAnsi="Arial" w:eastAsia="Arial"/>
                <w:b w:val="0"/>
                <w:sz w:val="16"/>
              </w:rPr>
              <w:t>Juicio de expertos (min. 3). Coeficiente V de Aiken &gt;= 0.70 (pertinencia, relevancia, claridad).</w:t>
            </w:r>
          </w:p>
        </w:tc>
      </w:tr>
      <w:tr>
        <w:tc>
          <w:tcPr>
            <w:tcW w:type="dxa" w:w="3168"/>
            <w:vAlign w:val="center"/>
            <w:shd w:fill="D9EAF7"/>
          </w:tcPr>
          <w:p>
            <w:pPr>
              <w:jc w:val="both"/>
            </w:pPr>
            <w:r/>
            <w:r>
              <w:rPr>
                <w:rFonts w:ascii="Arial" w:hAnsi="Arial" w:eastAsia="Arial"/>
                <w:b/>
                <w:sz w:val="16"/>
              </w:rPr>
              <w:t>Confiabilidad</w:t>
            </w:r>
          </w:p>
        </w:tc>
        <w:tc>
          <w:tcPr>
            <w:tcW w:type="dxa" w:w="6912"/>
            <w:vAlign w:val="center"/>
          </w:tcPr>
          <w:p>
            <w:pPr>
              <w:jc w:val="both"/>
            </w:pPr>
            <w:r/>
            <w:r>
              <w:rPr>
                <w:rFonts w:ascii="Arial" w:hAnsi="Arial" w:eastAsia="Arial"/>
                <w:b w:val="0"/>
                <w:sz w:val="16"/>
              </w:rPr>
              <w:t>Alfa de Cronbach por dimension y total. Criterio minimo: alfa &gt;= 0.70.</w:t>
            </w:r>
          </w:p>
        </w:tc>
      </w:tr>
      <w:tr>
        <w:tc>
          <w:tcPr>
            <w:tcW w:type="dxa" w:w="3168"/>
            <w:vAlign w:val="center"/>
            <w:shd w:fill="D9EAF7"/>
          </w:tcPr>
          <w:p>
            <w:pPr>
              <w:jc w:val="both"/>
            </w:pPr>
            <w:r/>
            <w:r>
              <w:rPr>
                <w:rFonts w:ascii="Arial" w:hAnsi="Arial" w:eastAsia="Arial"/>
                <w:b/>
                <w:sz w:val="16"/>
              </w:rPr>
              <w:t>Sustento academico</w:t>
            </w:r>
          </w:p>
        </w:tc>
        <w:tc>
          <w:tcPr>
            <w:tcW w:type="dxa" w:w="6912"/>
            <w:vAlign w:val="center"/>
          </w:tcPr>
          <w:p>
            <w:pPr>
              <w:jc w:val="both"/>
            </w:pPr>
            <w:r/>
            <w:r>
              <w:rPr>
                <w:rFonts w:ascii="Arial" w:hAnsi="Arial" w:eastAsia="Arial"/>
                <w:b w:val="0"/>
                <w:sz w:val="16"/>
              </w:rPr>
              <w:t>Alineado con CU-T09, CU-T10, CU-T11 y 42 articulos Q1 del estado del arte.</w:t>
            </w:r>
          </w:p>
        </w:tc>
      </w:tr>
    </w:tbl>
    <w:p>
      <w:r>
        <w:rPr>
          <w:rFonts w:ascii="Arial" w:hAnsi="Arial" w:eastAsia="Arial"/>
          <w:b/>
          <w:sz w:val="20"/>
        </w:rPr>
        <w:t>II. Datos generales del participante</w:t>
      </w:r>
    </w:p>
    <w:tbl>
      <w:tblPr>
        <w:tblStyle w:val="TableGrid"/>
        <w:tblW w:type="auto" w:w="0"/>
        <w:jc w:val="center"/>
        <w:tblLook w:firstColumn="1" w:firstRow="1" w:lastColumn="0" w:lastRow="0" w:noHBand="0" w:noVBand="1" w:val="04A0"/>
      </w:tblPr>
      <w:tblGrid>
        <w:gridCol w:w="5256"/>
        <w:gridCol w:w="5256"/>
      </w:tblGrid>
      <w:tr>
        <w:tc>
          <w:tcPr>
            <w:tcW w:type="dxa" w:w="3168"/>
            <w:vAlign w:val="center"/>
            <w:shd w:fill="F4F9FD"/>
          </w:tcPr>
          <w:p>
            <w:pPr>
              <w:jc w:val="both"/>
            </w:pPr>
            <w:r/>
            <w:r>
              <w:rPr>
                <w:rFonts w:ascii="Arial" w:hAnsi="Arial" w:eastAsia="Arial"/>
                <w:b/>
                <w:sz w:val="16"/>
              </w:rPr>
              <w:t>Codigo del participante</w:t>
            </w:r>
          </w:p>
        </w:tc>
        <w:tc>
          <w:tcPr>
            <w:tcW w:type="dxa" w:w="6912"/>
            <w:vAlign w:val="center"/>
          </w:tcPr>
          <w:p>
            <w:pPr>
              <w:jc w:val="both"/>
            </w:pPr>
            <w:r/>
            <w:r>
              <w:rPr>
                <w:rFonts w:ascii="Arial" w:hAnsi="Arial" w:eastAsia="Arial"/>
                <w:b w:val="0"/>
                <w:sz w:val="16"/>
              </w:rPr>
              <w:t>____________________________</w:t>
            </w:r>
          </w:p>
        </w:tc>
      </w:tr>
      <w:tr>
        <w:tc>
          <w:tcPr>
            <w:tcW w:type="dxa" w:w="3168"/>
            <w:vAlign w:val="center"/>
            <w:shd w:fill="F4F9FD"/>
          </w:tcPr>
          <w:p>
            <w:pPr>
              <w:jc w:val="both"/>
            </w:pPr>
            <w:r/>
            <w:r>
              <w:rPr>
                <w:rFonts w:ascii="Arial" w:hAnsi="Arial" w:eastAsia="Arial"/>
                <w:b/>
                <w:sz w:val="16"/>
              </w:rPr>
              <w:t>Cargo o area</w:t>
            </w:r>
          </w:p>
        </w:tc>
        <w:tc>
          <w:tcPr>
            <w:tcW w:type="dxa" w:w="6912"/>
            <w:vAlign w:val="center"/>
          </w:tcPr>
          <w:p>
            <w:pPr>
              <w:jc w:val="both"/>
            </w:pPr>
            <w:r/>
            <w:r>
              <w:rPr>
                <w:rFonts w:ascii="Arial" w:hAnsi="Arial" w:eastAsia="Arial"/>
                <w:b w:val="0"/>
                <w:sz w:val="16"/>
              </w:rPr>
              <w:t>____________________________</w:t>
            </w:r>
          </w:p>
        </w:tc>
      </w:tr>
      <w:tr>
        <w:tc>
          <w:tcPr>
            <w:tcW w:type="dxa" w:w="3168"/>
            <w:vAlign w:val="center"/>
            <w:shd w:fill="F4F9FD"/>
          </w:tcPr>
          <w:p>
            <w:pPr>
              <w:jc w:val="both"/>
            </w:pPr>
            <w:r/>
            <w:r>
              <w:rPr>
                <w:rFonts w:ascii="Arial" w:hAnsi="Arial" w:eastAsia="Arial"/>
                <w:b/>
                <w:sz w:val="16"/>
              </w:rPr>
              <w:t>Fecha de aplicacion</w:t>
            </w:r>
          </w:p>
        </w:tc>
        <w:tc>
          <w:tcPr>
            <w:tcW w:type="dxa" w:w="6912"/>
            <w:vAlign w:val="center"/>
          </w:tcPr>
          <w:p>
            <w:pPr>
              <w:jc w:val="both"/>
            </w:pPr>
            <w:r/>
            <w:r>
              <w:rPr>
                <w:rFonts w:ascii="Arial" w:hAnsi="Arial" w:eastAsia="Arial"/>
                <w:b w:val="0"/>
                <w:sz w:val="16"/>
              </w:rPr>
              <w:t>____ / ____ / ______</w:t>
            </w:r>
          </w:p>
        </w:tc>
      </w:tr>
      <w:tr>
        <w:tc>
          <w:tcPr>
            <w:tcW w:type="dxa" w:w="3168"/>
            <w:vAlign w:val="center"/>
            <w:shd w:fill="F4F9FD"/>
          </w:tcPr>
          <w:p>
            <w:pPr>
              <w:jc w:val="both"/>
            </w:pPr>
            <w:r/>
            <w:r>
              <w:rPr>
                <w:rFonts w:ascii="Arial" w:hAnsi="Arial" w:eastAsia="Arial"/>
                <w:b/>
                <w:sz w:val="16"/>
              </w:rPr>
              <w:t>Momento de aplicacion</w:t>
            </w:r>
          </w:p>
        </w:tc>
        <w:tc>
          <w:tcPr>
            <w:tcW w:type="dxa" w:w="6912"/>
            <w:vAlign w:val="center"/>
          </w:tcPr>
          <w:p>
            <w:pPr>
              <w:jc w:val="both"/>
            </w:pPr>
            <w:r/>
            <w:r>
              <w:rPr>
                <w:rFonts w:ascii="Arial" w:hAnsi="Arial" w:eastAsia="Arial"/>
                <w:b w:val="0"/>
                <w:sz w:val="16"/>
              </w:rPr>
              <w:t>[  ] Preprueba     [  ] Posprueba</w:t>
            </w:r>
          </w:p>
        </w:tc>
      </w:tr>
    </w:tbl>
    <w:p>
      <w:r>
        <w:rPr>
          <w:rFonts w:ascii="Arial" w:hAnsi="Arial" w:eastAsia="Arial"/>
          <w:b/>
          <w:sz w:val="20"/>
        </w:rPr>
        <w:t>III. Instrucciones</w:t>
      </w:r>
    </w:p>
    <w:p>
      <w:r>
        <w:rPr>
          <w:rFonts w:ascii="Arial" w:hAnsi="Arial" w:eastAsia="Arial"/>
          <w:b w:val="0"/>
          <w:sz w:val="18"/>
        </w:rPr>
        <w:t>Estimado(a) participante: marque con una X la alternativa que mejor represente su percepcion. Si el cuestionario se aplica como preprueba, responda considerando la forma actual de gestion (metodo actual). Si se aplica como posprueba, responda considerando el sistema web con modelo de Inteligencia Artificial ya implementado. La informacion sera utilizada solo con fines academicos.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872"/>
            <w:vAlign w:val="center"/>
            <w:shd w:fill="D9EAF7"/>
          </w:tcPr>
          <w:p>
            <w:pPr>
              <w:jc w:val="center"/>
            </w:pPr>
            <w:r/>
            <w:r>
              <w:rPr>
                <w:rFonts w:ascii="Arial" w:hAnsi="Arial" w:eastAsia="Arial"/>
                <w:b/>
                <w:sz w:val="16"/>
              </w:rPr>
              <w:t>1</w:t>
            </w:r>
          </w:p>
        </w:tc>
        <w:tc>
          <w:tcPr>
            <w:tcW w:type="dxa" w:w="1872"/>
            <w:vAlign w:val="center"/>
            <w:shd w:fill="D9EAF7"/>
          </w:tcPr>
          <w:p>
            <w:pPr>
              <w:jc w:val="center"/>
            </w:pPr>
            <w:r/>
            <w:r>
              <w:rPr>
                <w:rFonts w:ascii="Arial" w:hAnsi="Arial" w:eastAsia="Arial"/>
                <w:b/>
                <w:sz w:val="16"/>
              </w:rPr>
              <w:t>2</w:t>
            </w:r>
          </w:p>
        </w:tc>
        <w:tc>
          <w:tcPr>
            <w:tcW w:type="dxa" w:w="1872"/>
            <w:vAlign w:val="center"/>
            <w:shd w:fill="D9EAF7"/>
          </w:tcPr>
          <w:p>
            <w:pPr>
              <w:jc w:val="center"/>
            </w:pPr>
            <w:r/>
            <w:r>
              <w:rPr>
                <w:rFonts w:ascii="Arial" w:hAnsi="Arial" w:eastAsia="Arial"/>
                <w:b/>
                <w:sz w:val="16"/>
              </w:rPr>
              <w:t>3</w:t>
            </w:r>
          </w:p>
        </w:tc>
        <w:tc>
          <w:tcPr>
            <w:tcW w:type="dxa" w:w="1872"/>
            <w:vAlign w:val="center"/>
            <w:shd w:fill="D9EAF7"/>
          </w:tcPr>
          <w:p>
            <w:pPr>
              <w:jc w:val="center"/>
            </w:pPr>
            <w:r/>
            <w:r>
              <w:rPr>
                <w:rFonts w:ascii="Arial" w:hAnsi="Arial" w:eastAsia="Arial"/>
                <w:b/>
                <w:sz w:val="16"/>
              </w:rPr>
              <w:t>4</w:t>
            </w:r>
          </w:p>
        </w:tc>
        <w:tc>
          <w:tcPr>
            <w:tcW w:type="dxa" w:w="1872"/>
            <w:vAlign w:val="center"/>
            <w:shd w:fill="D9EAF7"/>
          </w:tcPr>
          <w:p>
            <w:pPr>
              <w:jc w:val="center"/>
            </w:pPr>
            <w:r/>
            <w:r>
              <w:rPr>
                <w:rFonts w:ascii="Arial" w:hAnsi="Arial" w:eastAsia="Arial"/>
                <w:b/>
                <w:sz w:val="16"/>
              </w:rPr>
              <w:t>5</w:t>
            </w:r>
          </w:p>
        </w:tc>
      </w:tr>
      <w:tr>
        <w:tc>
          <w:tcPr>
            <w:tcW w:type="dxa" w:w="1872"/>
            <w:vAlign w:val="center"/>
          </w:tcPr>
          <w:p>
            <w:pPr>
              <w:jc w:val="center"/>
            </w:pPr>
            <w:r/>
            <w:r>
              <w:rPr>
                <w:rFonts w:ascii="Arial" w:hAnsi="Arial" w:eastAsia="Arial"/>
                <w:b w:val="0"/>
                <w:sz w:val="15"/>
              </w:rPr>
              <w:t>Totalmente en desacuerdo</w:t>
            </w:r>
          </w:p>
        </w:tc>
        <w:tc>
          <w:tcPr>
            <w:tcW w:type="dxa" w:w="1872"/>
            <w:vAlign w:val="center"/>
          </w:tcPr>
          <w:p>
            <w:pPr>
              <w:jc w:val="center"/>
            </w:pPr>
            <w:r/>
            <w:r>
              <w:rPr>
                <w:rFonts w:ascii="Arial" w:hAnsi="Arial" w:eastAsia="Arial"/>
                <w:b w:val="0"/>
                <w:sz w:val="15"/>
              </w:rPr>
              <w:t>En desacuerdo</w:t>
            </w:r>
          </w:p>
        </w:tc>
        <w:tc>
          <w:tcPr>
            <w:tcW w:type="dxa" w:w="1872"/>
            <w:vAlign w:val="center"/>
          </w:tcPr>
          <w:p>
            <w:pPr>
              <w:jc w:val="center"/>
            </w:pPr>
            <w:r/>
            <w:r>
              <w:rPr>
                <w:rFonts w:ascii="Arial" w:hAnsi="Arial" w:eastAsia="Arial"/>
                <w:b w:val="0"/>
                <w:sz w:val="15"/>
              </w:rPr>
              <w:t>Ni de acuerdo ni en desacuerdo</w:t>
            </w:r>
          </w:p>
        </w:tc>
        <w:tc>
          <w:tcPr>
            <w:tcW w:type="dxa" w:w="1872"/>
            <w:vAlign w:val="center"/>
          </w:tcPr>
          <w:p>
            <w:pPr>
              <w:jc w:val="center"/>
            </w:pPr>
            <w:r/>
            <w:r>
              <w:rPr>
                <w:rFonts w:ascii="Arial" w:hAnsi="Arial" w:eastAsia="Arial"/>
                <w:b w:val="0"/>
                <w:sz w:val="15"/>
              </w:rPr>
              <w:t>De acuerdo</w:t>
            </w:r>
          </w:p>
        </w:tc>
        <w:tc>
          <w:tcPr>
            <w:tcW w:type="dxa" w:w="1872"/>
            <w:vAlign w:val="center"/>
          </w:tcPr>
          <w:p>
            <w:pPr>
              <w:jc w:val="center"/>
            </w:pPr>
            <w:r/>
            <w:r>
              <w:rPr>
                <w:rFonts w:ascii="Arial" w:hAnsi="Arial" w:eastAsia="Arial"/>
                <w:b w:val="0"/>
                <w:sz w:val="15"/>
              </w:rPr>
              <w:t>Totalmente de acuerdo</w:t>
            </w:r>
          </w:p>
        </w:tc>
      </w:tr>
    </w:tbl>
    <w:p>
      <w:r>
        <w:rPr>
          <w:rFonts w:ascii="Arial" w:hAnsi="Arial" w:eastAsia="Arial"/>
          <w:b/>
          <w:sz w:val="20"/>
        </w:rPr>
        <w:t>IV. Cuestionario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504"/>
            <w:vAlign w:val="center"/>
            <w:shd w:fill="D9EAF7"/>
          </w:tcPr>
          <w:p>
            <w:pPr>
              <w:jc w:val="center"/>
            </w:pPr>
            <w:r/>
            <w:r>
              <w:rPr>
                <w:rFonts w:ascii="Arial" w:hAnsi="Arial" w:eastAsia="Arial"/>
                <w:b/>
                <w:sz w:val="14"/>
              </w:rPr>
              <w:t>N</w:t>
            </w:r>
          </w:p>
        </w:tc>
        <w:tc>
          <w:tcPr>
            <w:tcW w:type="dxa" w:w="2304"/>
            <w:vAlign w:val="center"/>
            <w:shd w:fill="D9EAF7"/>
          </w:tcPr>
          <w:p>
            <w:pPr>
              <w:jc w:val="center"/>
            </w:pPr>
            <w:r/>
            <w:r>
              <w:rPr>
                <w:rFonts w:ascii="Arial" w:hAnsi="Arial" w:eastAsia="Arial"/>
                <w:b/>
                <w:sz w:val="14"/>
              </w:rPr>
              <w:t>Dimension</w:t>
            </w:r>
          </w:p>
        </w:tc>
        <w:tc>
          <w:tcPr>
            <w:tcW w:type="dxa" w:w="4824"/>
            <w:vAlign w:val="center"/>
            <w:shd w:fill="D9EAF7"/>
          </w:tcPr>
          <w:p>
            <w:pPr>
              <w:jc w:val="center"/>
            </w:pPr>
            <w:r/>
            <w:r>
              <w:rPr>
                <w:rFonts w:ascii="Arial" w:hAnsi="Arial" w:eastAsia="Arial"/>
                <w:b/>
                <w:sz w:val="14"/>
              </w:rPr>
              <w:t>Item</w:t>
            </w:r>
          </w:p>
        </w:tc>
        <w:tc>
          <w:tcPr>
            <w:tcW w:type="dxa" w:w="504"/>
            <w:vAlign w:val="center"/>
            <w:shd w:fill="D9EAF7"/>
          </w:tcPr>
          <w:p>
            <w:pPr>
              <w:jc w:val="center"/>
            </w:pPr>
            <w:r/>
            <w:r>
              <w:rPr>
                <w:rFonts w:ascii="Arial" w:hAnsi="Arial" w:eastAsia="Arial"/>
                <w:b/>
                <w:sz w:val="14"/>
              </w:rPr>
              <w:t>1</w:t>
            </w:r>
          </w:p>
        </w:tc>
        <w:tc>
          <w:tcPr>
            <w:tcW w:type="dxa" w:w="504"/>
            <w:vAlign w:val="center"/>
            <w:shd w:fill="D9EAF7"/>
          </w:tcPr>
          <w:p>
            <w:pPr>
              <w:jc w:val="center"/>
            </w:pPr>
            <w:r/>
            <w:r>
              <w:rPr>
                <w:rFonts w:ascii="Arial" w:hAnsi="Arial" w:eastAsia="Arial"/>
                <w:b/>
                <w:sz w:val="14"/>
              </w:rPr>
              <w:t>2</w:t>
            </w:r>
          </w:p>
        </w:tc>
        <w:tc>
          <w:tcPr>
            <w:tcW w:type="dxa" w:w="504"/>
            <w:vAlign w:val="center"/>
            <w:shd w:fill="D9EAF7"/>
          </w:tcPr>
          <w:p>
            <w:pPr>
              <w:jc w:val="center"/>
            </w:pPr>
            <w:r/>
            <w:r>
              <w:rPr>
                <w:rFonts w:ascii="Arial" w:hAnsi="Arial" w:eastAsia="Arial"/>
                <w:b/>
                <w:sz w:val="14"/>
              </w:rPr>
              <w:t>3</w:t>
            </w:r>
          </w:p>
        </w:tc>
        <w:tc>
          <w:tcPr>
            <w:tcW w:type="dxa" w:w="504"/>
            <w:vAlign w:val="center"/>
            <w:shd w:fill="D9EAF7"/>
          </w:tcPr>
          <w:p>
            <w:pPr>
              <w:jc w:val="center"/>
            </w:pPr>
            <w:r/>
            <w:r>
              <w:rPr>
                <w:rFonts w:ascii="Arial" w:hAnsi="Arial" w:eastAsia="Arial"/>
                <w:b/>
                <w:sz w:val="14"/>
              </w:rPr>
              <w:t>4</w:t>
            </w:r>
          </w:p>
        </w:tc>
        <w:tc>
          <w:tcPr>
            <w:tcW w:type="dxa" w:w="504"/>
            <w:vAlign w:val="center"/>
            <w:shd w:fill="D9EAF7"/>
          </w:tcPr>
          <w:p>
            <w:pPr>
              <w:jc w:val="center"/>
            </w:pPr>
            <w:r/>
            <w:r>
              <w:rPr>
                <w:rFonts w:ascii="Arial" w:hAnsi="Arial" w:eastAsia="Arial"/>
                <w:b/>
                <w:sz w:val="14"/>
              </w:rPr>
              <w:t>5</w:t>
            </w:r>
          </w:p>
        </w:tc>
      </w:tr>
      <w:tr>
        <w:tc>
          <w:tcPr>
            <w:tcW w:type="dxa" w:w="504"/>
            <w:vAlign w:val="center"/>
            <w:shd w:fill="F4F9FD"/>
          </w:tcPr>
          <w:p>
            <w:pPr>
              <w:jc w:val="center"/>
            </w:pPr>
            <w:r/>
            <w:r>
              <w:rPr>
                <w:rFonts w:ascii="Arial" w:hAnsi="Arial" w:eastAsia="Arial"/>
                <w:b w:val="0"/>
                <w:sz w:val="13"/>
              </w:rPr>
              <w:t>1</w:t>
            </w:r>
          </w:p>
        </w:tc>
        <w:tc>
          <w:tcPr>
            <w:tcW w:type="dxa" w:w="2304"/>
            <w:vAlign w:val="center"/>
            <w:shd w:fill="F4F9FD"/>
          </w:tcPr>
          <w:p>
            <w:pPr>
              <w:jc w:val="both"/>
            </w:pPr>
            <w:r/>
            <w:r>
              <w:rPr>
                <w:rFonts w:ascii="Arial" w:hAnsi="Arial" w:eastAsia="Arial"/>
                <w:b w:val="0"/>
                <w:sz w:val="13"/>
              </w:rPr>
              <w:t>D1: Modelos de predicción del riesgo empresarial</w:t>
            </w:r>
          </w:p>
        </w:tc>
        <w:tc>
          <w:tcPr>
            <w:tcW w:type="dxa" w:w="4824"/>
            <w:vAlign w:val="center"/>
            <w:shd w:fill="F4F9FD"/>
          </w:tcPr>
          <w:p>
            <w:pPr>
              <w:jc w:val="both"/>
            </w:pPr>
            <w:r/>
            <w:r>
              <w:rPr>
                <w:rFonts w:ascii="Arial" w:hAnsi="Arial" w:eastAsia="Arial"/>
                <w:b w:val="0"/>
                <w:sz w:val="13"/>
              </w:rPr>
              <w:t>El [método actual / sistema implementado] integra adecuadamente la predicción de demanda (IA) y los indicadores de stock e ingresos para estimar el riesgo empresarial.</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r>
      <w:tr>
        <w:tc>
          <w:tcPr>
            <w:tcW w:type="dxa" w:w="504"/>
            <w:vAlign w:val="center"/>
            <w:shd w:fill="F4F9FD"/>
          </w:tcPr>
          <w:p>
            <w:pPr>
              <w:jc w:val="center"/>
            </w:pPr>
            <w:r/>
            <w:r>
              <w:rPr>
                <w:rFonts w:ascii="Arial" w:hAnsi="Arial" w:eastAsia="Arial"/>
                <w:b w:val="0"/>
                <w:sz w:val="13"/>
              </w:rPr>
              <w:t>2</w:t>
            </w:r>
          </w:p>
        </w:tc>
        <w:tc>
          <w:tcPr>
            <w:tcW w:type="dxa" w:w="2304"/>
            <w:vAlign w:val="center"/>
            <w:shd w:fill="F4F9FD"/>
          </w:tcPr>
          <w:p>
            <w:pPr>
              <w:jc w:val="both"/>
            </w:pPr>
            <w:r/>
            <w:r>
              <w:rPr>
                <w:rFonts w:ascii="Arial" w:hAnsi="Arial" w:eastAsia="Arial"/>
                <w:b w:val="0"/>
                <w:sz w:val="13"/>
              </w:rPr>
              <w:t>D1: Modelos de predicción del riesgo empresarial</w:t>
            </w:r>
          </w:p>
        </w:tc>
        <w:tc>
          <w:tcPr>
            <w:tcW w:type="dxa" w:w="4824"/>
            <w:vAlign w:val="center"/>
            <w:shd w:fill="F4F9FD"/>
          </w:tcPr>
          <w:p>
            <w:pPr>
              <w:jc w:val="both"/>
            </w:pPr>
            <w:r/>
            <w:r>
              <w:rPr>
                <w:rFonts w:ascii="Arial" w:hAnsi="Arial" w:eastAsia="Arial"/>
                <w:b w:val="0"/>
                <w:sz w:val="13"/>
              </w:rPr>
              <w:t>El [método actual / sistema implementado] considera de forma adecuada las variables de stock, ingresos, demanda e inventario de productos.</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r>
      <w:tr>
        <w:tc>
          <w:tcPr>
            <w:tcW w:type="dxa" w:w="504"/>
            <w:vAlign w:val="center"/>
            <w:shd w:fill="F4F9FD"/>
          </w:tcPr>
          <w:p>
            <w:pPr>
              <w:jc w:val="center"/>
            </w:pPr>
            <w:r/>
            <w:r>
              <w:rPr>
                <w:rFonts w:ascii="Arial" w:hAnsi="Arial" w:eastAsia="Arial"/>
                <w:b w:val="0"/>
                <w:sz w:val="13"/>
              </w:rPr>
              <w:t>3</w:t>
            </w:r>
          </w:p>
        </w:tc>
        <w:tc>
          <w:tcPr>
            <w:tcW w:type="dxa" w:w="2304"/>
            <w:vAlign w:val="center"/>
            <w:shd w:fill="F4F9FD"/>
          </w:tcPr>
          <w:p>
            <w:pPr>
              <w:jc w:val="both"/>
            </w:pPr>
            <w:r/>
            <w:r>
              <w:rPr>
                <w:rFonts w:ascii="Arial" w:hAnsi="Arial" w:eastAsia="Arial"/>
                <w:b w:val="0"/>
                <w:sz w:val="13"/>
              </w:rPr>
              <w:t>D1: Modelos de predicción del riesgo empresarial</w:t>
            </w:r>
          </w:p>
        </w:tc>
        <w:tc>
          <w:tcPr>
            <w:tcW w:type="dxa" w:w="4824"/>
            <w:vAlign w:val="center"/>
            <w:shd w:fill="F4F9FD"/>
          </w:tcPr>
          <w:p>
            <w:pPr>
              <w:jc w:val="both"/>
            </w:pPr>
            <w:r/>
            <w:r>
              <w:rPr>
                <w:rFonts w:ascii="Arial" w:hAnsi="Arial" w:eastAsia="Arial"/>
                <w:b w:val="0"/>
                <w:sz w:val="13"/>
              </w:rPr>
              <w:t>El [método actual / sistema implementado] permite planificar con horizontes de predicción útiles (7, 15 o 30 días) para la gestión del riesgo.</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r>
      <w:tr>
        <w:tc>
          <w:tcPr>
            <w:tcW w:type="dxa" w:w="504"/>
            <w:vAlign w:val="center"/>
            <w:shd w:fill="F4F9FD"/>
          </w:tcPr>
          <w:p>
            <w:pPr>
              <w:jc w:val="center"/>
            </w:pPr>
            <w:r/>
            <w:r>
              <w:rPr>
                <w:rFonts w:ascii="Arial" w:hAnsi="Arial" w:eastAsia="Arial"/>
                <w:b w:val="0"/>
                <w:sz w:val="13"/>
              </w:rPr>
              <w:t>4</w:t>
            </w:r>
          </w:p>
        </w:tc>
        <w:tc>
          <w:tcPr>
            <w:tcW w:type="dxa" w:w="2304"/>
            <w:vAlign w:val="center"/>
            <w:shd w:fill="F4F9FD"/>
          </w:tcPr>
          <w:p>
            <w:pPr>
              <w:jc w:val="both"/>
            </w:pPr>
            <w:r/>
            <w:r>
              <w:rPr>
                <w:rFonts w:ascii="Arial" w:hAnsi="Arial" w:eastAsia="Arial"/>
                <w:b w:val="0"/>
                <w:sz w:val="13"/>
              </w:rPr>
              <w:t>D1: Modelos de predicción del riesgo empresarial</w:t>
            </w:r>
          </w:p>
        </w:tc>
        <w:tc>
          <w:tcPr>
            <w:tcW w:type="dxa" w:w="4824"/>
            <w:vAlign w:val="center"/>
            <w:shd w:fill="F4F9FD"/>
          </w:tcPr>
          <w:p>
            <w:pPr>
              <w:jc w:val="both"/>
            </w:pPr>
            <w:r/>
            <w:r>
              <w:rPr>
                <w:rFonts w:ascii="Arial" w:hAnsi="Arial" w:eastAsia="Arial"/>
                <w:b w:val="0"/>
                <w:sz w:val="13"/>
              </w:rPr>
              <w:t>La forma en que el IRE combina los componentes (stock, ingresos y demanda) es adecuada para interpretar el riesgo empresarial.</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r>
      <w:tr>
        <w:tc>
          <w:tcPr>
            <w:tcW w:type="dxa" w:w="504"/>
            <w:vAlign w:val="center"/>
            <w:shd w:fill="F4F9FD"/>
          </w:tcPr>
          <w:p>
            <w:pPr>
              <w:jc w:val="center"/>
            </w:pPr>
            <w:r/>
            <w:r>
              <w:rPr>
                <w:rFonts w:ascii="Arial" w:hAnsi="Arial" w:eastAsia="Arial"/>
                <w:b w:val="0"/>
                <w:sz w:val="13"/>
              </w:rPr>
              <w:t>5</w:t>
            </w:r>
          </w:p>
        </w:tc>
        <w:tc>
          <w:tcPr>
            <w:tcW w:type="dxa" w:w="2304"/>
            <w:vAlign w:val="center"/>
            <w:shd w:fill="F4F9FD"/>
          </w:tcPr>
          <w:p>
            <w:pPr>
              <w:jc w:val="both"/>
            </w:pPr>
            <w:r/>
            <w:r>
              <w:rPr>
                <w:rFonts w:ascii="Arial" w:hAnsi="Arial" w:eastAsia="Arial"/>
                <w:b w:val="0"/>
                <w:sz w:val="13"/>
              </w:rPr>
              <w:t>D1: Modelos de predicción del riesgo empresarial</w:t>
            </w:r>
          </w:p>
        </w:tc>
        <w:tc>
          <w:tcPr>
            <w:tcW w:type="dxa" w:w="4824"/>
            <w:vAlign w:val="center"/>
            <w:shd w:fill="F4F9FD"/>
          </w:tcPr>
          <w:p>
            <w:pPr>
              <w:jc w:val="both"/>
            </w:pPr>
            <w:r/>
            <w:r>
              <w:rPr>
                <w:rFonts w:ascii="Arial" w:hAnsi="Arial" w:eastAsia="Arial"/>
                <w:b w:val="0"/>
                <w:sz w:val="13"/>
              </w:rPr>
              <w:t>Los métodos de validación del [método actual / sistema implementado] (consistencia interna y walk-forward) generan confianza en los resultados.</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r>
      <w:tr>
        <w:tc>
          <w:tcPr>
            <w:tcW w:type="dxa" w:w="504"/>
            <w:vAlign w:val="center"/>
            <w:shd w:fill="F4F9FD"/>
          </w:tcPr>
          <w:p>
            <w:pPr>
              <w:jc w:val="center"/>
            </w:pPr>
            <w:r/>
            <w:r>
              <w:rPr>
                <w:rFonts w:ascii="Arial" w:hAnsi="Arial" w:eastAsia="Arial"/>
                <w:b w:val="0"/>
                <w:sz w:val="13"/>
              </w:rPr>
              <w:t>6</w:t>
            </w:r>
          </w:p>
        </w:tc>
        <w:tc>
          <w:tcPr>
            <w:tcW w:type="dxa" w:w="2304"/>
            <w:vAlign w:val="center"/>
            <w:shd w:fill="F4F9FD"/>
          </w:tcPr>
          <w:p>
            <w:pPr>
              <w:jc w:val="both"/>
            </w:pPr>
            <w:r/>
            <w:r>
              <w:rPr>
                <w:rFonts w:ascii="Arial" w:hAnsi="Arial" w:eastAsia="Arial"/>
                <w:b w:val="0"/>
                <w:sz w:val="13"/>
              </w:rPr>
              <w:t>D1: Modelos de predicción del riesgo empresarial</w:t>
            </w:r>
          </w:p>
        </w:tc>
        <w:tc>
          <w:tcPr>
            <w:tcW w:type="dxa" w:w="4824"/>
            <w:vAlign w:val="center"/>
            <w:shd w:fill="F4F9FD"/>
          </w:tcPr>
          <w:p>
            <w:pPr>
              <w:jc w:val="both"/>
            </w:pPr>
            <w:r/>
            <w:r>
              <w:rPr>
                <w:rFonts w:ascii="Arial" w:hAnsi="Arial" w:eastAsia="Arial"/>
                <w:b w:val="0"/>
                <w:sz w:val="13"/>
              </w:rPr>
              <w:t>El [método actual / sistema implementado] mejora la estimación del riesgo empresarial respecto al método empírico utilizado anteriormente.</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c>
          <w:tcPr>
            <w:tcW w:type="dxa" w:w="504"/>
            <w:vAlign w:val="center"/>
            <w:shd w:fill="F4F9FD"/>
          </w:tcPr>
          <w:p>
            <w:pPr>
              <w:jc w:val="center"/>
            </w:pPr>
            <w:r/>
            <w:r>
              <w:rPr>
                <w:rFonts w:ascii="Arial" w:hAnsi="Arial" w:eastAsia="Arial"/>
                <w:b w:val="0"/>
                <w:sz w:val="13"/>
              </w:rPr>
              <w:t>[  ]</w:t>
            </w:r>
          </w:p>
        </w:tc>
      </w:tr>
      <w:tr>
        <w:tc>
          <w:tcPr>
            <w:tcW w:type="dxa" w:w="504"/>
            <w:vAlign w:val="center"/>
            <w:shd w:fill="FFF9EE"/>
          </w:tcPr>
          <w:p>
            <w:pPr>
              <w:jc w:val="center"/>
            </w:pPr>
            <w:r/>
            <w:r>
              <w:rPr>
                <w:rFonts w:ascii="Arial" w:hAnsi="Arial" w:eastAsia="Arial"/>
                <w:b w:val="0"/>
                <w:sz w:val="13"/>
              </w:rPr>
              <w:t>7</w:t>
            </w:r>
          </w:p>
        </w:tc>
        <w:tc>
          <w:tcPr>
            <w:tcW w:type="dxa" w:w="2304"/>
            <w:vAlign w:val="center"/>
            <w:shd w:fill="FFF9EE"/>
          </w:tcPr>
          <w:p>
            <w:pPr>
              <w:jc w:val="both"/>
            </w:pPr>
            <w:r/>
            <w:r>
              <w:rPr>
                <w:rFonts w:ascii="Arial" w:hAnsi="Arial" w:eastAsia="Arial"/>
                <w:b w:val="0"/>
                <w:sz w:val="13"/>
              </w:rPr>
              <w:t>D2: Exactitud y validación del IRE y modelos predictivos</w:t>
            </w:r>
          </w:p>
        </w:tc>
        <w:tc>
          <w:tcPr>
            <w:tcW w:type="dxa" w:w="4824"/>
            <w:vAlign w:val="center"/>
            <w:shd w:fill="FFF9EE"/>
          </w:tcPr>
          <w:p>
            <w:pPr>
              <w:jc w:val="both"/>
            </w:pPr>
            <w:r/>
            <w:r>
              <w:rPr>
                <w:rFonts w:ascii="Arial" w:hAnsi="Arial" w:eastAsia="Arial"/>
                <w:b w:val="0"/>
                <w:sz w:val="13"/>
              </w:rPr>
              <w:t>Las estimaciones del IRE son internamente consistentes (coherentes entre sus componentes y el valor global).</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r>
      <w:tr>
        <w:tc>
          <w:tcPr>
            <w:tcW w:type="dxa" w:w="504"/>
            <w:vAlign w:val="center"/>
            <w:shd w:fill="FFF9EE"/>
          </w:tcPr>
          <w:p>
            <w:pPr>
              <w:jc w:val="center"/>
            </w:pPr>
            <w:r/>
            <w:r>
              <w:rPr>
                <w:rFonts w:ascii="Arial" w:hAnsi="Arial" w:eastAsia="Arial"/>
                <w:b w:val="0"/>
                <w:sz w:val="13"/>
              </w:rPr>
              <w:t>8</w:t>
            </w:r>
          </w:p>
        </w:tc>
        <w:tc>
          <w:tcPr>
            <w:tcW w:type="dxa" w:w="2304"/>
            <w:vAlign w:val="center"/>
            <w:shd w:fill="FFF9EE"/>
          </w:tcPr>
          <w:p>
            <w:pPr>
              <w:jc w:val="both"/>
            </w:pPr>
            <w:r/>
            <w:r>
              <w:rPr>
                <w:rFonts w:ascii="Arial" w:hAnsi="Arial" w:eastAsia="Arial"/>
                <w:b w:val="0"/>
                <w:sz w:val="13"/>
              </w:rPr>
              <w:t>D2: Exactitud y validación del IRE y modelos predictivos</w:t>
            </w:r>
          </w:p>
        </w:tc>
        <w:tc>
          <w:tcPr>
            <w:tcW w:type="dxa" w:w="4824"/>
            <w:vAlign w:val="center"/>
            <w:shd w:fill="FFF9EE"/>
          </w:tcPr>
          <w:p>
            <w:pPr>
              <w:jc w:val="both"/>
            </w:pPr>
            <w:r/>
            <w:r>
              <w:rPr>
                <w:rFonts w:ascii="Arial" w:hAnsi="Arial" w:eastAsia="Arial"/>
                <w:b w:val="0"/>
                <w:sz w:val="13"/>
              </w:rPr>
              <w:t>El error medio de pronóstico de demanda (MAE) del [método actual / sistema implementado] es aceptable para la gestión de inventario.</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r>
      <w:tr>
        <w:tc>
          <w:tcPr>
            <w:tcW w:type="dxa" w:w="504"/>
            <w:vAlign w:val="center"/>
            <w:shd w:fill="FFF9EE"/>
          </w:tcPr>
          <w:p>
            <w:pPr>
              <w:jc w:val="center"/>
            </w:pPr>
            <w:r/>
            <w:r>
              <w:rPr>
                <w:rFonts w:ascii="Arial" w:hAnsi="Arial" w:eastAsia="Arial"/>
                <w:b w:val="0"/>
                <w:sz w:val="13"/>
              </w:rPr>
              <w:t>9</w:t>
            </w:r>
          </w:p>
        </w:tc>
        <w:tc>
          <w:tcPr>
            <w:tcW w:type="dxa" w:w="2304"/>
            <w:vAlign w:val="center"/>
            <w:shd w:fill="FFF9EE"/>
          </w:tcPr>
          <w:p>
            <w:pPr>
              <w:jc w:val="both"/>
            </w:pPr>
            <w:r/>
            <w:r>
              <w:rPr>
                <w:rFonts w:ascii="Arial" w:hAnsi="Arial" w:eastAsia="Arial"/>
                <w:b w:val="0"/>
                <w:sz w:val="13"/>
              </w:rPr>
              <w:t>D2: Exactitud y validación del IRE y modelos predictivos</w:t>
            </w:r>
          </w:p>
        </w:tc>
        <w:tc>
          <w:tcPr>
            <w:tcW w:type="dxa" w:w="4824"/>
            <w:vAlign w:val="center"/>
            <w:shd w:fill="FFF9EE"/>
          </w:tcPr>
          <w:p>
            <w:pPr>
              <w:jc w:val="both"/>
            </w:pPr>
            <w:r/>
            <w:r>
              <w:rPr>
                <w:rFonts w:ascii="Arial" w:hAnsi="Arial" w:eastAsia="Arial"/>
                <w:b w:val="0"/>
                <w:sz w:val="13"/>
              </w:rPr>
              <w:t>La variabilidad del error de pronóstico (RMSE) del [método actual / sistema implementado] es aceptable para la planificación comercial.</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r>
      <w:tr>
        <w:tc>
          <w:tcPr>
            <w:tcW w:type="dxa" w:w="504"/>
            <w:vAlign w:val="center"/>
            <w:shd w:fill="FFF9EE"/>
          </w:tcPr>
          <w:p>
            <w:pPr>
              <w:jc w:val="center"/>
            </w:pPr>
            <w:r/>
            <w:r>
              <w:rPr>
                <w:rFonts w:ascii="Arial" w:hAnsi="Arial" w:eastAsia="Arial"/>
                <w:b w:val="0"/>
                <w:sz w:val="13"/>
              </w:rPr>
              <w:t>10</w:t>
            </w:r>
          </w:p>
        </w:tc>
        <w:tc>
          <w:tcPr>
            <w:tcW w:type="dxa" w:w="2304"/>
            <w:vAlign w:val="center"/>
            <w:shd w:fill="FFF9EE"/>
          </w:tcPr>
          <w:p>
            <w:pPr>
              <w:jc w:val="both"/>
            </w:pPr>
            <w:r/>
            <w:r>
              <w:rPr>
                <w:rFonts w:ascii="Arial" w:hAnsi="Arial" w:eastAsia="Arial"/>
                <w:b w:val="0"/>
                <w:sz w:val="13"/>
              </w:rPr>
              <w:t>D2: Exactitud y validación del IRE y modelos predictivos</w:t>
            </w:r>
          </w:p>
        </w:tc>
        <w:tc>
          <w:tcPr>
            <w:tcW w:type="dxa" w:w="4824"/>
            <w:vAlign w:val="center"/>
            <w:shd w:fill="FFF9EE"/>
          </w:tcPr>
          <w:p>
            <w:pPr>
              <w:jc w:val="both"/>
            </w:pPr>
            <w:r/>
            <w:r>
              <w:rPr>
                <w:rFonts w:ascii="Arial" w:hAnsi="Arial" w:eastAsia="Arial"/>
                <w:b w:val="0"/>
                <w:sz w:val="13"/>
              </w:rPr>
              <w:t>La suma de las contribuciones del IRE coincide con el valor mostrado en el dashboard (es estable y transparente).</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r>
      <w:tr>
        <w:tc>
          <w:tcPr>
            <w:tcW w:type="dxa" w:w="504"/>
            <w:vAlign w:val="center"/>
            <w:shd w:fill="FFF9EE"/>
          </w:tcPr>
          <w:p>
            <w:pPr>
              <w:jc w:val="center"/>
            </w:pPr>
            <w:r/>
            <w:r>
              <w:rPr>
                <w:rFonts w:ascii="Arial" w:hAnsi="Arial" w:eastAsia="Arial"/>
                <w:b w:val="0"/>
                <w:sz w:val="13"/>
              </w:rPr>
              <w:t>11</w:t>
            </w:r>
          </w:p>
        </w:tc>
        <w:tc>
          <w:tcPr>
            <w:tcW w:type="dxa" w:w="2304"/>
            <w:vAlign w:val="center"/>
            <w:shd w:fill="FFF9EE"/>
          </w:tcPr>
          <w:p>
            <w:pPr>
              <w:jc w:val="both"/>
            </w:pPr>
            <w:r/>
            <w:r>
              <w:rPr>
                <w:rFonts w:ascii="Arial" w:hAnsi="Arial" w:eastAsia="Arial"/>
                <w:b w:val="0"/>
                <w:sz w:val="13"/>
              </w:rPr>
              <w:t>D2: Exactitud y validación del IRE y modelos predictivos</w:t>
            </w:r>
          </w:p>
        </w:tc>
        <w:tc>
          <w:tcPr>
            <w:tcW w:type="dxa" w:w="4824"/>
            <w:vAlign w:val="center"/>
            <w:shd w:fill="FFF9EE"/>
          </w:tcPr>
          <w:p>
            <w:pPr>
              <w:jc w:val="both"/>
            </w:pPr>
            <w:r/>
            <w:r>
              <w:rPr>
                <w:rFonts w:ascii="Arial" w:hAnsi="Arial" w:eastAsia="Arial"/>
                <w:b w:val="0"/>
                <w:sz w:val="13"/>
              </w:rPr>
              <w:t>El desempeño del [método actual / sistema implementado] se mantiene estable ante cambios en los datos de ventas e inventario (poca degradación por drift).</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r>
      <w:tr>
        <w:tc>
          <w:tcPr>
            <w:tcW w:type="dxa" w:w="504"/>
            <w:vAlign w:val="center"/>
            <w:shd w:fill="FFF9EE"/>
          </w:tcPr>
          <w:p>
            <w:pPr>
              <w:jc w:val="center"/>
            </w:pPr>
            <w:r/>
            <w:r>
              <w:rPr>
                <w:rFonts w:ascii="Arial" w:hAnsi="Arial" w:eastAsia="Arial"/>
                <w:b w:val="0"/>
                <w:sz w:val="13"/>
              </w:rPr>
              <w:t>12</w:t>
            </w:r>
          </w:p>
        </w:tc>
        <w:tc>
          <w:tcPr>
            <w:tcW w:type="dxa" w:w="2304"/>
            <w:vAlign w:val="center"/>
            <w:shd w:fill="FFF9EE"/>
          </w:tcPr>
          <w:p>
            <w:pPr>
              <w:jc w:val="both"/>
            </w:pPr>
            <w:r/>
            <w:r>
              <w:rPr>
                <w:rFonts w:ascii="Arial" w:hAnsi="Arial" w:eastAsia="Arial"/>
                <w:b w:val="0"/>
                <w:sz w:val="13"/>
              </w:rPr>
              <w:t>D2: Exactitud y validación del IRE y modelos predictivos</w:t>
            </w:r>
          </w:p>
        </w:tc>
        <w:tc>
          <w:tcPr>
            <w:tcW w:type="dxa" w:w="4824"/>
            <w:vAlign w:val="center"/>
            <w:shd w:fill="FFF9EE"/>
          </w:tcPr>
          <w:p>
            <w:pPr>
              <w:jc w:val="both"/>
            </w:pPr>
            <w:r/>
            <w:r>
              <w:rPr>
                <w:rFonts w:ascii="Arial" w:hAnsi="Arial" w:eastAsia="Arial"/>
                <w:b w:val="0"/>
                <w:sz w:val="13"/>
              </w:rPr>
              <w:t>Cuando existen eventos de crisis identificados, el [método actual / sistema implementado] clasifica adecuadamente las situaciones de alto riesgo empresarial.</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c>
          <w:tcPr>
            <w:tcW w:type="dxa" w:w="504"/>
            <w:vAlign w:val="center"/>
            <w:shd w:fill="FFF9EE"/>
          </w:tcPr>
          <w:p>
            <w:pPr>
              <w:jc w:val="center"/>
            </w:pPr>
            <w:r/>
            <w:r>
              <w:rPr>
                <w:rFonts w:ascii="Arial" w:hAnsi="Arial" w:eastAsia="Arial"/>
                <w:b w:val="0"/>
                <w:sz w:val="13"/>
              </w:rPr>
              <w:t>[  ]</w:t>
            </w:r>
          </w:p>
        </w:tc>
      </w:tr>
      <w:tr>
        <w:tc>
          <w:tcPr>
            <w:tcW w:type="dxa" w:w="504"/>
            <w:vAlign w:val="center"/>
            <w:shd w:fill="F6F7F2"/>
          </w:tcPr>
          <w:p>
            <w:pPr>
              <w:jc w:val="center"/>
            </w:pPr>
            <w:r/>
            <w:r>
              <w:rPr>
                <w:rFonts w:ascii="Arial" w:hAnsi="Arial" w:eastAsia="Arial"/>
                <w:b w:val="0"/>
                <w:sz w:val="13"/>
              </w:rPr>
              <w:t>13</w:t>
            </w:r>
          </w:p>
        </w:tc>
        <w:tc>
          <w:tcPr>
            <w:tcW w:type="dxa" w:w="2304"/>
            <w:vAlign w:val="center"/>
            <w:shd w:fill="F6F7F2"/>
          </w:tcPr>
          <w:p>
            <w:pPr>
              <w:jc w:val="both"/>
            </w:pPr>
            <w:r/>
            <w:r>
              <w:rPr>
                <w:rFonts w:ascii="Arial" w:hAnsi="Arial" w:eastAsia="Arial"/>
                <w:b w:val="0"/>
                <w:sz w:val="13"/>
              </w:rPr>
              <w:t>D3: Componentes del Índice de Riesgo Empresarial (IRE)</w:t>
            </w:r>
          </w:p>
        </w:tc>
        <w:tc>
          <w:tcPr>
            <w:tcW w:type="dxa" w:w="4824"/>
            <w:vAlign w:val="center"/>
            <w:shd w:fill="F6F7F2"/>
          </w:tcPr>
          <w:p>
            <w:pPr>
              <w:jc w:val="both"/>
            </w:pPr>
            <w:r/>
            <w:r>
              <w:rPr>
                <w:rFonts w:ascii="Arial" w:hAnsi="Arial" w:eastAsia="Arial"/>
                <w:b w:val="0"/>
                <w:sz w:val="13"/>
              </w:rPr>
              <w:t>El valor compuesto del IRE (escala 0–100) representa adecuadamente el nivel de riesgo empresarial global.</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r>
      <w:tr>
        <w:tc>
          <w:tcPr>
            <w:tcW w:type="dxa" w:w="504"/>
            <w:vAlign w:val="center"/>
            <w:shd w:fill="F6F7F2"/>
          </w:tcPr>
          <w:p>
            <w:pPr>
              <w:jc w:val="center"/>
            </w:pPr>
            <w:r/>
            <w:r>
              <w:rPr>
                <w:rFonts w:ascii="Arial" w:hAnsi="Arial" w:eastAsia="Arial"/>
                <w:b w:val="0"/>
                <w:sz w:val="13"/>
              </w:rPr>
              <w:t>14</w:t>
            </w:r>
          </w:p>
        </w:tc>
        <w:tc>
          <w:tcPr>
            <w:tcW w:type="dxa" w:w="2304"/>
            <w:vAlign w:val="center"/>
            <w:shd w:fill="F6F7F2"/>
          </w:tcPr>
          <w:p>
            <w:pPr>
              <w:jc w:val="both"/>
            </w:pPr>
            <w:r/>
            <w:r>
              <w:rPr>
                <w:rFonts w:ascii="Arial" w:hAnsi="Arial" w:eastAsia="Arial"/>
                <w:b w:val="0"/>
                <w:sz w:val="13"/>
              </w:rPr>
              <w:t>D3: Componentes del Índice de Riesgo Empresarial (IRE)</w:t>
            </w:r>
          </w:p>
        </w:tc>
        <w:tc>
          <w:tcPr>
            <w:tcW w:type="dxa" w:w="4824"/>
            <w:vAlign w:val="center"/>
            <w:shd w:fill="F6F7F2"/>
          </w:tcPr>
          <w:p>
            <w:pPr>
              <w:jc w:val="both"/>
            </w:pPr>
            <w:r/>
            <w:r>
              <w:rPr>
                <w:rFonts w:ascii="Arial" w:hAnsi="Arial" w:eastAsia="Arial"/>
                <w:b w:val="0"/>
                <w:sz w:val="13"/>
              </w:rPr>
              <w:t>El subíndice riesgo_stock representa adecuadamente los problemas de inventario de la empresa.</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r>
      <w:tr>
        <w:tc>
          <w:tcPr>
            <w:tcW w:type="dxa" w:w="504"/>
            <w:vAlign w:val="center"/>
            <w:shd w:fill="F6F7F2"/>
          </w:tcPr>
          <w:p>
            <w:pPr>
              <w:jc w:val="center"/>
            </w:pPr>
            <w:r/>
            <w:r>
              <w:rPr>
                <w:rFonts w:ascii="Arial" w:hAnsi="Arial" w:eastAsia="Arial"/>
                <w:b w:val="0"/>
                <w:sz w:val="13"/>
              </w:rPr>
              <w:t>15</w:t>
            </w:r>
          </w:p>
        </w:tc>
        <w:tc>
          <w:tcPr>
            <w:tcW w:type="dxa" w:w="2304"/>
            <w:vAlign w:val="center"/>
            <w:shd w:fill="F6F7F2"/>
          </w:tcPr>
          <w:p>
            <w:pPr>
              <w:jc w:val="both"/>
            </w:pPr>
            <w:r/>
            <w:r>
              <w:rPr>
                <w:rFonts w:ascii="Arial" w:hAnsi="Arial" w:eastAsia="Arial"/>
                <w:b w:val="0"/>
                <w:sz w:val="13"/>
              </w:rPr>
              <w:t>D3: Componentes del Índice de Riesgo Empresarial (IRE)</w:t>
            </w:r>
          </w:p>
        </w:tc>
        <w:tc>
          <w:tcPr>
            <w:tcW w:type="dxa" w:w="4824"/>
            <w:vAlign w:val="center"/>
            <w:shd w:fill="F6F7F2"/>
          </w:tcPr>
          <w:p>
            <w:pPr>
              <w:jc w:val="both"/>
            </w:pPr>
            <w:r/>
            <w:r>
              <w:rPr>
                <w:rFonts w:ascii="Arial" w:hAnsi="Arial" w:eastAsia="Arial"/>
                <w:b w:val="0"/>
                <w:sz w:val="13"/>
              </w:rPr>
              <w:t>El subíndice riesgo_ingresos ayuda a anticipar problemas relacionados con el flujo comercial de la empresa.</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r>
      <w:tr>
        <w:tc>
          <w:tcPr>
            <w:tcW w:type="dxa" w:w="504"/>
            <w:vAlign w:val="center"/>
            <w:shd w:fill="F6F7F2"/>
          </w:tcPr>
          <w:p>
            <w:pPr>
              <w:jc w:val="center"/>
            </w:pPr>
            <w:r/>
            <w:r>
              <w:rPr>
                <w:rFonts w:ascii="Arial" w:hAnsi="Arial" w:eastAsia="Arial"/>
                <w:b w:val="0"/>
                <w:sz w:val="13"/>
              </w:rPr>
              <w:t>16</w:t>
            </w:r>
          </w:p>
        </w:tc>
        <w:tc>
          <w:tcPr>
            <w:tcW w:type="dxa" w:w="2304"/>
            <w:vAlign w:val="center"/>
            <w:shd w:fill="F6F7F2"/>
          </w:tcPr>
          <w:p>
            <w:pPr>
              <w:jc w:val="both"/>
            </w:pPr>
            <w:r/>
            <w:r>
              <w:rPr>
                <w:rFonts w:ascii="Arial" w:hAnsi="Arial" w:eastAsia="Arial"/>
                <w:b w:val="0"/>
                <w:sz w:val="13"/>
              </w:rPr>
              <w:t>D3: Componentes del Índice de Riesgo Empresarial (IRE)</w:t>
            </w:r>
          </w:p>
        </w:tc>
        <w:tc>
          <w:tcPr>
            <w:tcW w:type="dxa" w:w="4824"/>
            <w:vAlign w:val="center"/>
            <w:shd w:fill="F6F7F2"/>
          </w:tcPr>
          <w:p>
            <w:pPr>
              <w:jc w:val="both"/>
            </w:pPr>
            <w:r/>
            <w:r>
              <w:rPr>
                <w:rFonts w:ascii="Arial" w:hAnsi="Arial" w:eastAsia="Arial"/>
                <w:b w:val="0"/>
                <w:sz w:val="13"/>
              </w:rPr>
              <w:t>El subíndice riesgo_demanda ayuda a planificar oportunamente las compras de calzado.</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r>
      <w:tr>
        <w:tc>
          <w:tcPr>
            <w:tcW w:type="dxa" w:w="504"/>
            <w:vAlign w:val="center"/>
            <w:shd w:fill="F6F7F2"/>
          </w:tcPr>
          <w:p>
            <w:pPr>
              <w:jc w:val="center"/>
            </w:pPr>
            <w:r/>
            <w:r>
              <w:rPr>
                <w:rFonts w:ascii="Arial" w:hAnsi="Arial" w:eastAsia="Arial"/>
                <w:b w:val="0"/>
                <w:sz w:val="13"/>
              </w:rPr>
              <w:t>17</w:t>
            </w:r>
          </w:p>
        </w:tc>
        <w:tc>
          <w:tcPr>
            <w:tcW w:type="dxa" w:w="2304"/>
            <w:vAlign w:val="center"/>
            <w:shd w:fill="F6F7F2"/>
          </w:tcPr>
          <w:p>
            <w:pPr>
              <w:jc w:val="both"/>
            </w:pPr>
            <w:r/>
            <w:r>
              <w:rPr>
                <w:rFonts w:ascii="Arial" w:hAnsi="Arial" w:eastAsia="Arial"/>
                <w:b w:val="0"/>
                <w:sz w:val="13"/>
              </w:rPr>
              <w:t>D3: Componentes del Índice de Riesgo Empresarial (IRE)</w:t>
            </w:r>
          </w:p>
        </w:tc>
        <w:tc>
          <w:tcPr>
            <w:tcW w:type="dxa" w:w="4824"/>
            <w:vAlign w:val="center"/>
            <w:shd w:fill="F6F7F2"/>
          </w:tcPr>
          <w:p>
            <w:pPr>
              <w:jc w:val="both"/>
            </w:pPr>
            <w:r/>
            <w:r>
              <w:rPr>
                <w:rFonts w:ascii="Arial" w:hAnsi="Arial" w:eastAsia="Arial"/>
                <w:b w:val="0"/>
                <w:sz w:val="13"/>
              </w:rPr>
              <w:t>Las alertas del IRE (≥ 51 riesgo alto, ≥ 76 riesgo crítico) son útiles y oportunas para la gestión preventiva.</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r>
      <w:tr>
        <w:tc>
          <w:tcPr>
            <w:tcW w:type="dxa" w:w="504"/>
            <w:vAlign w:val="center"/>
            <w:shd w:fill="F6F7F2"/>
          </w:tcPr>
          <w:p>
            <w:pPr>
              <w:jc w:val="center"/>
            </w:pPr>
            <w:r/>
            <w:r>
              <w:rPr>
                <w:rFonts w:ascii="Arial" w:hAnsi="Arial" w:eastAsia="Arial"/>
                <w:b w:val="0"/>
                <w:sz w:val="13"/>
              </w:rPr>
              <w:t>18</w:t>
            </w:r>
          </w:p>
        </w:tc>
        <w:tc>
          <w:tcPr>
            <w:tcW w:type="dxa" w:w="2304"/>
            <w:vAlign w:val="center"/>
            <w:shd w:fill="F6F7F2"/>
          </w:tcPr>
          <w:p>
            <w:pPr>
              <w:jc w:val="both"/>
            </w:pPr>
            <w:r/>
            <w:r>
              <w:rPr>
                <w:rFonts w:ascii="Arial" w:hAnsi="Arial" w:eastAsia="Arial"/>
                <w:b w:val="0"/>
                <w:sz w:val="13"/>
              </w:rPr>
              <w:t>D3: Componentes del Índice de Riesgo Empresarial (IRE)</w:t>
            </w:r>
          </w:p>
        </w:tc>
        <w:tc>
          <w:tcPr>
            <w:tcW w:type="dxa" w:w="4824"/>
            <w:vAlign w:val="center"/>
            <w:shd w:fill="F6F7F2"/>
          </w:tcPr>
          <w:p>
            <w:pPr>
              <w:jc w:val="both"/>
            </w:pPr>
            <w:r/>
            <w:r>
              <w:rPr>
                <w:rFonts w:ascii="Arial" w:hAnsi="Arial" w:eastAsia="Arial"/>
                <w:b w:val="0"/>
                <w:sz w:val="13"/>
              </w:rPr>
              <w:t>La frecuencia de actualización del IRE es suficiente para la gestión operativa de la empresa.</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c>
          <w:tcPr>
            <w:tcW w:type="dxa" w:w="504"/>
            <w:vAlign w:val="center"/>
            <w:shd w:fill="F6F7F2"/>
          </w:tcPr>
          <w:p>
            <w:pPr>
              <w:jc w:val="center"/>
            </w:pPr>
            <w:r/>
            <w:r>
              <w:rPr>
                <w:rFonts w:ascii="Arial" w:hAnsi="Arial" w:eastAsia="Arial"/>
                <w:b w:val="0"/>
                <w:sz w:val="13"/>
              </w:rPr>
              <w:t>[  ]</w:t>
            </w:r>
          </w:p>
        </w:tc>
      </w:tr>
      <w:tr>
        <w:tc>
          <w:tcPr>
            <w:tcW w:type="dxa" w:w="504"/>
            <w:vAlign w:val="center"/>
            <w:shd w:fill="FDF4F4"/>
          </w:tcPr>
          <w:p>
            <w:pPr>
              <w:jc w:val="center"/>
            </w:pPr>
            <w:r/>
            <w:r>
              <w:rPr>
                <w:rFonts w:ascii="Arial" w:hAnsi="Arial" w:eastAsia="Arial"/>
                <w:b w:val="0"/>
                <w:sz w:val="13"/>
              </w:rPr>
              <w:t>19</w:t>
            </w:r>
          </w:p>
        </w:tc>
        <w:tc>
          <w:tcPr>
            <w:tcW w:type="dxa" w:w="2304"/>
            <w:vAlign w:val="center"/>
            <w:shd w:fill="FDF4F4"/>
          </w:tcPr>
          <w:p>
            <w:pPr>
              <w:jc w:val="both"/>
            </w:pPr>
            <w:r/>
            <w:r>
              <w:rPr>
                <w:rFonts w:ascii="Arial" w:hAnsi="Arial" w:eastAsia="Arial"/>
                <w:b w:val="0"/>
                <w:sz w:val="13"/>
              </w:rPr>
              <w:t>D4: Impacto del sistema en la gestión operativa de la PYME</w:t>
            </w:r>
          </w:p>
        </w:tc>
        <w:tc>
          <w:tcPr>
            <w:tcW w:type="dxa" w:w="4824"/>
            <w:vAlign w:val="center"/>
            <w:shd w:fill="FDF4F4"/>
          </w:tcPr>
          <w:p>
            <w:pPr>
              <w:jc w:val="both"/>
            </w:pPr>
            <w:r/>
            <w:r>
              <w:rPr>
                <w:rFonts w:ascii="Arial" w:hAnsi="Arial" w:eastAsia="Arial"/>
                <w:b w:val="0"/>
                <w:sz w:val="13"/>
              </w:rPr>
              <w:t>Percibo que el riesgo operativo de la empresa ha disminuido gracias al [método actual / sistema implementado].</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r>
      <w:tr>
        <w:tc>
          <w:tcPr>
            <w:tcW w:type="dxa" w:w="504"/>
            <w:vAlign w:val="center"/>
            <w:shd w:fill="FDF4F4"/>
          </w:tcPr>
          <w:p>
            <w:pPr>
              <w:jc w:val="center"/>
            </w:pPr>
            <w:r/>
            <w:r>
              <w:rPr>
                <w:rFonts w:ascii="Arial" w:hAnsi="Arial" w:eastAsia="Arial"/>
                <w:b w:val="0"/>
                <w:sz w:val="13"/>
              </w:rPr>
              <w:t>20</w:t>
            </w:r>
          </w:p>
        </w:tc>
        <w:tc>
          <w:tcPr>
            <w:tcW w:type="dxa" w:w="2304"/>
            <w:vAlign w:val="center"/>
            <w:shd w:fill="FDF4F4"/>
          </w:tcPr>
          <w:p>
            <w:pPr>
              <w:jc w:val="both"/>
            </w:pPr>
            <w:r/>
            <w:r>
              <w:rPr>
                <w:rFonts w:ascii="Arial" w:hAnsi="Arial" w:eastAsia="Arial"/>
                <w:b w:val="0"/>
                <w:sz w:val="13"/>
              </w:rPr>
              <w:t>D4: Impacto del sistema en la gestión operativa de la PYME</w:t>
            </w:r>
          </w:p>
        </w:tc>
        <w:tc>
          <w:tcPr>
            <w:tcW w:type="dxa" w:w="4824"/>
            <w:vAlign w:val="center"/>
            <w:shd w:fill="FDF4F4"/>
          </w:tcPr>
          <w:p>
            <w:pPr>
              <w:jc w:val="both"/>
            </w:pPr>
            <w:r/>
            <w:r>
              <w:rPr>
                <w:rFonts w:ascii="Arial" w:hAnsi="Arial" w:eastAsia="Arial"/>
                <w:b w:val="0"/>
                <w:sz w:val="13"/>
              </w:rPr>
              <w:t>La tasa de cumplimiento de pedidos ha mejorado con el uso del [método actual / sistema implementado].</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r>
      <w:tr>
        <w:tc>
          <w:tcPr>
            <w:tcW w:type="dxa" w:w="504"/>
            <w:vAlign w:val="center"/>
            <w:shd w:fill="FDF4F4"/>
          </w:tcPr>
          <w:p>
            <w:pPr>
              <w:jc w:val="center"/>
            </w:pPr>
            <w:r/>
            <w:r>
              <w:rPr>
                <w:rFonts w:ascii="Arial" w:hAnsi="Arial" w:eastAsia="Arial"/>
                <w:b w:val="0"/>
                <w:sz w:val="13"/>
              </w:rPr>
              <w:t>21</w:t>
            </w:r>
          </w:p>
        </w:tc>
        <w:tc>
          <w:tcPr>
            <w:tcW w:type="dxa" w:w="2304"/>
            <w:vAlign w:val="center"/>
            <w:shd w:fill="FDF4F4"/>
          </w:tcPr>
          <w:p>
            <w:pPr>
              <w:jc w:val="both"/>
            </w:pPr>
            <w:r/>
            <w:r>
              <w:rPr>
                <w:rFonts w:ascii="Arial" w:hAnsi="Arial" w:eastAsia="Arial"/>
                <w:b w:val="0"/>
                <w:sz w:val="13"/>
              </w:rPr>
              <w:t>D4: Impacto del sistema en la gestión operativa de la PYME</w:t>
            </w:r>
          </w:p>
        </w:tc>
        <w:tc>
          <w:tcPr>
            <w:tcW w:type="dxa" w:w="4824"/>
            <w:vAlign w:val="center"/>
            <w:shd w:fill="FDF4F4"/>
          </w:tcPr>
          <w:p>
            <w:pPr>
              <w:jc w:val="both"/>
            </w:pPr>
            <w:r/>
            <w:r>
              <w:rPr>
                <w:rFonts w:ascii="Arial" w:hAnsi="Arial" w:eastAsia="Arial"/>
                <w:b w:val="0"/>
                <w:sz w:val="13"/>
              </w:rPr>
              <w:t>Los quiebres de stock han disminuido con la gestión basada en predicción de riesgo.</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r>
      <w:tr>
        <w:tc>
          <w:tcPr>
            <w:tcW w:type="dxa" w:w="504"/>
            <w:vAlign w:val="center"/>
            <w:shd w:fill="FDF4F4"/>
          </w:tcPr>
          <w:p>
            <w:pPr>
              <w:jc w:val="center"/>
            </w:pPr>
            <w:r/>
            <w:r>
              <w:rPr>
                <w:rFonts w:ascii="Arial" w:hAnsi="Arial" w:eastAsia="Arial"/>
                <w:b w:val="0"/>
                <w:sz w:val="13"/>
              </w:rPr>
              <w:t>22</w:t>
            </w:r>
          </w:p>
        </w:tc>
        <w:tc>
          <w:tcPr>
            <w:tcW w:type="dxa" w:w="2304"/>
            <w:vAlign w:val="center"/>
            <w:shd w:fill="FDF4F4"/>
          </w:tcPr>
          <w:p>
            <w:pPr>
              <w:jc w:val="both"/>
            </w:pPr>
            <w:r/>
            <w:r>
              <w:rPr>
                <w:rFonts w:ascii="Arial" w:hAnsi="Arial" w:eastAsia="Arial"/>
                <w:b w:val="0"/>
                <w:sz w:val="13"/>
              </w:rPr>
              <w:t>D4: Impacto del sistema en la gestión operativa de la PYME</w:t>
            </w:r>
          </w:p>
        </w:tc>
        <w:tc>
          <w:tcPr>
            <w:tcW w:type="dxa" w:w="4824"/>
            <w:vAlign w:val="center"/>
            <w:shd w:fill="FDF4F4"/>
          </w:tcPr>
          <w:p>
            <w:pPr>
              <w:jc w:val="both"/>
            </w:pPr>
            <w:r/>
            <w:r>
              <w:rPr>
                <w:rFonts w:ascii="Arial" w:hAnsi="Arial" w:eastAsia="Arial"/>
                <w:b w:val="0"/>
                <w:sz w:val="13"/>
              </w:rPr>
              <w:t>La gestión de inventario genera ahorro gracias a la información del [método actual / sistema implementado].</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r>
      <w:tr>
        <w:tc>
          <w:tcPr>
            <w:tcW w:type="dxa" w:w="504"/>
            <w:vAlign w:val="center"/>
            <w:shd w:fill="FDF4F4"/>
          </w:tcPr>
          <w:p>
            <w:pPr>
              <w:jc w:val="center"/>
            </w:pPr>
            <w:r/>
            <w:r>
              <w:rPr>
                <w:rFonts w:ascii="Arial" w:hAnsi="Arial" w:eastAsia="Arial"/>
                <w:b w:val="0"/>
                <w:sz w:val="13"/>
              </w:rPr>
              <w:t>23</w:t>
            </w:r>
          </w:p>
        </w:tc>
        <w:tc>
          <w:tcPr>
            <w:tcW w:type="dxa" w:w="2304"/>
            <w:vAlign w:val="center"/>
            <w:shd w:fill="FDF4F4"/>
          </w:tcPr>
          <w:p>
            <w:pPr>
              <w:jc w:val="both"/>
            </w:pPr>
            <w:r/>
            <w:r>
              <w:rPr>
                <w:rFonts w:ascii="Arial" w:hAnsi="Arial" w:eastAsia="Arial"/>
                <w:b w:val="0"/>
                <w:sz w:val="13"/>
              </w:rPr>
              <w:t>D4: Impacto del sistema en la gestión operativa de la PYME</w:t>
            </w:r>
          </w:p>
        </w:tc>
        <w:tc>
          <w:tcPr>
            <w:tcW w:type="dxa" w:w="4824"/>
            <w:vAlign w:val="center"/>
            <w:shd w:fill="FDF4F4"/>
          </w:tcPr>
          <w:p>
            <w:pPr>
              <w:jc w:val="both"/>
            </w:pPr>
            <w:r/>
            <w:r>
              <w:rPr>
                <w:rFonts w:ascii="Arial" w:hAnsi="Arial" w:eastAsia="Arial"/>
                <w:b w:val="0"/>
                <w:sz w:val="13"/>
              </w:rPr>
              <w:t>El personal utiliza con frecuencia el dashboard del IRE para apoyar decisiones operativas.</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r>
      <w:tr>
        <w:tc>
          <w:tcPr>
            <w:tcW w:type="dxa" w:w="504"/>
            <w:vAlign w:val="center"/>
            <w:shd w:fill="FDF4F4"/>
          </w:tcPr>
          <w:p>
            <w:pPr>
              <w:jc w:val="center"/>
            </w:pPr>
            <w:r/>
            <w:r>
              <w:rPr>
                <w:rFonts w:ascii="Arial" w:hAnsi="Arial" w:eastAsia="Arial"/>
                <w:b w:val="0"/>
                <w:sz w:val="13"/>
              </w:rPr>
              <w:t>24</w:t>
            </w:r>
          </w:p>
        </w:tc>
        <w:tc>
          <w:tcPr>
            <w:tcW w:type="dxa" w:w="2304"/>
            <w:vAlign w:val="center"/>
            <w:shd w:fill="FDF4F4"/>
          </w:tcPr>
          <w:p>
            <w:pPr>
              <w:jc w:val="both"/>
            </w:pPr>
            <w:r/>
            <w:r>
              <w:rPr>
                <w:rFonts w:ascii="Arial" w:hAnsi="Arial" w:eastAsia="Arial"/>
                <w:b w:val="0"/>
                <w:sz w:val="13"/>
              </w:rPr>
              <w:t>D4: Impacto del sistema en la gestión operativa de la PYME</w:t>
            </w:r>
          </w:p>
        </w:tc>
        <w:tc>
          <w:tcPr>
            <w:tcW w:type="dxa" w:w="4824"/>
            <w:vAlign w:val="center"/>
            <w:shd w:fill="FDF4F4"/>
          </w:tcPr>
          <w:p>
            <w:pPr>
              <w:jc w:val="both"/>
            </w:pPr>
            <w:r/>
            <w:r>
              <w:rPr>
                <w:rFonts w:ascii="Arial" w:hAnsi="Arial" w:eastAsia="Arial"/>
                <w:b w:val="0"/>
                <w:sz w:val="13"/>
              </w:rPr>
              <w:t>En general, el [método actual / sistema implementado] mejora la gestión del riesgo empresarial en Calzatura Vilchez.</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c>
          <w:tcPr>
            <w:tcW w:type="dxa" w:w="504"/>
            <w:vAlign w:val="center"/>
            <w:shd w:fill="FDF4F4"/>
          </w:tcPr>
          <w:p>
            <w:pPr>
              <w:jc w:val="center"/>
            </w:pPr>
            <w:r/>
            <w:r>
              <w:rPr>
                <w:rFonts w:ascii="Arial" w:hAnsi="Arial" w:eastAsia="Arial"/>
                <w:b w:val="0"/>
                <w:sz w:val="13"/>
              </w:rPr>
              <w:t>[  ]</w:t>
            </w:r>
          </w:p>
        </w:tc>
      </w:tr>
    </w:tbl>
    <w:p>
      <w:r>
        <w:rPr>
          <w:rFonts w:ascii="Arial" w:hAnsi="Arial" w:eastAsia="Arial"/>
          <w:b/>
          <w:sz w:val="20"/>
        </w:rPr>
        <w:t>V. Observaciones</w:t>
      </w:r>
    </w:p>
    <w:p>
      <w:r>
        <w:rPr>
          <w:rFonts w:ascii="Arial" w:hAnsi="Arial" w:eastAsia="Arial"/>
          <w:b w:val="0"/>
          <w:sz w:val="18"/>
        </w:rPr>
        <w:t>______________________________________________________________________________________________</w:t>
      </w:r>
    </w:p>
    <w:p>
      <w:r>
        <w:rPr>
          <w:rFonts w:ascii="Arial" w:hAnsi="Arial" w:eastAsia="Arial"/>
          <w:b w:val="0"/>
          <w:sz w:val="18"/>
        </w:rPr>
        <w:t>______________________________________________________________________________________________</w:t>
      </w:r>
    </w:p>
    <w:p>
      <w:r>
        <w:rPr>
          <w:rFonts w:ascii="Arial" w:hAnsi="Arial" w:eastAsia="Arial"/>
          <w:b w:val="0"/>
          <w:sz w:val="18"/>
        </w:rPr>
        <w:t>______________________________________________________________________________________________</w:t>
      </w:r>
    </w:p>
    <w:p>
      <w:pPr>
        <w:jc w:val="center"/>
      </w:pPr>
      <w:r>
        <w:rPr>
          <w:rFonts w:ascii="Arial" w:hAnsi="Arial" w:eastAsia="Arial"/>
          <w:b/>
          <w:sz w:val="18"/>
        </w:rPr>
        <w:t>Gracias por su colaboracion.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