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4"/>
        </w:rPr>
        <w:t>MATRIZ DE OPERACIONALIZACION DEL INSTRUMENTO</w:t>
      </w:r>
    </w:p>
    <w:p>
      <w:pPr>
        <w:jc w:val="center"/>
      </w:pPr>
      <w:r>
        <w:rPr>
          <w:rFonts w:ascii="Arial" w:hAnsi="Arial"/>
          <w:sz w:val="16"/>
        </w:rPr>
        <w:t>Sistema web de comercio electronico con modelo de Inteligencia Artificial para la prediccion del riesgo empresarial en la empresa Calzatura Vilchez, Huancayo, 2026</w:t>
      </w:r>
    </w:p>
    <w:p>
      <w:pPr>
        <w:jc w:val="both"/>
      </w:pPr>
      <w:r>
        <w:rPr>
          <w:rFonts w:ascii="Arial" w:hAnsi="Arial"/>
          <w:i/>
          <w:sz w:val="14"/>
        </w:rPr>
        <w:t>Instrumento: Cuestionario de percepción sobre la predicción del riesgo empresarial y utilidad del sistema web con Inteligencia Artificial en Calzatura Vilchez. La matriz traduce indicadores de la VD (CU-T10) en reactivos medibles (items). Variable evaluada: Predicción del riesgo empresarial mediante el Índice de Riesgo Empresarial (IRE). Definicion conceptual: Capacidad de cuantificar y anticipar el riesgo empresarial comercial-operativo de Calzatura Vilchez mediante el IRE (0–100), como proxy de quiebre de stock, presión de ingresos y cambios de demanda (documentacion/07-modulo-ia-riesgo-empresarial.md). Coherencia: CU-T09 (consistencia) -&gt; CU-T10 (variables) -&gt; CU-T11 (instrumento). Validacion: validar_matriz_operacionalizacion_instrumento.py.</w:t>
      </w:r>
    </w:p>
    <w:p>
      <w:r>
        <w:rPr>
          <w:rFonts w:ascii="Arial" w:hAnsi="Arial"/>
          <w:sz w:val="14"/>
        </w:rPr>
        <w:t>Tesista: _________________________   Asesor: Dr. Maglioni Arana Caparachin   Version: 2.1 auditada   Fecha: junio 2026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56"/>
        <w:gridCol w:w="1156"/>
        <w:gridCol w:w="1156"/>
        <w:gridCol w:w="1156"/>
        <w:gridCol w:w="1156"/>
        <w:gridCol w:w="1156"/>
        <w:gridCol w:w="1156"/>
        <w:gridCol w:w="1156"/>
        <w:gridCol w:w="1156"/>
        <w:gridCol w:w="1156"/>
        <w:gridCol w:w="1156"/>
        <w:gridCol w:w="1156"/>
        <w:gridCol w:w="1156"/>
      </w:tblGrid>
      <w:tr>
        <w:tc>
          <w:tcPr>
            <w:tcW w:type="dxa" w:w="1368"/>
            <w:vAlign w:val="top"/>
            <w:shd w:fill="D9EAF7"/>
          </w:tcPr>
          <w:p>
            <w:pPr>
              <w:jc w:val="both"/>
            </w:pPr>
            <w:r/>
            <w:r>
              <w:rPr>
                <w:rFonts w:ascii="Arial" w:hAnsi="Arial" w:eastAsia="Arial"/>
                <w:b/>
                <w:sz w:val="12"/>
              </w:rPr>
              <w:t>Variable</w:t>
            </w:r>
          </w:p>
        </w:tc>
        <w:tc>
          <w:tcPr>
            <w:tcW w:type="dxa" w:w="1440"/>
            <w:vAlign w:val="top"/>
            <w:shd w:fill="D9EAF7"/>
          </w:tcPr>
          <w:p>
            <w:pPr>
              <w:jc w:val="both"/>
            </w:pPr>
            <w:r/>
            <w:r>
              <w:rPr>
                <w:rFonts w:ascii="Arial" w:hAnsi="Arial" w:eastAsia="Arial"/>
                <w:b/>
                <w:sz w:val="12"/>
              </w:rPr>
              <w:t>Definición conceptual</w:t>
            </w:r>
          </w:p>
        </w:tc>
        <w:tc>
          <w:tcPr>
            <w:tcW w:type="dxa" w:w="1368"/>
            <w:vAlign w:val="top"/>
            <w:shd w:fill="D9EAF7"/>
          </w:tcPr>
          <w:p>
            <w:pPr>
              <w:jc w:val="both"/>
            </w:pPr>
            <w:r/>
            <w:r>
              <w:rPr>
                <w:rFonts w:ascii="Arial" w:hAnsi="Arial" w:eastAsia="Arial"/>
                <w:b/>
                <w:sz w:val="12"/>
              </w:rPr>
              <w:t>Definición operacional</w:t>
            </w:r>
          </w:p>
        </w:tc>
        <w:tc>
          <w:tcPr>
            <w:tcW w:type="dxa" w:w="1512"/>
            <w:vAlign w:val="top"/>
            <w:shd w:fill="D9EAF7"/>
          </w:tcPr>
          <w:p>
            <w:pPr>
              <w:jc w:val="both"/>
            </w:pPr>
            <w:r/>
            <w:r>
              <w:rPr>
                <w:rFonts w:ascii="Arial" w:hAnsi="Arial" w:eastAsia="Arial"/>
                <w:b/>
                <w:sz w:val="12"/>
              </w:rPr>
              <w:t>Dimensión</w:t>
            </w:r>
          </w:p>
        </w:tc>
        <w:tc>
          <w:tcPr>
            <w:tcW w:type="dxa" w:w="1368"/>
            <w:vAlign w:val="top"/>
            <w:shd w:fill="D9EAF7"/>
          </w:tcPr>
          <w:p>
            <w:pPr>
              <w:jc w:val="both"/>
            </w:pPr>
            <w:r/>
            <w:r>
              <w:rPr>
                <w:rFonts w:ascii="Arial" w:hAnsi="Arial" w:eastAsia="Arial"/>
                <w:b/>
                <w:sz w:val="12"/>
              </w:rPr>
              <w:t>Indicador (instrumento)</w:t>
            </w:r>
          </w:p>
        </w:tc>
        <w:tc>
          <w:tcPr>
            <w:tcW w:type="dxa" w:w="1440"/>
            <w:vAlign w:val="top"/>
            <w:shd w:fill="D9EAF7"/>
          </w:tcPr>
          <w:p>
            <w:pPr>
              <w:jc w:val="both"/>
            </w:pPr>
            <w:r/>
            <w:r>
              <w:rPr>
                <w:rFonts w:ascii="Arial" w:hAnsi="Arial" w:eastAsia="Arial"/>
                <w:b/>
                <w:sz w:val="12"/>
              </w:rPr>
              <w:t>Trazabilidad CU-T10</w:t>
            </w:r>
          </w:p>
        </w:tc>
        <w:tc>
          <w:tcPr>
            <w:tcW w:type="dxa" w:w="403"/>
            <w:vAlign w:val="top"/>
            <w:shd w:fill="D9EAF7"/>
          </w:tcPr>
          <w:p>
            <w:pPr>
              <w:jc w:val="both"/>
            </w:pPr>
            <w:r/>
            <w:r>
              <w:rPr>
                <w:rFonts w:ascii="Arial" w:hAnsi="Arial" w:eastAsia="Arial"/>
                <w:b/>
                <w:sz w:val="12"/>
              </w:rPr>
              <w:t>Ítem</w:t>
            </w:r>
          </w:p>
        </w:tc>
        <w:tc>
          <w:tcPr>
            <w:tcW w:type="dxa" w:w="2664"/>
            <w:vAlign w:val="top"/>
            <w:shd w:fill="D9EAF7"/>
          </w:tcPr>
          <w:p>
            <w:pPr>
              <w:jc w:val="both"/>
            </w:pPr>
            <w:r/>
            <w:r>
              <w:rPr>
                <w:rFonts w:ascii="Arial" w:hAnsi="Arial" w:eastAsia="Arial"/>
                <w:b/>
                <w:sz w:val="12"/>
              </w:rPr>
              <w:t>Redacción del ítem (reactivo)</w:t>
            </w:r>
          </w:p>
        </w:tc>
        <w:tc>
          <w:tcPr>
            <w:tcW w:type="dxa" w:w="1037"/>
            <w:vAlign w:val="top"/>
            <w:shd w:fill="D9EAF7"/>
          </w:tcPr>
          <w:p>
            <w:pPr>
              <w:jc w:val="both"/>
            </w:pPr>
            <w:r/>
            <w:r>
              <w:rPr>
                <w:rFonts w:ascii="Arial" w:hAnsi="Arial" w:eastAsia="Arial"/>
                <w:b/>
                <w:sz w:val="12"/>
              </w:rPr>
              <w:t>Escala / niveles</w:t>
            </w:r>
          </w:p>
        </w:tc>
        <w:tc>
          <w:tcPr>
            <w:tcW w:type="dxa" w:w="835"/>
            <w:vAlign w:val="top"/>
            <w:shd w:fill="D9EAF7"/>
          </w:tcPr>
          <w:p>
            <w:pPr>
              <w:jc w:val="both"/>
            </w:pPr>
            <w:r/>
            <w:r>
              <w:rPr>
                <w:rFonts w:ascii="Arial" w:hAnsi="Arial" w:eastAsia="Arial"/>
                <w:b/>
                <w:sz w:val="12"/>
              </w:rPr>
              <w:t>Técnica</w:t>
            </w:r>
          </w:p>
        </w:tc>
        <w:tc>
          <w:tcPr>
            <w:tcW w:type="dxa" w:w="979"/>
            <w:vAlign w:val="top"/>
            <w:shd w:fill="D9EAF7"/>
          </w:tcPr>
          <w:p>
            <w:pPr>
              <w:jc w:val="both"/>
            </w:pPr>
            <w:r/>
            <w:r>
              <w:rPr>
                <w:rFonts w:ascii="Arial" w:hAnsi="Arial" w:eastAsia="Arial"/>
                <w:b/>
                <w:sz w:val="12"/>
              </w:rPr>
              <w:t>Instrumento</w:t>
            </w:r>
          </w:p>
        </w:tc>
        <w:tc>
          <w:tcPr>
            <w:tcW w:type="dxa" w:w="749"/>
            <w:vAlign w:val="top"/>
            <w:shd w:fill="D9EAF7"/>
          </w:tcPr>
          <w:p>
            <w:pPr>
              <w:jc w:val="both"/>
            </w:pPr>
            <w:r/>
            <w:r>
              <w:rPr>
                <w:rFonts w:ascii="Arial" w:hAnsi="Arial" w:eastAsia="Arial"/>
                <w:b/>
                <w:sz w:val="12"/>
              </w:rPr>
              <w:t>Momento</w:t>
            </w:r>
          </w:p>
        </w:tc>
        <w:tc>
          <w:tcPr>
            <w:tcW w:type="dxa" w:w="1728"/>
            <w:vAlign w:val="top"/>
            <w:shd w:fill="D9EAF7"/>
          </w:tcPr>
          <w:p>
            <w:pPr>
              <w:jc w:val="both"/>
            </w:pPr>
            <w:r/>
            <w:r>
              <w:rPr>
                <w:rFonts w:ascii="Arial" w:hAnsi="Arial" w:eastAsia="Arial"/>
                <w:b/>
                <w:sz w:val="12"/>
              </w:rPr>
              <w:t>Validación y sustento</w:t>
            </w:r>
          </w:p>
        </w:tc>
      </w:tr>
      <w:tr>
        <w:tc>
          <w:tcPr>
            <w:tcW w:type="dxa" w:w="1368"/>
            <w:vAlign w:val="top"/>
            <w:shd w:fill="F4F9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Predicción del riesgo empresarial mediante el Índice de Riesgo Empresarial (IRE)</w:t>
            </w:r>
          </w:p>
        </w:tc>
        <w:tc>
          <w:tcPr>
            <w:tcW w:type="dxa" w:w="1440"/>
            <w:vAlign w:val="top"/>
            <w:shd w:fill="F4F9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Capacidad de cuantificar y anticipar el riesgo empresarial comercial-operativo de Calzatura Vilchez mediante el IRE (0–100), como proxy de quiebre de stock, presión de ingresos y cambios de demanda (documentacion/07-modulo-ia-riesgo-empresarial.md).</w:t>
            </w:r>
          </w:p>
        </w:tc>
        <w:tc>
          <w:tcPr>
            <w:tcW w:type="dxa" w:w="1368"/>
            <w:vAlign w:val="top"/>
            <w:shd w:fill="F4F9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Puntuación en escala Likert 1–5 sobre percepción del personal directivo y operativo respecto a modelos predictivos, exactitud del IRE, componentes del índice e impacto operativo; aplicación preprueba (O₁) y posprueba (O₂).</w:t>
            </w:r>
          </w:p>
        </w:tc>
        <w:tc>
          <w:tcPr>
            <w:tcW w:type="dxa" w:w="1512"/>
            <w:vAlign w:val="top"/>
            <w:shd w:fill="F4F9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D1: Modelos de predicción del riesgo empresarial</w:t>
            </w:r>
          </w:p>
        </w:tc>
        <w:tc>
          <w:tcPr>
            <w:tcW w:type="dxa" w:w="1368"/>
            <w:vAlign w:val="top"/>
            <w:shd w:fill="F4F9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Adecuación del modelo IRE compuesto y predicción de demanda</w:t>
            </w:r>
          </w:p>
        </w:tc>
        <w:tc>
          <w:tcPr>
            <w:tcW w:type="dxa" w:w="1440"/>
            <w:vAlign w:val="top"/>
            <w:shd w:fill="F4F9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VD-D1 ind. 1 — Tipo de modelo IRE (proxy 40/35/25 + RF demanda)</w:t>
            </w:r>
          </w:p>
        </w:tc>
        <w:tc>
          <w:tcPr>
            <w:tcW w:type="dxa" w:w="403"/>
            <w:vAlign w:val="top"/>
            <w:shd w:fill="F4F9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1</w:t>
            </w:r>
          </w:p>
        </w:tc>
        <w:tc>
          <w:tcPr>
            <w:tcW w:type="dxa" w:w="2664"/>
            <w:vAlign w:val="top"/>
            <w:shd w:fill="F4F9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El [método actual / sistema implementado] integra adecuadamente la predicción de demanda (IA) y los indicadores de stock e ingresos para estimar el riesgo empresarial.</w:t>
            </w:r>
          </w:p>
        </w:tc>
        <w:tc>
          <w:tcPr>
            <w:tcW w:type="dxa" w:w="1037"/>
            <w:vAlign w:val="top"/>
            <w:shd w:fill="F4F9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Ordinal Likert 1-5: 1=Totalmente en desacuerdo; 2=En desacuerdo; 3=Ni de acuerdo ni en desacuerdo; 4=De acuerdo; 5=Totalmente de acuerdo</w:t>
            </w:r>
          </w:p>
        </w:tc>
        <w:tc>
          <w:tcPr>
            <w:tcW w:type="dxa" w:w="835"/>
            <w:vAlign w:val="top"/>
            <w:shd w:fill="F4F9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Encuesta estructurada</w:t>
            </w:r>
          </w:p>
        </w:tc>
        <w:tc>
          <w:tcPr>
            <w:tcW w:type="dxa" w:w="979"/>
            <w:vAlign w:val="top"/>
            <w:shd w:fill="F4F9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Cuestionario 24 ítems (Anexo 04)</w:t>
            </w:r>
          </w:p>
        </w:tc>
        <w:tc>
          <w:tcPr>
            <w:tcW w:type="dxa" w:w="749"/>
            <w:vAlign w:val="top"/>
            <w:shd w:fill="F4F9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Preprueba (O₁) y posprueba (O₂)</w:t>
            </w:r>
          </w:p>
        </w:tc>
        <w:tc>
          <w:tcPr>
            <w:tcW w:type="dxa" w:w="1728"/>
            <w:vAlign w:val="top"/>
            <w:shd w:fill="F4F9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Validez de contenido; V de Aiken ≥ 0,70. Sustento: Ozbayoglu 2020; Barboza 2017; Altman 1968; Beaver 1966.</w:t>
            </w:r>
          </w:p>
        </w:tc>
      </w:tr>
      <w:tr>
        <w:tc>
          <w:tcPr>
            <w:tcW w:type="dxa" w:w="1368"/>
            <w:vAlign w:val="top"/>
            <w:shd w:fill="F4F9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Predicción del riesgo empresarial mediante el Índice de Riesgo Empresarial (IRE)</w:t>
            </w:r>
          </w:p>
        </w:tc>
        <w:tc>
          <w:tcPr>
            <w:tcW w:type="dxa" w:w="1440"/>
            <w:vAlign w:val="top"/>
            <w:shd w:fill="F4F9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— (ver ítem 1)</w:t>
            </w:r>
          </w:p>
        </w:tc>
        <w:tc>
          <w:tcPr>
            <w:tcW w:type="dxa" w:w="1368"/>
            <w:vAlign w:val="top"/>
            <w:shd w:fill="F4F9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— (ver ítem 1)</w:t>
            </w:r>
          </w:p>
        </w:tc>
        <w:tc>
          <w:tcPr>
            <w:tcW w:type="dxa" w:w="1512"/>
            <w:vAlign w:val="top"/>
            <w:shd w:fill="F4F9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D1: Modelos de predicción del riesgo empresarial</w:t>
            </w:r>
          </w:p>
        </w:tc>
        <w:tc>
          <w:tcPr>
            <w:tcW w:type="dxa" w:w="1368"/>
            <w:vAlign w:val="top"/>
            <w:shd w:fill="F4F9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Cobertura de variables operativas en el modelo</w:t>
            </w:r>
          </w:p>
        </w:tc>
        <w:tc>
          <w:tcPr>
            <w:tcW w:type="dxa" w:w="1440"/>
            <w:vAlign w:val="top"/>
            <w:shd w:fill="F4F9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VD-D1 ind. 2 — Número de variables operativas (stock, ingresos, demanda, productos)</w:t>
            </w:r>
          </w:p>
        </w:tc>
        <w:tc>
          <w:tcPr>
            <w:tcW w:type="dxa" w:w="403"/>
            <w:vAlign w:val="top"/>
            <w:shd w:fill="F4F9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2</w:t>
            </w:r>
          </w:p>
        </w:tc>
        <w:tc>
          <w:tcPr>
            <w:tcW w:type="dxa" w:w="2664"/>
            <w:vAlign w:val="top"/>
            <w:shd w:fill="F4F9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El [método actual / sistema implementado] considera de forma adecuada las variables de stock, ingresos, demanda e inventario de productos.</w:t>
            </w:r>
          </w:p>
        </w:tc>
        <w:tc>
          <w:tcPr>
            <w:tcW w:type="dxa" w:w="1037"/>
            <w:vAlign w:val="top"/>
            <w:shd w:fill="F4F9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Ordinal Likert 1–5</w:t>
            </w:r>
          </w:p>
        </w:tc>
        <w:tc>
          <w:tcPr>
            <w:tcW w:type="dxa" w:w="835"/>
            <w:vAlign w:val="top"/>
            <w:shd w:fill="F4F9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Encuesta estructurada</w:t>
            </w:r>
          </w:p>
        </w:tc>
        <w:tc>
          <w:tcPr>
            <w:tcW w:type="dxa" w:w="979"/>
            <w:vAlign w:val="top"/>
            <w:shd w:fill="F4F9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Cuestionario 24 ítems (Anexo 04)</w:t>
            </w:r>
          </w:p>
        </w:tc>
        <w:tc>
          <w:tcPr>
            <w:tcW w:type="dxa" w:w="749"/>
            <w:vAlign w:val="top"/>
            <w:shd w:fill="F4F9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Preprueba (O₁) y posprueba (O₂)</w:t>
            </w:r>
          </w:p>
        </w:tc>
        <w:tc>
          <w:tcPr>
            <w:tcW w:type="dxa" w:w="1728"/>
            <w:vAlign w:val="top"/>
            <w:shd w:fill="F4F9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Validez de contenido; V de Aiken ≥ 0,70. Sustento: Kim 2020; Du Jardin 2021; Khalid 2022.</w:t>
            </w:r>
          </w:p>
        </w:tc>
      </w:tr>
      <w:tr>
        <w:tc>
          <w:tcPr>
            <w:tcW w:type="dxa" w:w="1368"/>
            <w:vAlign w:val="top"/>
            <w:shd w:fill="F4F9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Predicción del riesgo empresarial mediante el Índice de Riesgo Empresarial (IRE)</w:t>
            </w:r>
          </w:p>
        </w:tc>
        <w:tc>
          <w:tcPr>
            <w:tcW w:type="dxa" w:w="1440"/>
            <w:vAlign w:val="top"/>
            <w:shd w:fill="F4F9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— (ver ítem 1)</w:t>
            </w:r>
          </w:p>
        </w:tc>
        <w:tc>
          <w:tcPr>
            <w:tcW w:type="dxa" w:w="1368"/>
            <w:vAlign w:val="top"/>
            <w:shd w:fill="F4F9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— (ver ítem 1)</w:t>
            </w:r>
          </w:p>
        </w:tc>
        <w:tc>
          <w:tcPr>
            <w:tcW w:type="dxa" w:w="1512"/>
            <w:vAlign w:val="top"/>
            <w:shd w:fill="F4F9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D1: Modelos de predicción del riesgo empresarial</w:t>
            </w:r>
          </w:p>
        </w:tc>
        <w:tc>
          <w:tcPr>
            <w:tcW w:type="dxa" w:w="1368"/>
            <w:vAlign w:val="top"/>
            <w:shd w:fill="F4F9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Utilidad del horizonte de predicción configurado</w:t>
            </w:r>
          </w:p>
        </w:tc>
        <w:tc>
          <w:tcPr>
            <w:tcW w:type="dxa" w:w="1440"/>
            <w:vAlign w:val="top"/>
            <w:shd w:fill="F4F9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VD-D1 ind. 3 — Horizonte de predicción (7, 15 o 30 días)</w:t>
            </w:r>
          </w:p>
        </w:tc>
        <w:tc>
          <w:tcPr>
            <w:tcW w:type="dxa" w:w="403"/>
            <w:vAlign w:val="top"/>
            <w:shd w:fill="F4F9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3</w:t>
            </w:r>
          </w:p>
        </w:tc>
        <w:tc>
          <w:tcPr>
            <w:tcW w:type="dxa" w:w="2664"/>
            <w:vAlign w:val="top"/>
            <w:shd w:fill="F4F9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El [método actual / sistema implementado] permite planificar con horizontes de predicción útiles (7, 15 o 30 días) para la gestión del riesgo.</w:t>
            </w:r>
          </w:p>
        </w:tc>
        <w:tc>
          <w:tcPr>
            <w:tcW w:type="dxa" w:w="1037"/>
            <w:vAlign w:val="top"/>
            <w:shd w:fill="F4F9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Ordinal Likert 1–5</w:t>
            </w:r>
          </w:p>
        </w:tc>
        <w:tc>
          <w:tcPr>
            <w:tcW w:type="dxa" w:w="835"/>
            <w:vAlign w:val="top"/>
            <w:shd w:fill="F4F9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Encuesta estructurada</w:t>
            </w:r>
          </w:p>
        </w:tc>
        <w:tc>
          <w:tcPr>
            <w:tcW w:type="dxa" w:w="979"/>
            <w:vAlign w:val="top"/>
            <w:shd w:fill="F4F9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Cuestionario 24 ítems (Anexo 04)</w:t>
            </w:r>
          </w:p>
        </w:tc>
        <w:tc>
          <w:tcPr>
            <w:tcW w:type="dxa" w:w="749"/>
            <w:vAlign w:val="top"/>
            <w:shd w:fill="F4F9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Preprueba (O₁) y posprueba (O₂)</w:t>
            </w:r>
          </w:p>
        </w:tc>
        <w:tc>
          <w:tcPr>
            <w:tcW w:type="dxa" w:w="1728"/>
            <w:vAlign w:val="top"/>
            <w:shd w:fill="F4F9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Validez de contenido; prueba piloto (10 % muestra). Sustento: Makridakis 2018; Fildes 2022; Choi 2018.</w:t>
            </w:r>
          </w:p>
        </w:tc>
      </w:tr>
      <w:tr>
        <w:tc>
          <w:tcPr>
            <w:tcW w:type="dxa" w:w="1368"/>
            <w:vAlign w:val="top"/>
            <w:shd w:fill="F4F9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Predicción del riesgo empresarial mediante el Índice de Riesgo Empresarial (IRE)</w:t>
            </w:r>
          </w:p>
        </w:tc>
        <w:tc>
          <w:tcPr>
            <w:tcW w:type="dxa" w:w="1440"/>
            <w:vAlign w:val="top"/>
            <w:shd w:fill="F4F9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— (ver ítem 1)</w:t>
            </w:r>
          </w:p>
        </w:tc>
        <w:tc>
          <w:tcPr>
            <w:tcW w:type="dxa" w:w="1368"/>
            <w:vAlign w:val="top"/>
            <w:shd w:fill="F4F9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— (ver ítem 1)</w:t>
            </w:r>
          </w:p>
        </w:tc>
        <w:tc>
          <w:tcPr>
            <w:tcW w:type="dxa" w:w="1512"/>
            <w:vAlign w:val="top"/>
            <w:shd w:fill="F4F9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D1: Modelos de predicción del riesgo empresarial</w:t>
            </w:r>
          </w:p>
        </w:tc>
        <w:tc>
          <w:tcPr>
            <w:tcW w:type="dxa" w:w="1368"/>
            <w:vAlign w:val="top"/>
            <w:shd w:fill="F4F9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Claridad de la técnica de agregación del IRE</w:t>
            </w:r>
          </w:p>
        </w:tc>
        <w:tc>
          <w:tcPr>
            <w:tcW w:type="dxa" w:w="1440"/>
            <w:vAlign w:val="top"/>
            <w:shd w:fill="F4F9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VD-D1 ind. 4 — Técnica agregación IRE (ponderación fija + reglas)</w:t>
            </w:r>
          </w:p>
        </w:tc>
        <w:tc>
          <w:tcPr>
            <w:tcW w:type="dxa" w:w="403"/>
            <w:vAlign w:val="top"/>
            <w:shd w:fill="F4F9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4</w:t>
            </w:r>
          </w:p>
        </w:tc>
        <w:tc>
          <w:tcPr>
            <w:tcW w:type="dxa" w:w="2664"/>
            <w:vAlign w:val="top"/>
            <w:shd w:fill="F4F9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La forma en que el IRE combina los componentes (stock, ingresos y demanda) es adecuada para interpretar el riesgo empresarial.</w:t>
            </w:r>
          </w:p>
        </w:tc>
        <w:tc>
          <w:tcPr>
            <w:tcW w:type="dxa" w:w="1037"/>
            <w:vAlign w:val="top"/>
            <w:shd w:fill="F4F9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Ordinal Likert 1–5</w:t>
            </w:r>
          </w:p>
        </w:tc>
        <w:tc>
          <w:tcPr>
            <w:tcW w:type="dxa" w:w="835"/>
            <w:vAlign w:val="top"/>
            <w:shd w:fill="F4F9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Encuesta estructurada</w:t>
            </w:r>
          </w:p>
        </w:tc>
        <w:tc>
          <w:tcPr>
            <w:tcW w:type="dxa" w:w="979"/>
            <w:vAlign w:val="top"/>
            <w:shd w:fill="F4F9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Cuestionario 24 ítems (Anexo 04)</w:t>
            </w:r>
          </w:p>
        </w:tc>
        <w:tc>
          <w:tcPr>
            <w:tcW w:type="dxa" w:w="749"/>
            <w:vAlign w:val="top"/>
            <w:shd w:fill="F4F9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Preprueba (O₁) y posprueba (O₂)</w:t>
            </w:r>
          </w:p>
        </w:tc>
        <w:tc>
          <w:tcPr>
            <w:tcW w:type="dxa" w:w="1728"/>
            <w:vAlign w:val="top"/>
            <w:shd w:fill="F4F9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Validez de contenido; juicio de expertos. Sustento: Amba 2017; Choi 2018; documentacion/07 §2.</w:t>
            </w:r>
          </w:p>
        </w:tc>
      </w:tr>
      <w:tr>
        <w:tc>
          <w:tcPr>
            <w:tcW w:type="dxa" w:w="1368"/>
            <w:vAlign w:val="top"/>
            <w:shd w:fill="F4F9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Predicción del riesgo empresarial mediante el Índice de Riesgo Empresarial (IRE)</w:t>
            </w:r>
          </w:p>
        </w:tc>
        <w:tc>
          <w:tcPr>
            <w:tcW w:type="dxa" w:w="1440"/>
            <w:vAlign w:val="top"/>
            <w:shd w:fill="F4F9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— (ver ítem 1)</w:t>
            </w:r>
          </w:p>
        </w:tc>
        <w:tc>
          <w:tcPr>
            <w:tcW w:type="dxa" w:w="1368"/>
            <w:vAlign w:val="top"/>
            <w:shd w:fill="F4F9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— (ver ítem 1)</w:t>
            </w:r>
          </w:p>
        </w:tc>
        <w:tc>
          <w:tcPr>
            <w:tcW w:type="dxa" w:w="1512"/>
            <w:vAlign w:val="top"/>
            <w:shd w:fill="F4F9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D1: Modelos de predicción del riesgo empresarial</w:t>
            </w:r>
          </w:p>
        </w:tc>
        <w:tc>
          <w:tcPr>
            <w:tcW w:type="dxa" w:w="1368"/>
            <w:vAlign w:val="top"/>
            <w:shd w:fill="F4F9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Confianza en los métodos de validación del modelo</w:t>
            </w:r>
          </w:p>
        </w:tc>
        <w:tc>
          <w:tcPr>
            <w:tcW w:type="dxa" w:w="1440"/>
            <w:vAlign w:val="top"/>
            <w:shd w:fill="F4F9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VD-D1 ind. 5 — Método validación (consistencia interna + walk-forward)</w:t>
            </w:r>
          </w:p>
        </w:tc>
        <w:tc>
          <w:tcPr>
            <w:tcW w:type="dxa" w:w="403"/>
            <w:vAlign w:val="top"/>
            <w:shd w:fill="F4F9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5</w:t>
            </w:r>
          </w:p>
        </w:tc>
        <w:tc>
          <w:tcPr>
            <w:tcW w:type="dxa" w:w="2664"/>
            <w:vAlign w:val="top"/>
            <w:shd w:fill="F4F9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Los métodos de validación del [método actual / sistema implementado] (consistencia interna y walk-forward) generan confianza en los resultados.</w:t>
            </w:r>
          </w:p>
        </w:tc>
        <w:tc>
          <w:tcPr>
            <w:tcW w:type="dxa" w:w="1037"/>
            <w:vAlign w:val="top"/>
            <w:shd w:fill="F4F9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Ordinal Likert 1–5</w:t>
            </w:r>
          </w:p>
        </w:tc>
        <w:tc>
          <w:tcPr>
            <w:tcW w:type="dxa" w:w="835"/>
            <w:vAlign w:val="top"/>
            <w:shd w:fill="F4F9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Encuesta estructurada</w:t>
            </w:r>
          </w:p>
        </w:tc>
        <w:tc>
          <w:tcPr>
            <w:tcW w:type="dxa" w:w="979"/>
            <w:vAlign w:val="top"/>
            <w:shd w:fill="F4F9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Cuestionario 24 ítems (Anexo 04)</w:t>
            </w:r>
          </w:p>
        </w:tc>
        <w:tc>
          <w:tcPr>
            <w:tcW w:type="dxa" w:w="749"/>
            <w:vAlign w:val="top"/>
            <w:shd w:fill="F4F9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Preprueba (O₁) y posprueba (O₂)</w:t>
            </w:r>
          </w:p>
        </w:tc>
        <w:tc>
          <w:tcPr>
            <w:tcW w:type="dxa" w:w="1728"/>
            <w:vAlign w:val="top"/>
            <w:shd w:fill="F4F9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Validez de contenido; alfa de Cronbach ≥ 0,70 (dimensión). Sustento: Paleyes 2022; Martinez-Fernandez 2022; Barboza 2017.</w:t>
            </w:r>
          </w:p>
        </w:tc>
      </w:tr>
      <w:tr>
        <w:tc>
          <w:tcPr>
            <w:tcW w:type="dxa" w:w="1368"/>
            <w:vAlign w:val="top"/>
            <w:shd w:fill="F4F9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Predicción del riesgo empresarial mediante el Índice de Riesgo Empresarial (IRE)</w:t>
            </w:r>
          </w:p>
        </w:tc>
        <w:tc>
          <w:tcPr>
            <w:tcW w:type="dxa" w:w="1440"/>
            <w:vAlign w:val="top"/>
            <w:shd w:fill="F4F9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— (ver ítem 1)</w:t>
            </w:r>
          </w:p>
        </w:tc>
        <w:tc>
          <w:tcPr>
            <w:tcW w:type="dxa" w:w="1368"/>
            <w:vAlign w:val="top"/>
            <w:shd w:fill="F4F9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— (ver ítem 1)</w:t>
            </w:r>
          </w:p>
        </w:tc>
        <w:tc>
          <w:tcPr>
            <w:tcW w:type="dxa" w:w="1512"/>
            <w:vAlign w:val="top"/>
            <w:shd w:fill="F4F9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D1: Modelos de predicción del riesgo empresarial</w:t>
            </w:r>
          </w:p>
        </w:tc>
        <w:tc>
          <w:tcPr>
            <w:tcW w:type="dxa" w:w="1368"/>
            <w:vAlign w:val="top"/>
            <w:shd w:fill="F4F9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Mejora percibida frente al método empírico anterior</w:t>
            </w:r>
          </w:p>
        </w:tc>
        <w:tc>
          <w:tcPr>
            <w:tcW w:type="dxa" w:w="1440"/>
            <w:vAlign w:val="top"/>
            <w:shd w:fill="F4F9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VD-D1 ind. 6 — Comparación vs método empírico baseline (% mejora MAE)</w:t>
            </w:r>
          </w:p>
        </w:tc>
        <w:tc>
          <w:tcPr>
            <w:tcW w:type="dxa" w:w="403"/>
            <w:vAlign w:val="top"/>
            <w:shd w:fill="F4F9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6</w:t>
            </w:r>
          </w:p>
        </w:tc>
        <w:tc>
          <w:tcPr>
            <w:tcW w:type="dxa" w:w="2664"/>
            <w:vAlign w:val="top"/>
            <w:shd w:fill="F4F9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El [método actual / sistema implementado] mejora la estimación del riesgo empresarial respecto al método empírico utilizado anteriormente.</w:t>
            </w:r>
          </w:p>
        </w:tc>
        <w:tc>
          <w:tcPr>
            <w:tcW w:type="dxa" w:w="1037"/>
            <w:vAlign w:val="top"/>
            <w:shd w:fill="F4F9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Ordinal Likert 1–5</w:t>
            </w:r>
          </w:p>
        </w:tc>
        <w:tc>
          <w:tcPr>
            <w:tcW w:type="dxa" w:w="835"/>
            <w:vAlign w:val="top"/>
            <w:shd w:fill="F4F9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Encuesta estructurada</w:t>
            </w:r>
          </w:p>
        </w:tc>
        <w:tc>
          <w:tcPr>
            <w:tcW w:type="dxa" w:w="979"/>
            <w:vAlign w:val="top"/>
            <w:shd w:fill="F4F9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Cuestionario 24 ítems (Anexo 04)</w:t>
            </w:r>
          </w:p>
        </w:tc>
        <w:tc>
          <w:tcPr>
            <w:tcW w:type="dxa" w:w="749"/>
            <w:vAlign w:val="top"/>
            <w:shd w:fill="F4F9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Preprueba (O₁) y posprueba (O₂)</w:t>
            </w:r>
          </w:p>
        </w:tc>
        <w:tc>
          <w:tcPr>
            <w:tcW w:type="dxa" w:w="1728"/>
            <w:vAlign w:val="top"/>
            <w:shd w:fill="F4F9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Comparación pre/post; alfa de Cronbach ≥ 0,70. Sustento: Fildes 2022; Makridakis 2018; Choi 2018.</w:t>
            </w:r>
          </w:p>
        </w:tc>
      </w:tr>
      <w:tr>
        <w:tc>
          <w:tcPr>
            <w:tcW w:type="dxa" w:w="1368"/>
            <w:vAlign w:val="top"/>
            <w:shd w:fill="FFF9EE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Predicción del riesgo empresarial mediante el Índice de Riesgo Empresarial (IRE)</w:t>
            </w:r>
          </w:p>
        </w:tc>
        <w:tc>
          <w:tcPr>
            <w:tcW w:type="dxa" w:w="1440"/>
            <w:vAlign w:val="top"/>
            <w:shd w:fill="FFF9EE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— (ver ítem 1)</w:t>
            </w:r>
          </w:p>
        </w:tc>
        <w:tc>
          <w:tcPr>
            <w:tcW w:type="dxa" w:w="1368"/>
            <w:vAlign w:val="top"/>
            <w:shd w:fill="FFF9EE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— (ver ítem 1)</w:t>
            </w:r>
          </w:p>
        </w:tc>
        <w:tc>
          <w:tcPr>
            <w:tcW w:type="dxa" w:w="1512"/>
            <w:vAlign w:val="top"/>
            <w:shd w:fill="FFF9EE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D2: Exactitud y validación del IRE y modelos predictivos</w:t>
            </w:r>
          </w:p>
        </w:tc>
        <w:tc>
          <w:tcPr>
            <w:tcW w:type="dxa" w:w="1368"/>
            <w:vAlign w:val="top"/>
            <w:shd w:fill="FFF9EE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Consistencia interna percibida del IRE</w:t>
            </w:r>
          </w:p>
        </w:tc>
        <w:tc>
          <w:tcPr>
            <w:tcW w:type="dxa" w:w="1440"/>
            <w:vAlign w:val="top"/>
            <w:shd w:fill="FFF9EE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VD-D2 ind. 1 — Tests consistencia interna IRE (invariantes, monotonía)</w:t>
            </w:r>
          </w:p>
        </w:tc>
        <w:tc>
          <w:tcPr>
            <w:tcW w:type="dxa" w:w="403"/>
            <w:vAlign w:val="top"/>
            <w:shd w:fill="FFF9EE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7</w:t>
            </w:r>
          </w:p>
        </w:tc>
        <w:tc>
          <w:tcPr>
            <w:tcW w:type="dxa" w:w="2664"/>
            <w:vAlign w:val="top"/>
            <w:shd w:fill="FFF9EE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Las estimaciones del IRE son internamente consistentes (coherentes entre sus componentes y el valor global).</w:t>
            </w:r>
          </w:p>
        </w:tc>
        <w:tc>
          <w:tcPr>
            <w:tcW w:type="dxa" w:w="1037"/>
            <w:vAlign w:val="top"/>
            <w:shd w:fill="FFF9EE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Ordinal Likert 1–5</w:t>
            </w:r>
          </w:p>
        </w:tc>
        <w:tc>
          <w:tcPr>
            <w:tcW w:type="dxa" w:w="835"/>
            <w:vAlign w:val="top"/>
            <w:shd w:fill="FFF9EE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Encuesta estructurada</w:t>
            </w:r>
          </w:p>
        </w:tc>
        <w:tc>
          <w:tcPr>
            <w:tcW w:type="dxa" w:w="979"/>
            <w:vAlign w:val="top"/>
            <w:shd w:fill="FFF9EE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Cuestionario 24 ítems (Anexo 04)</w:t>
            </w:r>
          </w:p>
        </w:tc>
        <w:tc>
          <w:tcPr>
            <w:tcW w:type="dxa" w:w="749"/>
            <w:vAlign w:val="top"/>
            <w:shd w:fill="FFF9EE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Preprueba (O₁) y posprueba (O₂)</w:t>
            </w:r>
          </w:p>
        </w:tc>
        <w:tc>
          <w:tcPr>
            <w:tcW w:type="dxa" w:w="1728"/>
            <w:vAlign w:val="top"/>
            <w:shd w:fill="FFF9EE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Validez de contenido; contraste con test_risk.py. Sustento: Barboza 2017; Kim 2020; Du Jardin 2021.</w:t>
            </w:r>
          </w:p>
        </w:tc>
      </w:tr>
      <w:tr>
        <w:tc>
          <w:tcPr>
            <w:tcW w:type="dxa" w:w="1368"/>
            <w:vAlign w:val="top"/>
            <w:shd w:fill="FFF9EE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Predicción del riesgo empresarial mediante el Índice de Riesgo Empresarial (IRE)</w:t>
            </w:r>
          </w:p>
        </w:tc>
        <w:tc>
          <w:tcPr>
            <w:tcW w:type="dxa" w:w="1440"/>
            <w:vAlign w:val="top"/>
            <w:shd w:fill="FFF9EE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— (ver ítem 1)</w:t>
            </w:r>
          </w:p>
        </w:tc>
        <w:tc>
          <w:tcPr>
            <w:tcW w:type="dxa" w:w="1368"/>
            <w:vAlign w:val="top"/>
            <w:shd w:fill="FFF9EE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— (ver ítem 1)</w:t>
            </w:r>
          </w:p>
        </w:tc>
        <w:tc>
          <w:tcPr>
            <w:tcW w:type="dxa" w:w="1512"/>
            <w:vAlign w:val="top"/>
            <w:shd w:fill="FFF9EE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D2: Exactitud y validación del IRE y modelos predictivos</w:t>
            </w:r>
          </w:p>
        </w:tc>
        <w:tc>
          <w:tcPr>
            <w:tcW w:type="dxa" w:w="1368"/>
            <w:vAlign w:val="top"/>
            <w:shd w:fill="FFF9EE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Aceptabilidad del error medio de pronóstico (MAE)</w:t>
            </w:r>
          </w:p>
        </w:tc>
        <w:tc>
          <w:tcPr>
            <w:tcW w:type="dxa" w:w="1440"/>
            <w:vAlign w:val="top"/>
            <w:shd w:fill="FFF9EE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VD-D2 ind. 2 — MAE pronóstico demanda RF vs baseline (unidades)</w:t>
            </w:r>
          </w:p>
        </w:tc>
        <w:tc>
          <w:tcPr>
            <w:tcW w:type="dxa" w:w="403"/>
            <w:vAlign w:val="top"/>
            <w:shd w:fill="FFF9EE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8</w:t>
            </w:r>
          </w:p>
        </w:tc>
        <w:tc>
          <w:tcPr>
            <w:tcW w:type="dxa" w:w="2664"/>
            <w:vAlign w:val="top"/>
            <w:shd w:fill="FFF9EE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El error medio de pronóstico de demanda (MAE) del [método actual / sistema implementado] es aceptable para la gestión de inventario.</w:t>
            </w:r>
          </w:p>
        </w:tc>
        <w:tc>
          <w:tcPr>
            <w:tcW w:type="dxa" w:w="1037"/>
            <w:vAlign w:val="top"/>
            <w:shd w:fill="FFF9EE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Ordinal Likert 1–5</w:t>
            </w:r>
          </w:p>
        </w:tc>
        <w:tc>
          <w:tcPr>
            <w:tcW w:type="dxa" w:w="835"/>
            <w:vAlign w:val="top"/>
            <w:shd w:fill="FFF9EE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Encuesta estructurada</w:t>
            </w:r>
          </w:p>
        </w:tc>
        <w:tc>
          <w:tcPr>
            <w:tcW w:type="dxa" w:w="979"/>
            <w:vAlign w:val="top"/>
            <w:shd w:fill="FFF9EE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Cuestionario 24 ítems (Anexo 04)</w:t>
            </w:r>
          </w:p>
        </w:tc>
        <w:tc>
          <w:tcPr>
            <w:tcW w:type="dxa" w:w="749"/>
            <w:vAlign w:val="top"/>
            <w:shd w:fill="FFF9EE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Preprueba (O₁) y posprueba (O₂)</w:t>
            </w:r>
          </w:p>
        </w:tc>
        <w:tc>
          <w:tcPr>
            <w:tcW w:type="dxa" w:w="1728"/>
            <w:vAlign w:val="top"/>
            <w:shd w:fill="FFF9EE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Validez de criterio con evaluate.py. Sustento: Makridakis 2018; Fildes 2022; Barboza 2017.</w:t>
            </w:r>
          </w:p>
        </w:tc>
      </w:tr>
      <w:tr>
        <w:tc>
          <w:tcPr>
            <w:tcW w:type="dxa" w:w="1368"/>
            <w:vAlign w:val="top"/>
            <w:shd w:fill="FFF9EE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Predicción del riesgo empresarial mediante el Índice de Riesgo Empresarial (IRE)</w:t>
            </w:r>
          </w:p>
        </w:tc>
        <w:tc>
          <w:tcPr>
            <w:tcW w:type="dxa" w:w="1440"/>
            <w:vAlign w:val="top"/>
            <w:shd w:fill="FFF9EE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— (ver ítem 1)</w:t>
            </w:r>
          </w:p>
        </w:tc>
        <w:tc>
          <w:tcPr>
            <w:tcW w:type="dxa" w:w="1368"/>
            <w:vAlign w:val="top"/>
            <w:shd w:fill="FFF9EE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— (ver ítem 1)</w:t>
            </w:r>
          </w:p>
        </w:tc>
        <w:tc>
          <w:tcPr>
            <w:tcW w:type="dxa" w:w="1512"/>
            <w:vAlign w:val="top"/>
            <w:shd w:fill="FFF9EE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D2: Exactitud y validación del IRE y modelos predictivos</w:t>
            </w:r>
          </w:p>
        </w:tc>
        <w:tc>
          <w:tcPr>
            <w:tcW w:type="dxa" w:w="1368"/>
            <w:vAlign w:val="top"/>
            <w:shd w:fill="FFF9EE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Aceptabilidad de la variabilidad del error (RMSE)</w:t>
            </w:r>
          </w:p>
        </w:tc>
        <w:tc>
          <w:tcPr>
            <w:tcW w:type="dxa" w:w="1440"/>
            <w:vAlign w:val="top"/>
            <w:shd w:fill="FFF9EE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VD-D2 ind. 3 — RMSE pronóstico demanda (unidades)</w:t>
            </w:r>
          </w:p>
        </w:tc>
        <w:tc>
          <w:tcPr>
            <w:tcW w:type="dxa" w:w="403"/>
            <w:vAlign w:val="top"/>
            <w:shd w:fill="FFF9EE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9</w:t>
            </w:r>
          </w:p>
        </w:tc>
        <w:tc>
          <w:tcPr>
            <w:tcW w:type="dxa" w:w="2664"/>
            <w:vAlign w:val="top"/>
            <w:shd w:fill="FFF9EE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La variabilidad del error de pronóstico (RMSE) del [método actual / sistema implementado] es aceptable para la planificación comercial.</w:t>
            </w:r>
          </w:p>
        </w:tc>
        <w:tc>
          <w:tcPr>
            <w:tcW w:type="dxa" w:w="1037"/>
            <w:vAlign w:val="top"/>
            <w:shd w:fill="FFF9EE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Ordinal Likert 1–5</w:t>
            </w:r>
          </w:p>
        </w:tc>
        <w:tc>
          <w:tcPr>
            <w:tcW w:type="dxa" w:w="835"/>
            <w:vAlign w:val="top"/>
            <w:shd w:fill="FFF9EE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Encuesta estructurada</w:t>
            </w:r>
          </w:p>
        </w:tc>
        <w:tc>
          <w:tcPr>
            <w:tcW w:type="dxa" w:w="979"/>
            <w:vAlign w:val="top"/>
            <w:shd w:fill="FFF9EE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Cuestionario 24 ítems (Anexo 04)</w:t>
            </w:r>
          </w:p>
        </w:tc>
        <w:tc>
          <w:tcPr>
            <w:tcW w:type="dxa" w:w="749"/>
            <w:vAlign w:val="top"/>
            <w:shd w:fill="FFF9EE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Preprueba (O₁) y posprueba (O₂)</w:t>
            </w:r>
          </w:p>
        </w:tc>
        <w:tc>
          <w:tcPr>
            <w:tcW w:type="dxa" w:w="1728"/>
            <w:vAlign w:val="top"/>
            <w:shd w:fill="FFF9EE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Validez de contenido; V de Aiken ≥ 0,70. Sustento: Altman 1968; Beaver 1966; Khalid 2022.</w:t>
            </w:r>
          </w:p>
        </w:tc>
      </w:tr>
      <w:tr>
        <w:tc>
          <w:tcPr>
            <w:tcW w:type="dxa" w:w="1368"/>
            <w:vAlign w:val="top"/>
            <w:shd w:fill="FFF9EE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Predicción del riesgo empresarial mediante el Índice de Riesgo Empresarial (IRE)</w:t>
            </w:r>
          </w:p>
        </w:tc>
        <w:tc>
          <w:tcPr>
            <w:tcW w:type="dxa" w:w="1440"/>
            <w:vAlign w:val="top"/>
            <w:shd w:fill="FFF9EE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— (ver ítem 1)</w:t>
            </w:r>
          </w:p>
        </w:tc>
        <w:tc>
          <w:tcPr>
            <w:tcW w:type="dxa" w:w="1368"/>
            <w:vAlign w:val="top"/>
            <w:shd w:fill="FFF9EE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— (ver ítem 1)</w:t>
            </w:r>
          </w:p>
        </w:tc>
        <w:tc>
          <w:tcPr>
            <w:tcW w:type="dxa" w:w="1512"/>
            <w:vAlign w:val="top"/>
            <w:shd w:fill="FFF9EE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D2: Exactitud y validación del IRE y modelos predictivos</w:t>
            </w:r>
          </w:p>
        </w:tc>
        <w:tc>
          <w:tcPr>
            <w:tcW w:type="dxa" w:w="1368"/>
            <w:vAlign w:val="top"/>
            <w:shd w:fill="FFF9EE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Transparencia de la suma de contribuciones del IRE</w:t>
            </w:r>
          </w:p>
        </w:tc>
        <w:tc>
          <w:tcPr>
            <w:tcW w:type="dxa" w:w="1440"/>
            <w:vAlign w:val="top"/>
            <w:shd w:fill="FFF9EE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VD-D2 ind. 4 — Estabilidad suma contribuciones IRE (= score mostrado)</w:t>
            </w:r>
          </w:p>
        </w:tc>
        <w:tc>
          <w:tcPr>
            <w:tcW w:type="dxa" w:w="403"/>
            <w:vAlign w:val="top"/>
            <w:shd w:fill="FFF9EE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10</w:t>
            </w:r>
          </w:p>
        </w:tc>
        <w:tc>
          <w:tcPr>
            <w:tcW w:type="dxa" w:w="2664"/>
            <w:vAlign w:val="top"/>
            <w:shd w:fill="FFF9EE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La suma de las contribuciones del IRE coincide con el valor mostrado en el dashboard (es estable y transparente).</w:t>
            </w:r>
          </w:p>
        </w:tc>
        <w:tc>
          <w:tcPr>
            <w:tcW w:type="dxa" w:w="1037"/>
            <w:vAlign w:val="top"/>
            <w:shd w:fill="FFF9EE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Ordinal Likert 1–5</w:t>
            </w:r>
          </w:p>
        </w:tc>
        <w:tc>
          <w:tcPr>
            <w:tcW w:type="dxa" w:w="835"/>
            <w:vAlign w:val="top"/>
            <w:shd w:fill="FFF9EE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Encuesta estructurada</w:t>
            </w:r>
          </w:p>
        </w:tc>
        <w:tc>
          <w:tcPr>
            <w:tcW w:type="dxa" w:w="979"/>
            <w:vAlign w:val="top"/>
            <w:shd w:fill="FFF9EE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Cuestionario 24 ítems (Anexo 04)</w:t>
            </w:r>
          </w:p>
        </w:tc>
        <w:tc>
          <w:tcPr>
            <w:tcW w:type="dxa" w:w="749"/>
            <w:vAlign w:val="top"/>
            <w:shd w:fill="FFF9EE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Preprueba (O₁) y posprueba (O₂)</w:t>
            </w:r>
          </w:p>
        </w:tc>
        <w:tc>
          <w:tcPr>
            <w:tcW w:type="dxa" w:w="1728"/>
            <w:vAlign w:val="top"/>
            <w:shd w:fill="FFF9EE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Validez de contenido; alfa de Cronbach ≥ 0,70. Sustento: Lepenioti 2020; Melville 2004; Paleyes 2022.</w:t>
            </w:r>
          </w:p>
        </w:tc>
      </w:tr>
      <w:tr>
        <w:tc>
          <w:tcPr>
            <w:tcW w:type="dxa" w:w="1368"/>
            <w:vAlign w:val="top"/>
            <w:shd w:fill="FFF9EE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Predicción del riesgo empresarial mediante el Índice de Riesgo Empresarial (IRE)</w:t>
            </w:r>
          </w:p>
        </w:tc>
        <w:tc>
          <w:tcPr>
            <w:tcW w:type="dxa" w:w="1440"/>
            <w:vAlign w:val="top"/>
            <w:shd w:fill="FFF9EE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— (ver ítem 1)</w:t>
            </w:r>
          </w:p>
        </w:tc>
        <w:tc>
          <w:tcPr>
            <w:tcW w:type="dxa" w:w="1368"/>
            <w:vAlign w:val="top"/>
            <w:shd w:fill="FFF9EE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— (ver ítem 1)</w:t>
            </w:r>
          </w:p>
        </w:tc>
        <w:tc>
          <w:tcPr>
            <w:tcW w:type="dxa" w:w="1512"/>
            <w:vAlign w:val="top"/>
            <w:shd w:fill="FFF9EE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D2: Exactitud y validación del IRE y modelos predictivos</w:t>
            </w:r>
          </w:p>
        </w:tc>
        <w:tc>
          <w:tcPr>
            <w:tcW w:type="dxa" w:w="1368"/>
            <w:vAlign w:val="top"/>
            <w:shd w:fill="FFF9EE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Estabilidad del desempeño ante cambios en los datos</w:t>
            </w:r>
          </w:p>
        </w:tc>
        <w:tc>
          <w:tcPr>
            <w:tcW w:type="dxa" w:w="1440"/>
            <w:vAlign w:val="top"/>
            <w:shd w:fill="FFF9EE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VD-D2 ind. 5 — Variación desempeño por data drift mensual (%)</w:t>
            </w:r>
          </w:p>
        </w:tc>
        <w:tc>
          <w:tcPr>
            <w:tcW w:type="dxa" w:w="403"/>
            <w:vAlign w:val="top"/>
            <w:shd w:fill="FFF9EE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11</w:t>
            </w:r>
          </w:p>
        </w:tc>
        <w:tc>
          <w:tcPr>
            <w:tcW w:type="dxa" w:w="2664"/>
            <w:vAlign w:val="top"/>
            <w:shd w:fill="FFF9EE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El desempeño del [método actual / sistema implementado] se mantiene estable ante cambios en los datos de ventas e inventario (poca degradación por drift).</w:t>
            </w:r>
          </w:p>
        </w:tc>
        <w:tc>
          <w:tcPr>
            <w:tcW w:type="dxa" w:w="1037"/>
            <w:vAlign w:val="top"/>
            <w:shd w:fill="FFF9EE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Ordinal Likert 1–5</w:t>
            </w:r>
          </w:p>
        </w:tc>
        <w:tc>
          <w:tcPr>
            <w:tcW w:type="dxa" w:w="835"/>
            <w:vAlign w:val="top"/>
            <w:shd w:fill="FFF9EE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Encuesta estructurada</w:t>
            </w:r>
          </w:p>
        </w:tc>
        <w:tc>
          <w:tcPr>
            <w:tcW w:type="dxa" w:w="979"/>
            <w:vAlign w:val="top"/>
            <w:shd w:fill="FFF9EE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Cuestionario 24 ítems (Anexo 04)</w:t>
            </w:r>
          </w:p>
        </w:tc>
        <w:tc>
          <w:tcPr>
            <w:tcW w:type="dxa" w:w="749"/>
            <w:vAlign w:val="top"/>
            <w:shd w:fill="FFF9EE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Preprueba (O₁) y posprueba (O₂)</w:t>
            </w:r>
          </w:p>
        </w:tc>
        <w:tc>
          <w:tcPr>
            <w:tcW w:type="dxa" w:w="1728"/>
            <w:vAlign w:val="top"/>
            <w:shd w:fill="FFF9EE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Validez de contenido; prueba piloto. Sustento: Lepenioti 2020; Choi 2018; Khalid 2022.</w:t>
            </w:r>
          </w:p>
        </w:tc>
      </w:tr>
      <w:tr>
        <w:tc>
          <w:tcPr>
            <w:tcW w:type="dxa" w:w="1368"/>
            <w:vAlign w:val="top"/>
            <w:shd w:fill="FFF9EE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Predicción del riesgo empresarial mediante el Índice de Riesgo Empresarial (IRE)</w:t>
            </w:r>
          </w:p>
        </w:tc>
        <w:tc>
          <w:tcPr>
            <w:tcW w:type="dxa" w:w="1440"/>
            <w:vAlign w:val="top"/>
            <w:shd w:fill="FFF9EE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— (ver ítem 1)</w:t>
            </w:r>
          </w:p>
        </w:tc>
        <w:tc>
          <w:tcPr>
            <w:tcW w:type="dxa" w:w="1368"/>
            <w:vAlign w:val="top"/>
            <w:shd w:fill="FFF9EE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— (ver ítem 1)</w:t>
            </w:r>
          </w:p>
        </w:tc>
        <w:tc>
          <w:tcPr>
            <w:tcW w:type="dxa" w:w="1512"/>
            <w:vAlign w:val="top"/>
            <w:shd w:fill="FFF9EE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D2: Exactitud y validación del IRE y modelos predictivos</w:t>
            </w:r>
          </w:p>
        </w:tc>
        <w:tc>
          <w:tcPr>
            <w:tcW w:type="dxa" w:w="1368"/>
            <w:vAlign w:val="top"/>
            <w:shd w:fill="FFF9EE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Utilidad de clasificación en situaciones de alto riesgo</w:t>
            </w:r>
          </w:p>
        </w:tc>
        <w:tc>
          <w:tcPr>
            <w:tcW w:type="dxa" w:w="1440"/>
            <w:vAlign w:val="top"/>
            <w:shd w:fill="FFF9EE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VD-D2 ind. 6 — AUC-ROC clasificador (condicional a eventos etiquetados)</w:t>
            </w:r>
          </w:p>
        </w:tc>
        <w:tc>
          <w:tcPr>
            <w:tcW w:type="dxa" w:w="403"/>
            <w:vAlign w:val="top"/>
            <w:shd w:fill="FFF9EE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12</w:t>
            </w:r>
          </w:p>
        </w:tc>
        <w:tc>
          <w:tcPr>
            <w:tcW w:type="dxa" w:w="2664"/>
            <w:vAlign w:val="top"/>
            <w:shd w:fill="FFF9EE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Cuando existen eventos de crisis identificados, el [método actual / sistema implementado] clasifica adecuadamente las situaciones de alto riesgo empresarial.</w:t>
            </w:r>
          </w:p>
        </w:tc>
        <w:tc>
          <w:tcPr>
            <w:tcW w:type="dxa" w:w="1037"/>
            <w:vAlign w:val="top"/>
            <w:shd w:fill="FFF9EE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Ordinal Likert 1–5</w:t>
            </w:r>
          </w:p>
        </w:tc>
        <w:tc>
          <w:tcPr>
            <w:tcW w:type="dxa" w:w="835"/>
            <w:vAlign w:val="top"/>
            <w:shd w:fill="FFF9EE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Encuesta estructurada</w:t>
            </w:r>
          </w:p>
        </w:tc>
        <w:tc>
          <w:tcPr>
            <w:tcW w:type="dxa" w:w="979"/>
            <w:vAlign w:val="top"/>
            <w:shd w:fill="FFF9EE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Cuestionario 24 ítems (Anexo 04)</w:t>
            </w:r>
          </w:p>
        </w:tc>
        <w:tc>
          <w:tcPr>
            <w:tcW w:type="dxa" w:w="749"/>
            <w:vAlign w:val="top"/>
            <w:shd w:fill="FFF9EE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Preprueba (O₁) y posprueba (O₂)</w:t>
            </w:r>
          </w:p>
        </w:tc>
        <w:tc>
          <w:tcPr>
            <w:tcW w:type="dxa" w:w="1728"/>
            <w:vAlign w:val="top"/>
            <w:shd w:fill="FFF9EE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Condicional (doc 07); comparación pre/post. Sustento: Barboza 2017; Du Jardin 2021; Khalid 2022.</w:t>
            </w:r>
          </w:p>
        </w:tc>
      </w:tr>
      <w:tr>
        <w:tc>
          <w:tcPr>
            <w:tcW w:type="dxa" w:w="1368"/>
            <w:vAlign w:val="top"/>
            <w:shd w:fill="F6F7F2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Predicción del riesgo empresarial mediante el Índice de Riesgo Empresarial (IRE)</w:t>
            </w:r>
          </w:p>
        </w:tc>
        <w:tc>
          <w:tcPr>
            <w:tcW w:type="dxa" w:w="1440"/>
            <w:vAlign w:val="top"/>
            <w:shd w:fill="F6F7F2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— (ver ítem 1)</w:t>
            </w:r>
          </w:p>
        </w:tc>
        <w:tc>
          <w:tcPr>
            <w:tcW w:type="dxa" w:w="1368"/>
            <w:vAlign w:val="top"/>
            <w:shd w:fill="F6F7F2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— (ver ítem 1)</w:t>
            </w:r>
          </w:p>
        </w:tc>
        <w:tc>
          <w:tcPr>
            <w:tcW w:type="dxa" w:w="1512"/>
            <w:vAlign w:val="top"/>
            <w:shd w:fill="F6F7F2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D3: Componentes del Índice de Riesgo Empresarial (IRE)</w:t>
            </w:r>
          </w:p>
        </w:tc>
        <w:tc>
          <w:tcPr>
            <w:tcW w:type="dxa" w:w="1368"/>
            <w:vAlign w:val="top"/>
            <w:shd w:fill="F6F7F2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Representatividad del valor compuesto IRE global</w:t>
            </w:r>
          </w:p>
        </w:tc>
        <w:tc>
          <w:tcPr>
            <w:tcW w:type="dxa" w:w="1440"/>
            <w:vAlign w:val="top"/>
            <w:shd w:fill="F6F7F2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VD-D3 ind. 1 — Valor compuesto IRE (0–100)</w:t>
            </w:r>
          </w:p>
        </w:tc>
        <w:tc>
          <w:tcPr>
            <w:tcW w:type="dxa" w:w="403"/>
            <w:vAlign w:val="top"/>
            <w:shd w:fill="F6F7F2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13</w:t>
            </w:r>
          </w:p>
        </w:tc>
        <w:tc>
          <w:tcPr>
            <w:tcW w:type="dxa" w:w="2664"/>
            <w:vAlign w:val="top"/>
            <w:shd w:fill="F6F7F2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El valor compuesto del IRE (escala 0–100) representa adecuadamente el nivel de riesgo empresarial global.</w:t>
            </w:r>
          </w:p>
        </w:tc>
        <w:tc>
          <w:tcPr>
            <w:tcW w:type="dxa" w:w="1037"/>
            <w:vAlign w:val="top"/>
            <w:shd w:fill="F6F7F2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Ordinal Likert 1–5</w:t>
            </w:r>
          </w:p>
        </w:tc>
        <w:tc>
          <w:tcPr>
            <w:tcW w:type="dxa" w:w="835"/>
            <w:vAlign w:val="top"/>
            <w:shd w:fill="F6F7F2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Encuesta estructurada</w:t>
            </w:r>
          </w:p>
        </w:tc>
        <w:tc>
          <w:tcPr>
            <w:tcW w:type="dxa" w:w="979"/>
            <w:vAlign w:val="top"/>
            <w:shd w:fill="F6F7F2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Cuestionario 24 ítems (Anexo 04)</w:t>
            </w:r>
          </w:p>
        </w:tc>
        <w:tc>
          <w:tcPr>
            <w:tcW w:type="dxa" w:w="749"/>
            <w:vAlign w:val="top"/>
            <w:shd w:fill="F6F7F2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Preprueba (O₁) y posprueba (O₂)</w:t>
            </w:r>
          </w:p>
        </w:tc>
        <w:tc>
          <w:tcPr>
            <w:tcW w:type="dxa" w:w="1728"/>
            <w:vAlign w:val="top"/>
            <w:shd w:fill="F6F7F2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Validez de contenido; contraste ireHistorial (Supabase). Sustento: Altman 1968; Beaver 1966; Barboza 2017; doc 07.</w:t>
            </w:r>
          </w:p>
        </w:tc>
      </w:tr>
      <w:tr>
        <w:tc>
          <w:tcPr>
            <w:tcW w:type="dxa" w:w="1368"/>
            <w:vAlign w:val="top"/>
            <w:shd w:fill="F6F7F2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Predicción del riesgo empresarial mediante el Índice de Riesgo Empresarial (IRE)</w:t>
            </w:r>
          </w:p>
        </w:tc>
        <w:tc>
          <w:tcPr>
            <w:tcW w:type="dxa" w:w="1440"/>
            <w:vAlign w:val="top"/>
            <w:shd w:fill="F6F7F2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— (ver ítem 1)</w:t>
            </w:r>
          </w:p>
        </w:tc>
        <w:tc>
          <w:tcPr>
            <w:tcW w:type="dxa" w:w="1368"/>
            <w:vAlign w:val="top"/>
            <w:shd w:fill="F6F7F2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— (ver ítem 1)</w:t>
            </w:r>
          </w:p>
        </w:tc>
        <w:tc>
          <w:tcPr>
            <w:tcW w:type="dxa" w:w="1512"/>
            <w:vAlign w:val="top"/>
            <w:shd w:fill="F6F7F2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D3: Componentes del Índice de Riesgo Empresarial (IRE)</w:t>
            </w:r>
          </w:p>
        </w:tc>
        <w:tc>
          <w:tcPr>
            <w:tcW w:type="dxa" w:w="1368"/>
            <w:vAlign w:val="top"/>
            <w:shd w:fill="F6F7F2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Representatividad del componente riesgo_stock</w:t>
            </w:r>
          </w:p>
        </w:tc>
        <w:tc>
          <w:tcPr>
            <w:tcW w:type="dxa" w:w="1440"/>
            <w:vAlign w:val="top"/>
            <w:shd w:fill="F6F7F2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VD-D3 ind. 2 — Componente riesgo_stock (subíndice)</w:t>
            </w:r>
          </w:p>
        </w:tc>
        <w:tc>
          <w:tcPr>
            <w:tcW w:type="dxa" w:w="403"/>
            <w:vAlign w:val="top"/>
            <w:shd w:fill="F6F7F2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14</w:t>
            </w:r>
          </w:p>
        </w:tc>
        <w:tc>
          <w:tcPr>
            <w:tcW w:type="dxa" w:w="2664"/>
            <w:vAlign w:val="top"/>
            <w:shd w:fill="F6F7F2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El subíndice riesgo_stock representa adecuadamente los problemas de inventario de la empresa.</w:t>
            </w:r>
          </w:p>
        </w:tc>
        <w:tc>
          <w:tcPr>
            <w:tcW w:type="dxa" w:w="1037"/>
            <w:vAlign w:val="top"/>
            <w:shd w:fill="F6F7F2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Ordinal Likert 1–5</w:t>
            </w:r>
          </w:p>
        </w:tc>
        <w:tc>
          <w:tcPr>
            <w:tcW w:type="dxa" w:w="835"/>
            <w:vAlign w:val="top"/>
            <w:shd w:fill="F6F7F2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Encuesta estructurada</w:t>
            </w:r>
          </w:p>
        </w:tc>
        <w:tc>
          <w:tcPr>
            <w:tcW w:type="dxa" w:w="979"/>
            <w:vAlign w:val="top"/>
            <w:shd w:fill="F6F7F2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Cuestionario 24 ítems (Anexo 04)</w:t>
            </w:r>
          </w:p>
        </w:tc>
        <w:tc>
          <w:tcPr>
            <w:tcW w:type="dxa" w:w="749"/>
            <w:vAlign w:val="top"/>
            <w:shd w:fill="F6F7F2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Preprueba (O₁) y posprueba (O₂)</w:t>
            </w:r>
          </w:p>
        </w:tc>
        <w:tc>
          <w:tcPr>
            <w:tcW w:type="dxa" w:w="1728"/>
            <w:vAlign w:val="top"/>
            <w:shd w:fill="F6F7F2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Validez de contenido; contraste registros Supabase. Sustento: Choi 2018; Fildes 2022; doc 07.</w:t>
            </w:r>
          </w:p>
        </w:tc>
      </w:tr>
      <w:tr>
        <w:tc>
          <w:tcPr>
            <w:tcW w:type="dxa" w:w="1368"/>
            <w:vAlign w:val="top"/>
            <w:shd w:fill="F6F7F2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Predicción del riesgo empresarial mediante el Índice de Riesgo Empresarial (IRE)</w:t>
            </w:r>
          </w:p>
        </w:tc>
        <w:tc>
          <w:tcPr>
            <w:tcW w:type="dxa" w:w="1440"/>
            <w:vAlign w:val="top"/>
            <w:shd w:fill="F6F7F2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— (ver ítem 1)</w:t>
            </w:r>
          </w:p>
        </w:tc>
        <w:tc>
          <w:tcPr>
            <w:tcW w:type="dxa" w:w="1368"/>
            <w:vAlign w:val="top"/>
            <w:shd w:fill="F6F7F2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— (ver ítem 1)</w:t>
            </w:r>
          </w:p>
        </w:tc>
        <w:tc>
          <w:tcPr>
            <w:tcW w:type="dxa" w:w="1512"/>
            <w:vAlign w:val="top"/>
            <w:shd w:fill="F6F7F2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D3: Componentes del Índice de Riesgo Empresarial (IRE)</w:t>
            </w:r>
          </w:p>
        </w:tc>
        <w:tc>
          <w:tcPr>
            <w:tcW w:type="dxa" w:w="1368"/>
            <w:vAlign w:val="top"/>
            <w:shd w:fill="F6F7F2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Representatividad del componente riesgo_ingresos</w:t>
            </w:r>
          </w:p>
        </w:tc>
        <w:tc>
          <w:tcPr>
            <w:tcW w:type="dxa" w:w="1440"/>
            <w:vAlign w:val="top"/>
            <w:shd w:fill="F6F7F2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VD-D3 ind. 3 — Componente riesgo_ingresos (subíndice)</w:t>
            </w:r>
          </w:p>
        </w:tc>
        <w:tc>
          <w:tcPr>
            <w:tcW w:type="dxa" w:w="403"/>
            <w:vAlign w:val="top"/>
            <w:shd w:fill="F6F7F2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15</w:t>
            </w:r>
          </w:p>
        </w:tc>
        <w:tc>
          <w:tcPr>
            <w:tcW w:type="dxa" w:w="2664"/>
            <w:vAlign w:val="top"/>
            <w:shd w:fill="F6F7F2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El subíndice riesgo_ingresos ayuda a anticipar problemas relacionados con el flujo comercial de la empresa.</w:t>
            </w:r>
          </w:p>
        </w:tc>
        <w:tc>
          <w:tcPr>
            <w:tcW w:type="dxa" w:w="1037"/>
            <w:vAlign w:val="top"/>
            <w:shd w:fill="F6F7F2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Ordinal Likert 1–5</w:t>
            </w:r>
          </w:p>
        </w:tc>
        <w:tc>
          <w:tcPr>
            <w:tcW w:type="dxa" w:w="835"/>
            <w:vAlign w:val="top"/>
            <w:shd w:fill="F6F7F2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Encuesta estructurada</w:t>
            </w:r>
          </w:p>
        </w:tc>
        <w:tc>
          <w:tcPr>
            <w:tcW w:type="dxa" w:w="979"/>
            <w:vAlign w:val="top"/>
            <w:shd w:fill="F6F7F2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Cuestionario 24 ítems (Anexo 04)</w:t>
            </w:r>
          </w:p>
        </w:tc>
        <w:tc>
          <w:tcPr>
            <w:tcW w:type="dxa" w:w="749"/>
            <w:vAlign w:val="top"/>
            <w:shd w:fill="F6F7F2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Preprueba (O₁) y posprueba (O₂)</w:t>
            </w:r>
          </w:p>
        </w:tc>
        <w:tc>
          <w:tcPr>
            <w:tcW w:type="dxa" w:w="1728"/>
            <w:vAlign w:val="top"/>
            <w:shd w:fill="F6F7F2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Validez de contenido; juicio de expertos. Sustento: Altman 1968; Beaver 1966; Melville 2004.</w:t>
            </w:r>
          </w:p>
        </w:tc>
      </w:tr>
      <w:tr>
        <w:tc>
          <w:tcPr>
            <w:tcW w:type="dxa" w:w="1368"/>
            <w:vAlign w:val="top"/>
            <w:shd w:fill="F6F7F2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Predicción del riesgo empresarial mediante el Índice de Riesgo Empresarial (IRE)</w:t>
            </w:r>
          </w:p>
        </w:tc>
        <w:tc>
          <w:tcPr>
            <w:tcW w:type="dxa" w:w="1440"/>
            <w:vAlign w:val="top"/>
            <w:shd w:fill="F6F7F2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— (ver ítem 1)</w:t>
            </w:r>
          </w:p>
        </w:tc>
        <w:tc>
          <w:tcPr>
            <w:tcW w:type="dxa" w:w="1368"/>
            <w:vAlign w:val="top"/>
            <w:shd w:fill="F6F7F2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— (ver ítem 1)</w:t>
            </w:r>
          </w:p>
        </w:tc>
        <w:tc>
          <w:tcPr>
            <w:tcW w:type="dxa" w:w="1512"/>
            <w:vAlign w:val="top"/>
            <w:shd w:fill="F6F7F2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D3: Componentes del Índice de Riesgo Empresarial (IRE)</w:t>
            </w:r>
          </w:p>
        </w:tc>
        <w:tc>
          <w:tcPr>
            <w:tcW w:type="dxa" w:w="1368"/>
            <w:vAlign w:val="top"/>
            <w:shd w:fill="F6F7F2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Representatividad del componente riesgo_demanda</w:t>
            </w:r>
          </w:p>
        </w:tc>
        <w:tc>
          <w:tcPr>
            <w:tcW w:type="dxa" w:w="1440"/>
            <w:vAlign w:val="top"/>
            <w:shd w:fill="F6F7F2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VD-D3 ind. 4 — Componente riesgo_demanda (subíndice)</w:t>
            </w:r>
          </w:p>
        </w:tc>
        <w:tc>
          <w:tcPr>
            <w:tcW w:type="dxa" w:w="403"/>
            <w:vAlign w:val="top"/>
            <w:shd w:fill="F6F7F2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16</w:t>
            </w:r>
          </w:p>
        </w:tc>
        <w:tc>
          <w:tcPr>
            <w:tcW w:type="dxa" w:w="2664"/>
            <w:vAlign w:val="top"/>
            <w:shd w:fill="F6F7F2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El subíndice riesgo_demanda ayuda a planificar oportunamente las compras de calzado.</w:t>
            </w:r>
          </w:p>
        </w:tc>
        <w:tc>
          <w:tcPr>
            <w:tcW w:type="dxa" w:w="1037"/>
            <w:vAlign w:val="top"/>
            <w:shd w:fill="F6F7F2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Ordinal Likert 1–5</w:t>
            </w:r>
          </w:p>
        </w:tc>
        <w:tc>
          <w:tcPr>
            <w:tcW w:type="dxa" w:w="835"/>
            <w:vAlign w:val="top"/>
            <w:shd w:fill="F6F7F2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Encuesta estructurada</w:t>
            </w:r>
          </w:p>
        </w:tc>
        <w:tc>
          <w:tcPr>
            <w:tcW w:type="dxa" w:w="979"/>
            <w:vAlign w:val="top"/>
            <w:shd w:fill="F6F7F2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Cuestionario 24 ítems (Anexo 04)</w:t>
            </w:r>
          </w:p>
        </w:tc>
        <w:tc>
          <w:tcPr>
            <w:tcW w:type="dxa" w:w="749"/>
            <w:vAlign w:val="top"/>
            <w:shd w:fill="F6F7F2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Preprueba (O₁) y posprueba (O₂)</w:t>
            </w:r>
          </w:p>
        </w:tc>
        <w:tc>
          <w:tcPr>
            <w:tcW w:type="dxa" w:w="1728"/>
            <w:vAlign w:val="top"/>
            <w:shd w:fill="F6F7F2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Validez de contenido; contraste ventas históricas. Sustento: Makridakis 2018; Fildes 2022.</w:t>
            </w:r>
          </w:p>
        </w:tc>
      </w:tr>
      <w:tr>
        <w:tc>
          <w:tcPr>
            <w:tcW w:type="dxa" w:w="1368"/>
            <w:vAlign w:val="top"/>
            <w:shd w:fill="F6F7F2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Predicción del riesgo empresarial mediante el Índice de Riesgo Empresarial (IRE)</w:t>
            </w:r>
          </w:p>
        </w:tc>
        <w:tc>
          <w:tcPr>
            <w:tcW w:type="dxa" w:w="1440"/>
            <w:vAlign w:val="top"/>
            <w:shd w:fill="F6F7F2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— (ver ítem 1)</w:t>
            </w:r>
          </w:p>
        </w:tc>
        <w:tc>
          <w:tcPr>
            <w:tcW w:type="dxa" w:w="1368"/>
            <w:vAlign w:val="top"/>
            <w:shd w:fill="F6F7F2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— (ver ítem 1)</w:t>
            </w:r>
          </w:p>
        </w:tc>
        <w:tc>
          <w:tcPr>
            <w:tcW w:type="dxa" w:w="1512"/>
            <w:vAlign w:val="top"/>
            <w:shd w:fill="F6F7F2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D3: Componentes del Índice de Riesgo Empresarial (IRE)</w:t>
            </w:r>
          </w:p>
        </w:tc>
        <w:tc>
          <w:tcPr>
            <w:tcW w:type="dxa" w:w="1368"/>
            <w:vAlign w:val="top"/>
            <w:shd w:fill="F6F7F2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Utilidad de alertas tempranas del IRE</w:t>
            </w:r>
          </w:p>
        </w:tc>
        <w:tc>
          <w:tcPr>
            <w:tcW w:type="dxa" w:w="1440"/>
            <w:vAlign w:val="top"/>
            <w:shd w:fill="F6F7F2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VD-D3 ind. 5 — Alerta temprana: IRE ≥ 51 (alto) o ≥ 76 (crítico)</w:t>
            </w:r>
          </w:p>
        </w:tc>
        <w:tc>
          <w:tcPr>
            <w:tcW w:type="dxa" w:w="403"/>
            <w:vAlign w:val="top"/>
            <w:shd w:fill="F6F7F2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17</w:t>
            </w:r>
          </w:p>
        </w:tc>
        <w:tc>
          <w:tcPr>
            <w:tcW w:type="dxa" w:w="2664"/>
            <w:vAlign w:val="top"/>
            <w:shd w:fill="F6F7F2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Las alertas del IRE (≥ 51 riesgo alto, ≥ 76 riesgo crítico) son útiles y oportunas para la gestión preventiva.</w:t>
            </w:r>
          </w:p>
        </w:tc>
        <w:tc>
          <w:tcPr>
            <w:tcW w:type="dxa" w:w="1037"/>
            <w:vAlign w:val="top"/>
            <w:shd w:fill="F6F7F2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Ordinal Likert 1–5</w:t>
            </w:r>
          </w:p>
        </w:tc>
        <w:tc>
          <w:tcPr>
            <w:tcW w:type="dxa" w:w="835"/>
            <w:vAlign w:val="top"/>
            <w:shd w:fill="F6F7F2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Encuesta estructurada</w:t>
            </w:r>
          </w:p>
        </w:tc>
        <w:tc>
          <w:tcPr>
            <w:tcW w:type="dxa" w:w="979"/>
            <w:vAlign w:val="top"/>
            <w:shd w:fill="F6F7F2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Cuestionario 24 ítems (Anexo 04)</w:t>
            </w:r>
          </w:p>
        </w:tc>
        <w:tc>
          <w:tcPr>
            <w:tcW w:type="dxa" w:w="749"/>
            <w:vAlign w:val="top"/>
            <w:shd w:fill="F6F7F2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Preprueba (O₁) y posprueba (O₂)</w:t>
            </w:r>
          </w:p>
        </w:tc>
        <w:tc>
          <w:tcPr>
            <w:tcW w:type="dxa" w:w="1728"/>
            <w:vAlign w:val="top"/>
            <w:shd w:fill="F6F7F2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Prueba piloto; contraste panel AdminPredictions. Sustento: Paleyes 2022; Martinez-Fernandez 2022; doc 07.</w:t>
            </w:r>
          </w:p>
        </w:tc>
      </w:tr>
      <w:tr>
        <w:tc>
          <w:tcPr>
            <w:tcW w:type="dxa" w:w="1368"/>
            <w:vAlign w:val="top"/>
            <w:shd w:fill="F6F7F2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Predicción del riesgo empresarial mediante el Índice de Riesgo Empresarial (IRE)</w:t>
            </w:r>
          </w:p>
        </w:tc>
        <w:tc>
          <w:tcPr>
            <w:tcW w:type="dxa" w:w="1440"/>
            <w:vAlign w:val="top"/>
            <w:shd w:fill="F6F7F2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— (ver ítem 1)</w:t>
            </w:r>
          </w:p>
        </w:tc>
        <w:tc>
          <w:tcPr>
            <w:tcW w:type="dxa" w:w="1368"/>
            <w:vAlign w:val="top"/>
            <w:shd w:fill="F6F7F2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— (ver ítem 1)</w:t>
            </w:r>
          </w:p>
        </w:tc>
        <w:tc>
          <w:tcPr>
            <w:tcW w:type="dxa" w:w="1512"/>
            <w:vAlign w:val="top"/>
            <w:shd w:fill="F6F7F2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D3: Componentes del Índice de Riesgo Empresarial (IRE)</w:t>
            </w:r>
          </w:p>
        </w:tc>
        <w:tc>
          <w:tcPr>
            <w:tcW w:type="dxa" w:w="1368"/>
            <w:vAlign w:val="top"/>
            <w:shd w:fill="F6F7F2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Adecuación de la frecuencia de actualización del IRE</w:t>
            </w:r>
          </w:p>
        </w:tc>
        <w:tc>
          <w:tcPr>
            <w:tcW w:type="dxa" w:w="1440"/>
            <w:vAlign w:val="top"/>
            <w:shd w:fill="F6F7F2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VD-D3 ind. 6 — Frecuencia actualización automática IRE</w:t>
            </w:r>
          </w:p>
        </w:tc>
        <w:tc>
          <w:tcPr>
            <w:tcW w:type="dxa" w:w="403"/>
            <w:vAlign w:val="top"/>
            <w:shd w:fill="F6F7F2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18</w:t>
            </w:r>
          </w:p>
        </w:tc>
        <w:tc>
          <w:tcPr>
            <w:tcW w:type="dxa" w:w="2664"/>
            <w:vAlign w:val="top"/>
            <w:shd w:fill="F6F7F2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La frecuencia de actualización del IRE es suficiente para la gestión operativa de la empresa.</w:t>
            </w:r>
          </w:p>
        </w:tc>
        <w:tc>
          <w:tcPr>
            <w:tcW w:type="dxa" w:w="1037"/>
            <w:vAlign w:val="top"/>
            <w:shd w:fill="F6F7F2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Ordinal Likert 1–5</w:t>
            </w:r>
          </w:p>
        </w:tc>
        <w:tc>
          <w:tcPr>
            <w:tcW w:type="dxa" w:w="835"/>
            <w:vAlign w:val="top"/>
            <w:shd w:fill="F6F7F2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Encuesta estructurada</w:t>
            </w:r>
          </w:p>
        </w:tc>
        <w:tc>
          <w:tcPr>
            <w:tcW w:type="dxa" w:w="979"/>
            <w:vAlign w:val="top"/>
            <w:shd w:fill="F6F7F2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Cuestionario 24 ítems (Anexo 04)</w:t>
            </w:r>
          </w:p>
        </w:tc>
        <w:tc>
          <w:tcPr>
            <w:tcW w:type="dxa" w:w="749"/>
            <w:vAlign w:val="top"/>
            <w:shd w:fill="F6F7F2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Preprueba (O₁) y posprueba (O₂)</w:t>
            </w:r>
          </w:p>
        </w:tc>
        <w:tc>
          <w:tcPr>
            <w:tcW w:type="dxa" w:w="1728"/>
            <w:vAlign w:val="top"/>
            <w:shd w:fill="F6F7F2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Validez de contenido; validación operativa. Sustento: Choi 2018; Lepenioti 2020; Paleyes 2022.</w:t>
            </w:r>
          </w:p>
        </w:tc>
      </w:tr>
      <w:tr>
        <w:tc>
          <w:tcPr>
            <w:tcW w:type="dxa" w:w="1368"/>
            <w:vAlign w:val="top"/>
            <w:shd w:fill="FDF4F4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Predicción del riesgo empresarial mediante el Índice de Riesgo Empresarial (IRE)</w:t>
            </w:r>
          </w:p>
        </w:tc>
        <w:tc>
          <w:tcPr>
            <w:tcW w:type="dxa" w:w="1440"/>
            <w:vAlign w:val="top"/>
            <w:shd w:fill="FDF4F4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— (ver ítem 1)</w:t>
            </w:r>
          </w:p>
        </w:tc>
        <w:tc>
          <w:tcPr>
            <w:tcW w:type="dxa" w:w="1368"/>
            <w:vAlign w:val="top"/>
            <w:shd w:fill="FDF4F4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— (ver ítem 1)</w:t>
            </w:r>
          </w:p>
        </w:tc>
        <w:tc>
          <w:tcPr>
            <w:tcW w:type="dxa" w:w="1512"/>
            <w:vAlign w:val="top"/>
            <w:shd w:fill="FDF4F4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D4: Impacto del sistema en la gestión operativa de la PYME</w:t>
            </w:r>
          </w:p>
        </w:tc>
        <w:tc>
          <w:tcPr>
            <w:tcW w:type="dxa" w:w="1368"/>
            <w:vAlign w:val="top"/>
            <w:shd w:fill="FDF4F4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Percepción de reducción del riesgo operativo</w:t>
            </w:r>
          </w:p>
        </w:tc>
        <w:tc>
          <w:tcPr>
            <w:tcW w:type="dxa" w:w="1440"/>
            <w:vAlign w:val="top"/>
            <w:shd w:fill="FDF4F4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VD-D4 ind. 1 — Reducción riesgo operativo percibido (Likert)</w:t>
            </w:r>
          </w:p>
        </w:tc>
        <w:tc>
          <w:tcPr>
            <w:tcW w:type="dxa" w:w="403"/>
            <w:vAlign w:val="top"/>
            <w:shd w:fill="FDF4F4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19</w:t>
            </w:r>
          </w:p>
        </w:tc>
        <w:tc>
          <w:tcPr>
            <w:tcW w:type="dxa" w:w="2664"/>
            <w:vAlign w:val="top"/>
            <w:shd w:fill="FDF4F4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Percibo que el riesgo operativo de la empresa ha disminuido gracias al [método actual / sistema implementado].</w:t>
            </w:r>
          </w:p>
        </w:tc>
        <w:tc>
          <w:tcPr>
            <w:tcW w:type="dxa" w:w="1037"/>
            <w:vAlign w:val="top"/>
            <w:shd w:fill="FDF4F4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Ordinal Likert 1–5</w:t>
            </w:r>
          </w:p>
        </w:tc>
        <w:tc>
          <w:tcPr>
            <w:tcW w:type="dxa" w:w="835"/>
            <w:vAlign w:val="top"/>
            <w:shd w:fill="FDF4F4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Encuesta estructurada</w:t>
            </w:r>
          </w:p>
        </w:tc>
        <w:tc>
          <w:tcPr>
            <w:tcW w:type="dxa" w:w="979"/>
            <w:vAlign w:val="top"/>
            <w:shd w:fill="FDF4F4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Cuestionario 24 ítems (Anexo 04)</w:t>
            </w:r>
          </w:p>
        </w:tc>
        <w:tc>
          <w:tcPr>
            <w:tcW w:type="dxa" w:w="749"/>
            <w:vAlign w:val="top"/>
            <w:shd w:fill="FDF4F4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Preprueba (O₁) y posprueba (O₂)</w:t>
            </w:r>
          </w:p>
        </w:tc>
        <w:tc>
          <w:tcPr>
            <w:tcW w:type="dxa" w:w="1728"/>
            <w:vAlign w:val="top"/>
            <w:shd w:fill="FDF4F4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Comparación pre/post (O₁ vs O₂). Sustento: Melville 2004; Choi 2018; Lepenioti 2020.</w:t>
            </w:r>
          </w:p>
        </w:tc>
      </w:tr>
      <w:tr>
        <w:tc>
          <w:tcPr>
            <w:tcW w:type="dxa" w:w="1368"/>
            <w:vAlign w:val="top"/>
            <w:shd w:fill="FDF4F4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Predicción del riesgo empresarial mediante el Índice de Riesgo Empresarial (IRE)</w:t>
            </w:r>
          </w:p>
        </w:tc>
        <w:tc>
          <w:tcPr>
            <w:tcW w:type="dxa" w:w="1440"/>
            <w:vAlign w:val="top"/>
            <w:shd w:fill="FDF4F4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— (ver ítem 1)</w:t>
            </w:r>
          </w:p>
        </w:tc>
        <w:tc>
          <w:tcPr>
            <w:tcW w:type="dxa" w:w="1368"/>
            <w:vAlign w:val="top"/>
            <w:shd w:fill="FDF4F4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— (ver ítem 1)</w:t>
            </w:r>
          </w:p>
        </w:tc>
        <w:tc>
          <w:tcPr>
            <w:tcW w:type="dxa" w:w="1512"/>
            <w:vAlign w:val="top"/>
            <w:shd w:fill="FDF4F4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D4: Impacto del sistema en la gestión operativa de la PYME</w:t>
            </w:r>
          </w:p>
        </w:tc>
        <w:tc>
          <w:tcPr>
            <w:tcW w:type="dxa" w:w="1368"/>
            <w:vAlign w:val="top"/>
            <w:shd w:fill="FDF4F4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Percepción de mejora en cumplimiento de pedidos</w:t>
            </w:r>
          </w:p>
        </w:tc>
        <w:tc>
          <w:tcPr>
            <w:tcW w:type="dxa" w:w="1440"/>
            <w:vAlign w:val="top"/>
            <w:shd w:fill="FDF4F4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VD-D4 ind. 2 — Mejora tasa cumplimiento de pedidos (%)</w:t>
            </w:r>
          </w:p>
        </w:tc>
        <w:tc>
          <w:tcPr>
            <w:tcW w:type="dxa" w:w="403"/>
            <w:vAlign w:val="top"/>
            <w:shd w:fill="FDF4F4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20</w:t>
            </w:r>
          </w:p>
        </w:tc>
        <w:tc>
          <w:tcPr>
            <w:tcW w:type="dxa" w:w="2664"/>
            <w:vAlign w:val="top"/>
            <w:shd w:fill="FDF4F4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La tasa de cumplimiento de pedidos ha mejorado con el uso del [método actual / sistema implementado].</w:t>
            </w:r>
          </w:p>
        </w:tc>
        <w:tc>
          <w:tcPr>
            <w:tcW w:type="dxa" w:w="1037"/>
            <w:vAlign w:val="top"/>
            <w:shd w:fill="FDF4F4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Ordinal Likert 1–5</w:t>
            </w:r>
          </w:p>
        </w:tc>
        <w:tc>
          <w:tcPr>
            <w:tcW w:type="dxa" w:w="835"/>
            <w:vAlign w:val="top"/>
            <w:shd w:fill="FDF4F4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Encuesta estructurada</w:t>
            </w:r>
          </w:p>
        </w:tc>
        <w:tc>
          <w:tcPr>
            <w:tcW w:type="dxa" w:w="979"/>
            <w:vAlign w:val="top"/>
            <w:shd w:fill="FDF4F4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Cuestionario 24 ítems (Anexo 04)</w:t>
            </w:r>
          </w:p>
        </w:tc>
        <w:tc>
          <w:tcPr>
            <w:tcW w:type="dxa" w:w="749"/>
            <w:vAlign w:val="top"/>
            <w:shd w:fill="FDF4F4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Preprueba (O₁) y posprueba (O₂)</w:t>
            </w:r>
          </w:p>
        </w:tc>
        <w:tc>
          <w:tcPr>
            <w:tcW w:type="dxa" w:w="1728"/>
            <w:vAlign w:val="top"/>
            <w:shd w:fill="FDF4F4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Validez de contenido; contraste logs Supabase. Sustento: Fildes 2022; Choi 2018; Reinartz 2019.</w:t>
            </w:r>
          </w:p>
        </w:tc>
      </w:tr>
      <w:tr>
        <w:tc>
          <w:tcPr>
            <w:tcW w:type="dxa" w:w="1368"/>
            <w:vAlign w:val="top"/>
            <w:shd w:fill="FDF4F4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Predicción del riesgo empresarial mediante el Índice de Riesgo Empresarial (IRE)</w:t>
            </w:r>
          </w:p>
        </w:tc>
        <w:tc>
          <w:tcPr>
            <w:tcW w:type="dxa" w:w="1440"/>
            <w:vAlign w:val="top"/>
            <w:shd w:fill="FDF4F4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— (ver ítem 1)</w:t>
            </w:r>
          </w:p>
        </w:tc>
        <w:tc>
          <w:tcPr>
            <w:tcW w:type="dxa" w:w="1368"/>
            <w:vAlign w:val="top"/>
            <w:shd w:fill="FDF4F4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— (ver ítem 1)</w:t>
            </w:r>
          </w:p>
        </w:tc>
        <w:tc>
          <w:tcPr>
            <w:tcW w:type="dxa" w:w="1512"/>
            <w:vAlign w:val="top"/>
            <w:shd w:fill="FDF4F4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D4: Impacto del sistema en la gestión operativa de la PYME</w:t>
            </w:r>
          </w:p>
        </w:tc>
        <w:tc>
          <w:tcPr>
            <w:tcW w:type="dxa" w:w="1368"/>
            <w:vAlign w:val="top"/>
            <w:shd w:fill="FDF4F4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Percepción de reducción de quiebres de stock</w:t>
            </w:r>
          </w:p>
        </w:tc>
        <w:tc>
          <w:tcPr>
            <w:tcW w:type="dxa" w:w="1440"/>
            <w:vAlign w:val="top"/>
            <w:shd w:fill="FDF4F4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VD-D4 ind. 3 — Reducción quiebres de stock (conteo O₁ vs O₂)</w:t>
            </w:r>
          </w:p>
        </w:tc>
        <w:tc>
          <w:tcPr>
            <w:tcW w:type="dxa" w:w="403"/>
            <w:vAlign w:val="top"/>
            <w:shd w:fill="FDF4F4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21</w:t>
            </w:r>
          </w:p>
        </w:tc>
        <w:tc>
          <w:tcPr>
            <w:tcW w:type="dxa" w:w="2664"/>
            <w:vAlign w:val="top"/>
            <w:shd w:fill="FDF4F4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Los quiebres de stock han disminuido con la gestión basada en predicción de riesgo.</w:t>
            </w:r>
          </w:p>
        </w:tc>
        <w:tc>
          <w:tcPr>
            <w:tcW w:type="dxa" w:w="1037"/>
            <w:vAlign w:val="top"/>
            <w:shd w:fill="FDF4F4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Ordinal Likert 1–5</w:t>
            </w:r>
          </w:p>
        </w:tc>
        <w:tc>
          <w:tcPr>
            <w:tcW w:type="dxa" w:w="835"/>
            <w:vAlign w:val="top"/>
            <w:shd w:fill="FDF4F4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Encuesta estructurada</w:t>
            </w:r>
          </w:p>
        </w:tc>
        <w:tc>
          <w:tcPr>
            <w:tcW w:type="dxa" w:w="979"/>
            <w:vAlign w:val="top"/>
            <w:shd w:fill="FDF4F4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Cuestionario 24 ítems (Anexo 04)</w:t>
            </w:r>
          </w:p>
        </w:tc>
        <w:tc>
          <w:tcPr>
            <w:tcW w:type="dxa" w:w="749"/>
            <w:vAlign w:val="top"/>
            <w:shd w:fill="FDF4F4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Preprueba (O₁) y posprueba (O₂)</w:t>
            </w:r>
          </w:p>
        </w:tc>
        <w:tc>
          <w:tcPr>
            <w:tcW w:type="dxa" w:w="1728"/>
            <w:vAlign w:val="top"/>
            <w:shd w:fill="FDF4F4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Contraste registros pre/post; CU-T09 ES3. Sustento: Choi 2018; Reinartz 2019; Melville 2004.</w:t>
            </w:r>
          </w:p>
        </w:tc>
      </w:tr>
      <w:tr>
        <w:tc>
          <w:tcPr>
            <w:tcW w:type="dxa" w:w="1368"/>
            <w:vAlign w:val="top"/>
            <w:shd w:fill="FDF4F4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Predicción del riesgo empresarial mediante el Índice de Riesgo Empresarial (IRE)</w:t>
            </w:r>
          </w:p>
        </w:tc>
        <w:tc>
          <w:tcPr>
            <w:tcW w:type="dxa" w:w="1440"/>
            <w:vAlign w:val="top"/>
            <w:shd w:fill="FDF4F4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— (ver ítem 1)</w:t>
            </w:r>
          </w:p>
        </w:tc>
        <w:tc>
          <w:tcPr>
            <w:tcW w:type="dxa" w:w="1368"/>
            <w:vAlign w:val="top"/>
            <w:shd w:fill="FDF4F4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— (ver ítem 1)</w:t>
            </w:r>
          </w:p>
        </w:tc>
        <w:tc>
          <w:tcPr>
            <w:tcW w:type="dxa" w:w="1512"/>
            <w:vAlign w:val="top"/>
            <w:shd w:fill="FDF4F4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D4: Impacto del sistema en la gestión operativa de la PYME</w:t>
            </w:r>
          </w:p>
        </w:tc>
        <w:tc>
          <w:tcPr>
            <w:tcW w:type="dxa" w:w="1368"/>
            <w:vAlign w:val="top"/>
            <w:shd w:fill="FDF4F4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Percepción de ahorro en gestión de inventario</w:t>
            </w:r>
          </w:p>
        </w:tc>
        <w:tc>
          <w:tcPr>
            <w:tcW w:type="dxa" w:w="1440"/>
            <w:vAlign w:val="top"/>
            <w:shd w:fill="FDF4F4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VD-D4 ind. 4 — Ahorro estimado gestión inventario (S/.)</w:t>
            </w:r>
          </w:p>
        </w:tc>
        <w:tc>
          <w:tcPr>
            <w:tcW w:type="dxa" w:w="403"/>
            <w:vAlign w:val="top"/>
            <w:shd w:fill="FDF4F4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22</w:t>
            </w:r>
          </w:p>
        </w:tc>
        <w:tc>
          <w:tcPr>
            <w:tcW w:type="dxa" w:w="2664"/>
            <w:vAlign w:val="top"/>
            <w:shd w:fill="FDF4F4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La gestión de inventario genera ahorro gracias a la información del [método actual / sistema implementado].</w:t>
            </w:r>
          </w:p>
        </w:tc>
        <w:tc>
          <w:tcPr>
            <w:tcW w:type="dxa" w:w="1037"/>
            <w:vAlign w:val="top"/>
            <w:shd w:fill="FDF4F4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Ordinal Likert 1–5</w:t>
            </w:r>
          </w:p>
        </w:tc>
        <w:tc>
          <w:tcPr>
            <w:tcW w:type="dxa" w:w="835"/>
            <w:vAlign w:val="top"/>
            <w:shd w:fill="FDF4F4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Encuesta estructurada</w:t>
            </w:r>
          </w:p>
        </w:tc>
        <w:tc>
          <w:tcPr>
            <w:tcW w:type="dxa" w:w="979"/>
            <w:vAlign w:val="top"/>
            <w:shd w:fill="FDF4F4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Cuestionario 24 ítems (Anexo 04)</w:t>
            </w:r>
          </w:p>
        </w:tc>
        <w:tc>
          <w:tcPr>
            <w:tcW w:type="dxa" w:w="749"/>
            <w:vAlign w:val="top"/>
            <w:shd w:fill="FDF4F4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Preprueba (O₁) y posprueba (O₂)</w:t>
            </w:r>
          </w:p>
        </w:tc>
        <w:tc>
          <w:tcPr>
            <w:tcW w:type="dxa" w:w="1728"/>
            <w:vAlign w:val="top"/>
            <w:shd w:fill="FDF4F4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Contraste registros inventario; alfa ≥ 0,70. Sustento: Choi 2018; Melville 2004.</w:t>
            </w:r>
          </w:p>
        </w:tc>
      </w:tr>
      <w:tr>
        <w:tc>
          <w:tcPr>
            <w:tcW w:type="dxa" w:w="1368"/>
            <w:vAlign w:val="top"/>
            <w:shd w:fill="FDF4F4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Predicción del riesgo empresarial mediante el Índice de Riesgo Empresarial (IRE)</w:t>
            </w:r>
          </w:p>
        </w:tc>
        <w:tc>
          <w:tcPr>
            <w:tcW w:type="dxa" w:w="1440"/>
            <w:vAlign w:val="top"/>
            <w:shd w:fill="FDF4F4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— (ver ítem 1)</w:t>
            </w:r>
          </w:p>
        </w:tc>
        <w:tc>
          <w:tcPr>
            <w:tcW w:type="dxa" w:w="1368"/>
            <w:vAlign w:val="top"/>
            <w:shd w:fill="FDF4F4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— (ver ítem 1)</w:t>
            </w:r>
          </w:p>
        </w:tc>
        <w:tc>
          <w:tcPr>
            <w:tcW w:type="dxa" w:w="1512"/>
            <w:vAlign w:val="top"/>
            <w:shd w:fill="FDF4F4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D4: Impacto del sistema en la gestión operativa de la PYME</w:t>
            </w:r>
          </w:p>
        </w:tc>
        <w:tc>
          <w:tcPr>
            <w:tcW w:type="dxa" w:w="1368"/>
            <w:vAlign w:val="top"/>
            <w:shd w:fill="FDF4F4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Frecuencia de uso del dashboard IRE</w:t>
            </w:r>
          </w:p>
        </w:tc>
        <w:tc>
          <w:tcPr>
            <w:tcW w:type="dxa" w:w="1440"/>
            <w:vAlign w:val="top"/>
            <w:shd w:fill="FDF4F4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VD-D4 ind. 5 — Tasa adopción dashboard IRE (% sesiones admin)</w:t>
            </w:r>
          </w:p>
        </w:tc>
        <w:tc>
          <w:tcPr>
            <w:tcW w:type="dxa" w:w="403"/>
            <w:vAlign w:val="top"/>
            <w:shd w:fill="FDF4F4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23</w:t>
            </w:r>
          </w:p>
        </w:tc>
        <w:tc>
          <w:tcPr>
            <w:tcW w:type="dxa" w:w="2664"/>
            <w:vAlign w:val="top"/>
            <w:shd w:fill="FDF4F4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El personal utiliza con frecuencia el dashboard del IRE para apoyar decisiones operativas.</w:t>
            </w:r>
          </w:p>
        </w:tc>
        <w:tc>
          <w:tcPr>
            <w:tcW w:type="dxa" w:w="1037"/>
            <w:vAlign w:val="top"/>
            <w:shd w:fill="FDF4F4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Ordinal Likert 1–5</w:t>
            </w:r>
          </w:p>
        </w:tc>
        <w:tc>
          <w:tcPr>
            <w:tcW w:type="dxa" w:w="835"/>
            <w:vAlign w:val="top"/>
            <w:shd w:fill="FDF4F4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Encuesta estructurada</w:t>
            </w:r>
          </w:p>
        </w:tc>
        <w:tc>
          <w:tcPr>
            <w:tcW w:type="dxa" w:w="979"/>
            <w:vAlign w:val="top"/>
            <w:shd w:fill="FDF4F4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Cuestionario 24 ítems (Anexo 04)</w:t>
            </w:r>
          </w:p>
        </w:tc>
        <w:tc>
          <w:tcPr>
            <w:tcW w:type="dxa" w:w="749"/>
            <w:vAlign w:val="top"/>
            <w:shd w:fill="FDF4F4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Preprueba (O₁) y posprueba (O₂)</w:t>
            </w:r>
          </w:p>
        </w:tc>
        <w:tc>
          <w:tcPr>
            <w:tcW w:type="dxa" w:w="1728"/>
            <w:vAlign w:val="top"/>
            <w:shd w:fill="FDF4F4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Validez de contenido; logs sesiones admin. Sustento: Paleyes 2022; Verhoef 2021; Soto-Acosta 2020.</w:t>
            </w:r>
          </w:p>
        </w:tc>
      </w:tr>
      <w:tr>
        <w:tc>
          <w:tcPr>
            <w:tcW w:type="dxa" w:w="1368"/>
            <w:vAlign w:val="top"/>
            <w:shd w:fill="FDF4F4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Predicción del riesgo empresarial mediante el Índice de Riesgo Empresarial (IRE)</w:t>
            </w:r>
          </w:p>
        </w:tc>
        <w:tc>
          <w:tcPr>
            <w:tcW w:type="dxa" w:w="1440"/>
            <w:vAlign w:val="top"/>
            <w:shd w:fill="FDF4F4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— (ver ítem 1)</w:t>
            </w:r>
          </w:p>
        </w:tc>
        <w:tc>
          <w:tcPr>
            <w:tcW w:type="dxa" w:w="1368"/>
            <w:vAlign w:val="top"/>
            <w:shd w:fill="FDF4F4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— (ver ítem 1)</w:t>
            </w:r>
          </w:p>
        </w:tc>
        <w:tc>
          <w:tcPr>
            <w:tcW w:type="dxa" w:w="1512"/>
            <w:vAlign w:val="top"/>
            <w:shd w:fill="FDF4F4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D4: Impacto del sistema en la gestión operativa de la PYME</w:t>
            </w:r>
          </w:p>
        </w:tc>
        <w:tc>
          <w:tcPr>
            <w:tcW w:type="dxa" w:w="1368"/>
            <w:vAlign w:val="top"/>
            <w:shd w:fill="FDF4F4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Mejora global de la gestión del riesgo empresarial</w:t>
            </w:r>
          </w:p>
        </w:tc>
        <w:tc>
          <w:tcPr>
            <w:tcW w:type="dxa" w:w="1440"/>
            <w:vAlign w:val="top"/>
            <w:shd w:fill="FDF4F4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VD-D4 ind. 6 — Percepción mejora gestión riesgo (ítem 24)</w:t>
            </w:r>
          </w:p>
        </w:tc>
        <w:tc>
          <w:tcPr>
            <w:tcW w:type="dxa" w:w="403"/>
            <w:vAlign w:val="top"/>
            <w:shd w:fill="FDF4F4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24</w:t>
            </w:r>
          </w:p>
        </w:tc>
        <w:tc>
          <w:tcPr>
            <w:tcW w:type="dxa" w:w="2664"/>
            <w:vAlign w:val="top"/>
            <w:shd w:fill="FDF4F4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En general, el [método actual / sistema implementado] mejora la gestión del riesgo empresarial en Calzatura Vilchez.</w:t>
            </w:r>
          </w:p>
        </w:tc>
        <w:tc>
          <w:tcPr>
            <w:tcW w:type="dxa" w:w="1037"/>
            <w:vAlign w:val="top"/>
            <w:shd w:fill="FDF4F4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Ordinal Likert 1–5</w:t>
            </w:r>
          </w:p>
        </w:tc>
        <w:tc>
          <w:tcPr>
            <w:tcW w:type="dxa" w:w="835"/>
            <w:vAlign w:val="top"/>
            <w:shd w:fill="FDF4F4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Encuesta estructurada</w:t>
            </w:r>
          </w:p>
        </w:tc>
        <w:tc>
          <w:tcPr>
            <w:tcW w:type="dxa" w:w="979"/>
            <w:vAlign w:val="top"/>
            <w:shd w:fill="FDF4F4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Cuestionario 24 ítems (Anexo 04)</w:t>
            </w:r>
          </w:p>
        </w:tc>
        <w:tc>
          <w:tcPr>
            <w:tcW w:type="dxa" w:w="749"/>
            <w:vAlign w:val="top"/>
            <w:shd w:fill="FDF4F4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Preprueba (O₁) y posprueba (O₂)</w:t>
            </w:r>
          </w:p>
        </w:tc>
        <w:tc>
          <w:tcPr>
            <w:tcW w:type="dxa" w:w="1728"/>
            <w:vAlign w:val="top"/>
            <w:shd w:fill="FDF4F4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0"/>
              </w:rPr>
              <w:t>Consistencia interna total; alfa de Cronbach ≥ 0,70. Sustento: Melville 2004; Verhoef 2021; Lepenioti 2020.</w:t>
            </w:r>
          </w:p>
        </w:tc>
      </w:tr>
    </w:tbl>
    <w:p/>
    <w:p>
      <w:pPr>
        <w:jc w:val="center"/>
      </w:pPr>
      <w:r>
        <w:rPr>
          <w:rFonts w:ascii="Arial" w:hAnsi="Arial"/>
          <w:b/>
          <w:sz w:val="18"/>
        </w:rPr>
        <w:t>VALIDACION — COHERENCIA CU-T09 / CU-T10 / INSTRUMENTO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11"/>
        <w:gridCol w:w="5011"/>
        <w:gridCol w:w="5011"/>
      </w:tblGrid>
      <w:tr>
        <w:tc>
          <w:tcPr>
            <w:tcW w:type="dxa" w:w="4032"/>
            <w:vAlign w:val="top"/>
            <w:shd w:fill="D9EAF7"/>
          </w:tcPr>
          <w:p>
            <w:pPr>
              <w:jc w:val="both"/>
            </w:pPr>
            <w:r/>
            <w:r>
              <w:rPr>
                <w:rFonts w:ascii="Arial" w:hAnsi="Arial" w:eastAsia="Arial"/>
                <w:b/>
                <w:sz w:val="14"/>
              </w:rPr>
              <w:t>Criterio</w:t>
            </w:r>
          </w:p>
        </w:tc>
        <w:tc>
          <w:tcPr>
            <w:tcW w:type="dxa" w:w="6048"/>
            <w:vAlign w:val="top"/>
            <w:shd w:fill="D9EAF7"/>
          </w:tcPr>
          <w:p>
            <w:pPr>
              <w:jc w:val="both"/>
            </w:pPr>
            <w:r/>
            <w:r>
              <w:rPr>
                <w:rFonts w:ascii="Arial" w:hAnsi="Arial" w:eastAsia="Arial"/>
                <w:b/>
                <w:sz w:val="14"/>
              </w:rPr>
              <w:t>Evidencia / fuente</w:t>
            </w:r>
          </w:p>
        </w:tc>
        <w:tc>
          <w:tcPr>
            <w:tcW w:type="dxa" w:w="1728"/>
            <w:vAlign w:val="top"/>
            <w:shd w:fill="D9EAF7"/>
          </w:tcPr>
          <w:p>
            <w:pPr>
              <w:jc w:val="both"/>
            </w:pPr>
            <w:r/>
            <w:r>
              <w:rPr>
                <w:rFonts w:ascii="Arial" w:hAnsi="Arial" w:eastAsia="Arial"/>
                <w:b/>
                <w:sz w:val="14"/>
              </w:rPr>
              <w:t>Estado</w:t>
            </w:r>
          </w:p>
        </w:tc>
      </w:tr>
      <w:tr>
        <w:tc>
          <w:tcPr>
            <w:tcW w:type="dxa" w:w="4032"/>
            <w:vAlign w:val="top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24 items = 4 dimensiones x 6</w:t>
            </w:r>
          </w:p>
        </w:tc>
        <w:tc>
          <w:tcPr>
            <w:tcW w:type="dxa" w:w="6048"/>
            <w:vAlign w:val="top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SciELO / Tesify: 3-5 items por indicador</w:t>
            </w:r>
          </w:p>
        </w:tc>
        <w:tc>
          <w:tcPr>
            <w:tcW w:type="dxa" w:w="1728"/>
            <w:vAlign w:val="top"/>
            <w:shd w:fill="E2F0D9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Cumple</w:t>
            </w:r>
          </w:p>
        </w:tc>
      </w:tr>
      <w:tr>
        <w:tc>
          <w:tcPr>
            <w:tcW w:type="dxa" w:w="4032"/>
            <w:vAlign w:val="top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1 item por indicador CU-T10 VD</w:t>
            </w:r>
          </w:p>
        </w:tc>
        <w:tc>
          <w:tcPr>
            <w:tcW w:type="dxa" w:w="6048"/>
            <w:vAlign w:val="top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CU-T10 VD-D1...D4 (6 c/u)</w:t>
            </w:r>
          </w:p>
        </w:tc>
        <w:tc>
          <w:tcPr>
            <w:tcW w:type="dxa" w:w="1728"/>
            <w:vAlign w:val="top"/>
            <w:shd w:fill="E2F0D9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Cumple</w:t>
            </w:r>
          </w:p>
        </w:tc>
      </w:tr>
      <w:tr>
        <w:tc>
          <w:tcPr>
            <w:tcW w:type="dxa" w:w="4032"/>
            <w:vAlign w:val="top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Likert ordinal 1-5</w:t>
            </w:r>
          </w:p>
        </w:tc>
        <w:tc>
          <w:tcPr>
            <w:tcW w:type="dxa" w:w="6048"/>
            <w:vAlign w:val="top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Tamayo; UNE Modulo 4</w:t>
            </w:r>
          </w:p>
        </w:tc>
        <w:tc>
          <w:tcPr>
            <w:tcW w:type="dxa" w:w="1728"/>
            <w:vAlign w:val="top"/>
            <w:shd w:fill="E2F0D9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Cumple</w:t>
            </w:r>
          </w:p>
        </w:tc>
      </w:tr>
      <w:tr>
        <w:tc>
          <w:tcPr>
            <w:tcW w:type="dxa" w:w="4032"/>
            <w:vAlign w:val="top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Preprueba y posprueba</w:t>
            </w:r>
          </w:p>
        </w:tc>
        <w:tc>
          <w:tcPr>
            <w:tcW w:type="dxa" w:w="6048"/>
            <w:vAlign w:val="top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Diseno cuasi-experimental O1-O2</w:t>
            </w:r>
          </w:p>
        </w:tc>
        <w:tc>
          <w:tcPr>
            <w:tcW w:type="dxa" w:w="1728"/>
            <w:vAlign w:val="top"/>
            <w:shd w:fill="E2F0D9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Cumple</w:t>
            </w:r>
          </w:p>
        </w:tc>
      </w:tr>
      <w:tr>
        <w:tc>
          <w:tcPr>
            <w:tcW w:type="dxa" w:w="4032"/>
            <w:vAlign w:val="top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Validez V de Aiken &gt;= 0.70</w:t>
            </w:r>
          </w:p>
        </w:tc>
        <w:tc>
          <w:tcPr>
            <w:tcW w:type="dxa" w:w="6048"/>
            <w:vAlign w:val="top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Tesify LATAM 2026; min. 3 expertos</w:t>
            </w:r>
          </w:p>
        </w:tc>
        <w:tc>
          <w:tcPr>
            <w:tcW w:type="dxa" w:w="1728"/>
            <w:vAlign w:val="top"/>
            <w:shd w:fill="E2F0D9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Cumple</w:t>
            </w:r>
          </w:p>
        </w:tc>
      </w:tr>
      <w:tr>
        <w:tc>
          <w:tcPr>
            <w:tcW w:type="dxa" w:w="4032"/>
            <w:vAlign w:val="top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Confiabilidad alfa Cronbach &gt;= 0.70</w:t>
            </w:r>
          </w:p>
        </w:tc>
        <w:tc>
          <w:tcPr>
            <w:tcW w:type="dxa" w:w="6048"/>
            <w:vAlign w:val="top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Hernandez &amp; Pascual; por dimension</w:t>
            </w:r>
          </w:p>
        </w:tc>
        <w:tc>
          <w:tcPr>
            <w:tcW w:type="dxa" w:w="1728"/>
            <w:vAlign w:val="top"/>
            <w:shd w:fill="E2F0D9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Cumple</w:t>
            </w:r>
          </w:p>
        </w:tc>
      </w:tr>
      <w:tr>
        <w:tc>
          <w:tcPr>
            <w:tcW w:type="dxa" w:w="4032"/>
            <w:vAlign w:val="top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IRE 0–100 en ítem 13</w:t>
            </w:r>
          </w:p>
        </w:tc>
        <w:tc>
          <w:tcPr>
            <w:tcW w:type="dxa" w:w="6048"/>
            <w:vAlign w:val="top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Valor compuesto IRE</w:t>
            </w:r>
          </w:p>
        </w:tc>
        <w:tc>
          <w:tcPr>
            <w:tcW w:type="dxa" w:w="1728"/>
            <w:vAlign w:val="top"/>
            <w:shd w:fill="E2F0D9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Cumple</w:t>
            </w:r>
          </w:p>
        </w:tc>
      </w:tr>
      <w:tr>
        <w:tc>
          <w:tcPr>
            <w:tcW w:type="dxa" w:w="4032"/>
            <w:vAlign w:val="top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Alertas ≥ 51 / ≥ 76 en ítem 17</w:t>
            </w:r>
          </w:p>
        </w:tc>
        <w:tc>
          <w:tcPr>
            <w:tcW w:type="dxa" w:w="6048"/>
            <w:vAlign w:val="top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Redacción explícita en reactivo</w:t>
            </w:r>
          </w:p>
        </w:tc>
        <w:tc>
          <w:tcPr>
            <w:tcW w:type="dxa" w:w="1728"/>
            <w:vAlign w:val="top"/>
            <w:shd w:fill="E2F0D9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Cumple</w:t>
            </w:r>
          </w:p>
        </w:tc>
      </w:tr>
      <w:tr>
        <w:tc>
          <w:tcPr>
            <w:tcW w:type="dxa" w:w="4032"/>
            <w:vAlign w:val="top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SUS separado (usuarios finales)</w:t>
            </w:r>
          </w:p>
        </w:tc>
        <w:tc>
          <w:tcPr>
            <w:tcW w:type="dxa" w:w="6048"/>
            <w:vAlign w:val="top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No confundir con este cuestionario</w:t>
            </w:r>
          </w:p>
        </w:tc>
        <w:tc>
          <w:tcPr>
            <w:tcW w:type="dxa" w:w="1728"/>
            <w:vAlign w:val="top"/>
            <w:shd w:fill="E2F0D9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Cumple</w:t>
            </w:r>
          </w:p>
        </w:tc>
      </w:tr>
      <w:tr>
        <w:tc>
          <w:tcPr>
            <w:tcW w:type="dxa" w:w="4032"/>
            <w:vAlign w:val="top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Coherencia CU-T09 ES3</w:t>
            </w:r>
          </w:p>
        </w:tc>
        <w:tc>
          <w:tcPr>
            <w:tcW w:type="dxa" w:w="6048"/>
            <w:vAlign w:val="top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validar_coherencia_matrices_tesis.py</w:t>
            </w:r>
          </w:p>
        </w:tc>
        <w:tc>
          <w:tcPr>
            <w:tcW w:type="dxa" w:w="1728"/>
            <w:vAlign w:val="top"/>
            <w:shd w:fill="E2F0D9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Cumple</w:t>
            </w:r>
          </w:p>
        </w:tc>
      </w:tr>
    </w:tbl>
    <w:p/>
    <w:p>
      <w:pPr>
        <w:jc w:val="both"/>
      </w:pPr>
      <w:r>
        <w:rPr>
          <w:rFonts w:ascii="Arial" w:hAnsi="Arial"/>
          <w:i/>
          <w:sz w:val="13"/>
        </w:rPr>
        <w:t>Referencias metodologicas: UNE (2026). Seminario elaboracion de tesis cuantitativa. Modulo 4: Tipos de matrices. | Villarroel Mansilla, G. R. (2024). Matriz de operacionalizacion. Repositorio ULima. | SciELO Cuba. De lo abstracto a lo concreto en la construccion de una matriz de operacionalizacion. | Tesify (2026). Operacionalizacion de variables e instrumento de recoleccion LATAM.</w:t>
      </w:r>
    </w:p>
    <w:p>
      <w:pPr>
        <w:jc w:val="both"/>
      </w:pPr>
      <w:r>
        <w:rPr>
          <w:rFonts w:ascii="Arial" w:hAnsi="Arial"/>
          <w:i/>
          <w:sz w:val="14"/>
        </w:rPr>
        <w:t>Nota: [metodo actual / sistema implementado] se interpreta segun momento (preprueba = gestion previa; posprueba = sistema web con IA). SUS (usuarios finales) es instrumento aparte para usabilidad ISO. Entrevista semiestructurada a empleadores complementa pero no sustituye este cuestionario.</w:t>
      </w:r>
    </w:p>
    <w:sectPr w:rsidR="00FC693F" w:rsidRPr="0006063C" w:rsidSect="00034616">
      <w:pgSz w:w="15840" w:h="12240" w:orient="landscape"/>
      <w:pgMar w:top="403" w:right="403" w:bottom="403" w:left="4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