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MATRIZ DE OPERACIONALIZACIÓN DE VARIABLES</w:t>
      </w:r>
    </w:p>
    <w:p>
      <w:pPr>
        <w:jc w:val="center"/>
      </w:pPr>
      <w:r>
        <w:rPr>
          <w:rFonts w:ascii="Arial" w:hAnsi="Arial" w:eastAsia="Arial"/>
          <w:b w:val="0"/>
          <w:sz w:val="16"/>
        </w:rPr>
        <w:t>Sistema web de comercio electrónico con modelo de Inteligencia Artificial para la predicción del riesgo empresarial en la empresa Calzatura Vilchez, Huancayo, 2026</w:t>
      </w:r>
    </w:p>
    <w:p>
      <w:pPr>
        <w:jc w:val="both"/>
      </w:pPr>
      <w:r>
        <w:rPr>
          <w:rFonts w:ascii="Arial" w:hAnsi="Arial" w:eastAsia="Arial"/>
          <w:b w:val="0"/>
          <w:sz w:val="14"/>
        </w:rPr>
        <w:t>La matriz se deriva de la Tabla General del Estado del Arte y mantiene el alineamiento con los 42 artículos científicos Q1 revisados. La variable independiente y la variable dependiente se organizan en cuatro dimensiones cada una, con seis indicadores medibles por dimensión.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  <w:gridCol w:w="1658"/>
        <w:gridCol w:w="1658"/>
        <w:gridCol w:w="1658"/>
      </w:tblGrid>
      <w:tr>
        <w:tc>
          <w:tcPr>
            <w:tcW w:type="dxa" w:w="180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Variable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Definición conceptual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Definición operacional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Dimensión</w:t>
            </w:r>
          </w:p>
        </w:tc>
        <w:tc>
          <w:tcPr>
            <w:tcW w:type="dxa" w:w="309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Indicadores</w:t>
            </w:r>
          </w:p>
        </w:tc>
        <w:tc>
          <w:tcPr>
            <w:tcW w:type="dxa" w:w="187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Escala / unidad</w:t>
            </w:r>
          </w:p>
        </w:tc>
        <w:tc>
          <w:tcPr>
            <w:tcW w:type="dxa" w:w="1944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Técnica</w:t>
            </w:r>
          </w:p>
        </w:tc>
        <w:tc>
          <w:tcPr>
            <w:tcW w:type="dxa" w:w="208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Instrumento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Sustento científico</w:t>
            </w:r>
          </w:p>
        </w:tc>
      </w:tr>
      <w:tr>
        <w:tc>
          <w:tcPr>
            <w:tcW w:type="dxa" w:w="180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Intervención tecnológica compuesta por un sistema web de comercio electrónico y un modelo de Inteligencia Artificial que digitaliza ventas, inventario y predicción de demanda.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Se mide mediante indicadores técnicos y operativos del sistema: digitalización, desempeño del modelo, arquitectura, despliegue y cumplimiento metodológico.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D1: E-commerce y transformación digital del negocio</w:t>
            </w:r>
          </w:p>
        </w:tc>
        <w:tc>
          <w:tcPr>
            <w:tcW w:type="dxa" w:w="309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Nivel de madurez digital de la empresa.</w:t>
              <w:br/>
              <w:t>2. Tasa de digitalización de procesos de venta y gestión.</w:t>
              <w:br/>
              <w:t>3. Número de canales de venta digitales activos.</w:t>
              <w:br/>
              <w:t>4. Tasa de conversión digital.</w:t>
              <w:br/>
              <w:t>5. Satisfacción del cliente en el canal web.</w:t>
              <w:br/>
              <w:t>6. Tiempo de ciclo de procesamiento de pedidos.</w:t>
            </w:r>
          </w:p>
        </w:tc>
        <w:tc>
          <w:tcPr>
            <w:tcW w:type="dxa" w:w="187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Ordinal 1-5; razón (%); conteo; razón (%); ordinal/Likert; razón (horas).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Análisis documental, observación sistemática y encuesta.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Ficha de análisis documental, guía de observación y cuestionario Likert.</w:t>
            </w:r>
          </w:p>
        </w:tc>
        <w:tc>
          <w:tcPr>
            <w:tcW w:type="dxa" w:w="259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1: Verhoef 2021; Soto-Acosta 2020; Nambisan 2017; Li 2020; Chatterjee 2020; Kannan 2017; Reinartz 2019; Hagberg 2016.</w:t>
            </w:r>
          </w:p>
        </w:tc>
      </w:tr>
      <w:tr>
        <w:tc>
          <w:tcPr>
            <w:tcW w:type="dxa" w:w="180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Intervención tecnológica compuesta por un sistema web de comercio electrónico y un modelo de Inteligencia Artificial que digitaliza ventas, inventario y predicción de demanda.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Se mide mediante indicadores técnicos y operativos del sistema: digitalización, desempeño del modelo, arquitectura, despliegue y cumplimiento metodológico.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D2: Inteligencia Artificial y analítica de datos empresariales</w:t>
            </w:r>
          </w:p>
        </w:tc>
        <w:tc>
          <w:tcPr>
            <w:tcW w:type="dxa" w:w="309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MAE del pronóstico de demanda.</w:t>
              <w:br/>
              <w:t>2. RMSE del pronóstico de demanda.</w:t>
              <w:br/>
              <w:t>3. sMAPE del pronóstico de ventas.</w:t>
              <w:br/>
              <w:t>4. R2 del modelo predictivo.</w:t>
              <w:br/>
              <w:t>5. Número de variables predictoras relevantes.</w:t>
              <w:br/>
              <w:t>6. Tiempo de inferencia del microservicio de IA.</w:t>
            </w:r>
          </w:p>
        </w:tc>
        <w:tc>
          <w:tcPr>
            <w:tcW w:type="dxa" w:w="187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Razón (unidades); razón (unidades); razón (%); intervalo 0-1; conteo; razón (ms).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Análisis de datos históricos y evaluación de modelos de Machine Learning.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Dataset de ventas, pipeline Python/scikit-learn, reporte de métricas ML.</w:t>
            </w:r>
          </w:p>
        </w:tc>
        <w:tc>
          <w:tcPr>
            <w:tcW w:type="dxa" w:w="259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2: Yuan 2021; Davenport 2020; Shrestha 2019; Amba 2017; Makridakis 2018; Fildes 2022; Syam 2018; Haefner 2021; Paschen 2019.</w:t>
            </w:r>
          </w:p>
        </w:tc>
      </w:tr>
      <w:tr>
        <w:tc>
          <w:tcPr>
            <w:tcW w:type="dxa" w:w="180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Intervención tecnológica compuesta por un sistema web de comercio electrónico y un modelo de Inteligencia Artificial que digitaliza ventas, inventario y predicción de demanda.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Se mide mediante indicadores técnicos y operativos del sistema: digitalización, desempeño del modelo, arquitectura, despliegue y cumplimiento metodológico.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D3: Arquitectura de software y despliegue del modelo ML</w:t>
            </w:r>
          </w:p>
        </w:tc>
        <w:tc>
          <w:tcPr>
            <w:tcW w:type="dxa" w:w="309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Latencia p95 de la API de predicción.</w:t>
              <w:br/>
              <w:t>2. Disponibilidad del sistema web y microservicio.</w:t>
              <w:br/>
              <w:t>3. Tiempo de despliegue de una nueva versión.</w:t>
              <w:br/>
              <w:t>4. Número de integraciones API activas.</w:t>
              <w:br/>
              <w:t>5. Cobertura de pruebas automatizadas.</w:t>
              <w:br/>
              <w:t>6. Tiempo medio de recuperación ante incidentes.</w:t>
            </w:r>
          </w:p>
        </w:tc>
        <w:tc>
          <w:tcPr>
            <w:tcW w:type="dxa" w:w="187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Razón (ms); razón (%); razón (min); conteo; razón (%); razón (horas).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Pruebas técnicas, monitoreo del sistema y revisión de repositorio.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Reporte de pruebas, logs del sistema, checklist de despliegue y tablero de monitoreo.</w:t>
            </w:r>
          </w:p>
        </w:tc>
        <w:tc>
          <w:tcPr>
            <w:tcW w:type="dxa" w:w="259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4: Jamshidi 2018; Swakatare 2019; Khalid 2022; Fischer 2018; Paleyes 2022; Martinez-Fernandez 2022; Li 2021.</w:t>
            </w:r>
          </w:p>
        </w:tc>
      </w:tr>
      <w:tr>
        <w:tc>
          <w:tcPr>
            <w:tcW w:type="dxa" w:w="1800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Intervención tecnológica compuesta por un sistema web de comercio electrónico y un modelo de Inteligencia Artificial que digitaliza ventas, inventario y predicción de demanda.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Se mide mediante indicadores técnicos y operativos del sistema: digitalización, desempeño del modelo, arquitectura, despliegue y cumplimiento metodológico.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D4: Metodología de desarrollo ágil e híbrida del sistema</w:t>
            </w:r>
          </w:p>
        </w:tc>
        <w:tc>
          <w:tcPr>
            <w:tcW w:type="dxa" w:w="309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Velocidad del equipo de desarrollo por sprint.</w:t>
              <w:br/>
              <w:t>2. Tasa de completitud de sprints.</w:t>
              <w:br/>
              <w:t>3. Número de fases CRISP-ML(Q) cubiertas.</w:t>
              <w:br/>
              <w:t>4. Nivel de madurez del proceso MLOps.</w:t>
              <w:br/>
              <w:t>5. Tiempo de entrega de incrementos funcionales.</w:t>
              <w:br/>
              <w:t>6. ROI de la inversión tecnológica.</w:t>
            </w:r>
          </w:p>
        </w:tc>
        <w:tc>
          <w:tcPr>
            <w:tcW w:type="dxa" w:w="187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Razón (puntos/sprint); razón (%); conteo; ordinal 1-5; razón (días); razón (%).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Revisión documental del proyecto, control de avance y análisis económico.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Backlog, tablero Scrum/Kanban, checklist CRISP-ML(Q), registro de costos y beneficios.</w:t>
            </w:r>
          </w:p>
        </w:tc>
        <w:tc>
          <w:tcPr>
            <w:tcW w:type="dxa" w:w="259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5: Breiman 2001; Dingsøyr 2012; Salgonde 2021; Kuhrmann 2019; Lepenioti 2020; Choi 2018; Haakman 2021; Melville 2004.</w:t>
            </w:r>
          </w:p>
        </w:tc>
      </w:tr>
      <w:tr>
        <w:tc>
          <w:tcPr>
            <w:tcW w:type="dxa" w:w="180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Capacidad de cuantificar y anticipar el riesgo empresarial de Calzatura Vilchez mediante el Índice de Riesgo Empresarial (IRE).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Se mide con el IRE y sus componentes: riesgo_stock, riesgo_ingreso y riesgo_demanda, además de métricas de validación e impacto operativo antes y después de la implementación.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D1: Modelos de predicción del riesgo empresarial con ML</w:t>
            </w:r>
          </w:p>
        </w:tc>
        <w:tc>
          <w:tcPr>
            <w:tcW w:type="dxa" w:w="309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Tipo de modelo utilizado para riesgo empresarial.</w:t>
              <w:br/>
              <w:t>2. Número de variables financieras y operativas usadas.</w:t>
              <w:br/>
              <w:t>3. Horizonte de predicción anticipada.</w:t>
              <w:br/>
              <w:t>4. Técnica de selección de variables aplicada.</w:t>
              <w:br/>
              <w:t>5. Método de validación del modelo.</w:t>
              <w:br/>
              <w:t>6. Comparación frente a modelo de referencia.</w:t>
            </w:r>
          </w:p>
        </w:tc>
        <w:tc>
          <w:tcPr>
            <w:tcW w:type="dxa" w:w="187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Nominal; conteo; razón (días); nominal; nominal; razón (% de mejora).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Análisis documental y evaluación comparativa de modelos.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Ficha de modelado, dataset histórico, registro de experimentos y reporte comparativo.</w:t>
            </w:r>
          </w:p>
        </w:tc>
        <w:tc>
          <w:tcPr>
            <w:tcW w:type="dxa" w:w="259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3: Ozbayoglu 2020; Barboza 2017; Osaka 2021; Kim 2020; Du Jardin 2021; Jiang 2018; Cai 2021; Tian 2015; Altman 1968; Beaver 1966.</w:t>
            </w:r>
          </w:p>
        </w:tc>
      </w:tr>
      <w:tr>
        <w:tc>
          <w:tcPr>
            <w:tcW w:type="dxa" w:w="180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Capacidad de cuantificar y anticipar el riesgo empresarial de Calzatura Vilchez mediante el Índice de Riesgo Empresarial (IRE).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Se mide con el IRE y sus componentes: riesgo_stock, riesgo_ingreso y riesgo_demanda, además de métricas de validación e impacto operativo antes y después de la implementación.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D2: Exactitud y validación del modelo predictivo del IRE</w:t>
            </w:r>
          </w:p>
        </w:tc>
        <w:tc>
          <w:tcPr>
            <w:tcW w:type="dxa" w:w="309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AUC-ROC del clasificador de riesgo.</w:t>
              <w:br/>
              <w:t>2. Accuracy del nivel de riesgo bajo/medio/alto.</w:t>
              <w:br/>
              <w:t>3. Recall de detección de situaciones de riesgo.</w:t>
              <w:br/>
              <w:t>4. F1-score del modelo.</w:t>
              <w:br/>
              <w:t>5. MAE de predicción del valor del IRE.</w:t>
              <w:br/>
              <w:t>6. Variación de desempeño por data drift mensual.</w:t>
            </w:r>
          </w:p>
        </w:tc>
        <w:tc>
          <w:tcPr>
            <w:tcW w:type="dxa" w:w="187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Intervalo 0-1; razón (%); razón (%); intervalo 0-1; razón; razón (%).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Validación de modelo, análisis estadístico y monitoreo mensual.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Matriz de confusión, curva ROC, reporte scikit-learn, SHAP y reporte de data drift.</w:t>
            </w:r>
          </w:p>
        </w:tc>
        <w:tc>
          <w:tcPr>
            <w:tcW w:type="dxa" w:w="259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3 y Eje 4: Barboza 2017; Kim 2020; Du Jardin 2021; Ozbayoglu 2020; Khalid 2022; Paleyes 2022.</w:t>
            </w:r>
          </w:p>
        </w:tc>
      </w:tr>
      <w:tr>
        <w:tc>
          <w:tcPr>
            <w:tcW w:type="dxa" w:w="180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Capacidad de cuantificar y anticipar el riesgo empresarial de Calzatura Vilchez mediante el Índice de Riesgo Empresarial (IRE).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Se mide con el IRE y sus componentes: riesgo_stock, riesgo_ingreso y riesgo_demanda, además de métricas de validación e impacto operativo antes y después de la implementación.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D3: Componentes del Índice de Riesgo Empresarial</w:t>
            </w:r>
          </w:p>
        </w:tc>
        <w:tc>
          <w:tcPr>
            <w:tcW w:type="dxa" w:w="309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Valor compuesto del IRE.</w:t>
              <w:br/>
              <w:t>2. Componente riesgo_stock.</w:t>
              <w:br/>
              <w:t>3. Componente riesgo_ingreso.</w:t>
              <w:br/>
              <w:t>4. Componente riesgo_demanda.</w:t>
              <w:br/>
              <w:t>5. Umbral de alerta temprana IRE &gt;= 0.70.</w:t>
              <w:br/>
              <w:t>6. Frecuencia de actualización automática del IRE.</w:t>
            </w:r>
          </w:p>
        </w:tc>
        <w:tc>
          <w:tcPr>
            <w:tcW w:type="dxa" w:w="187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Intervalo 0-1; intervalo 0-1; intervalo 0-1; intervalo 0-1; nominal/intervalo; razón (días).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Cálculo automatizado, análisis documental y juicio de expertos.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Dashboard del IRE, ficha de cálculo, base de ventas/inventario y ficha de validación de expertos.</w:t>
            </w:r>
          </w:p>
        </w:tc>
        <w:tc>
          <w:tcPr>
            <w:tcW w:type="dxa" w:w="259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3: Altman 1968; Beaver 1966; Barboza 2017; Fildes 2022; Khalid 2022; Choi 2018.</w:t>
            </w:r>
          </w:p>
        </w:tc>
      </w:tr>
      <w:tr>
        <w:tc>
          <w:tcPr>
            <w:tcW w:type="dxa" w:w="1800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Capacidad de cuantificar y anticipar el riesgo empresarial de Calzatura Vilchez mediante el Índice de Riesgo Empresarial (IRE).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Se mide con el IRE y sus componentes: riesgo_stock, riesgo_ingreso y riesgo_demanda, además de métricas de validación e impacto operativo antes y después de la implementación.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D4: Impacto del sistema en la gestión operativa de la PYME</w:t>
            </w:r>
          </w:p>
        </w:tc>
        <w:tc>
          <w:tcPr>
            <w:tcW w:type="dxa" w:w="309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Reducción del riesgo operativo percibido.</w:t>
              <w:br/>
              <w:t>2. Mejora en la tasa de cumplimiento de pedidos.</w:t>
              <w:br/>
              <w:t>3. Reducción de quiebres de stock.</w:t>
              <w:br/>
              <w:t>4. Ahorro estimado por mejor gestión de inventario.</w:t>
              <w:br/>
              <w:t>5. Tasa de adopción del dashboard del IRE.</w:t>
              <w:br/>
              <w:t>6. ROI del sistema completo.</w:t>
            </w:r>
          </w:p>
        </w:tc>
        <w:tc>
          <w:tcPr>
            <w:tcW w:type="dxa" w:w="187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Razón (%); razón (%); conteo/razón (%); razón (S/.); razón (%); razón (%).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Comparación preprueba-posprueba, encuesta y análisis de indicadores operativos.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Cuestionario Likert, ficha documental, dashboard, reporte de KPIs y registro de costos.</w:t>
            </w:r>
          </w:p>
        </w:tc>
        <w:tc>
          <w:tcPr>
            <w:tcW w:type="dxa" w:w="259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1 y Eje 5: Melville 2004; Choi 2018; Lepenioti 2020; Soto-Acosta 2020; Verhoef 2021.</w:t>
            </w:r>
          </w:p>
        </w:tc>
      </w:tr>
    </w:tbl>
    <w:sectPr w:rsidR="00FC693F" w:rsidRPr="0006063C" w:rsidSect="00034616">
      <w:pgSz w:w="15840" w:h="12240" w:orient="landscape"/>
      <w:pgMar w:top="461" w:right="461" w:bottom="461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