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MATRIZ DE OPERACIONALIZACIÓN DE VARIABLES</w:t>
      </w:r>
    </w:p>
    <w:p>
      <w:pPr>
        <w:jc w:val="center"/>
      </w:pPr>
      <w:r>
        <w:rPr>
          <w:rFonts w:ascii="Arial" w:hAnsi="Arial"/>
          <w:sz w:val="16"/>
        </w:rPr>
        <w:t>Sistema web de comercio electrónico con modelo de Inteligencia Artificial para la predicción del riesgo empresarial en la empresa Calzatura Vilchez, Huancayo, 2026</w:t>
      </w:r>
    </w:p>
    <w:p>
      <w:pPr>
        <w:jc w:val="both"/>
      </w:pPr>
      <w:r>
        <w:rPr>
          <w:rFonts w:ascii="Arial" w:hAnsi="Arial"/>
          <w:i/>
          <w:sz w:val="14"/>
        </w:rPr>
        <w:t>Traducción de variables abstractas en dimensiones e indicadores observables (def. conceptual → operacional → dimensión → indicador → escala → técnica → instrumento). VI y VD: 4 dimensiones × 6 indicadores = 48 unidades. 24 ítems Likert miden percepción del personal sobre VD (6 por dimensión); indicadores técnicos (MAE, IRE, logs) son complemento objetivo. Coherencia CU-T09 · CU-T10 · doc 07. Validación: validar_matriz_operacionalizacion_variables.py y validar_coherencia_matrices_tesis.py.</w:t>
      </w:r>
    </w:p>
    <w:p>
      <w:r>
        <w:rPr>
          <w:rFonts w:ascii="Arial" w:hAnsi="Arial"/>
          <w:sz w:val="14"/>
        </w:rPr>
        <w:t>Tesista: _________________________   Asesor: Dr. Maglioni Arana Caparachin   Versión: 2.1 auditada   Fecha: junio 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  <w:gridCol w:w="1658"/>
        <w:gridCol w:w="1658"/>
        <w:gridCol w:w="1658"/>
      </w:tblGrid>
      <w:tr>
        <w:tc>
          <w:tcPr>
            <w:tcW w:type="dxa" w:w="1656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Variable</w:t>
            </w:r>
          </w:p>
        </w:tc>
        <w:tc>
          <w:tcPr>
            <w:tcW w:type="dxa" w:w="1944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Definición conceptual</w:t>
            </w:r>
          </w:p>
        </w:tc>
        <w:tc>
          <w:tcPr>
            <w:tcW w:type="dxa" w:w="1944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Definición operacional</w:t>
            </w:r>
          </w:p>
        </w:tc>
        <w:tc>
          <w:tcPr>
            <w:tcW w:type="dxa" w:w="1944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Dimensión</w:t>
            </w:r>
          </w:p>
        </w:tc>
        <w:tc>
          <w:tcPr>
            <w:tcW w:type="dxa" w:w="2952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Indicadores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Escala / unidad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Técnica</w:t>
            </w:r>
          </w:p>
        </w:tc>
        <w:tc>
          <w:tcPr>
            <w:tcW w:type="dxa" w:w="208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Instrumento / fuente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Sustento científico</w:t>
            </w:r>
          </w:p>
        </w:tc>
      </w:tr>
      <w:tr>
        <w:tc>
          <w:tcPr>
            <w:tcW w:type="dxa" w:w="165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VI: Sistema web de comercio electrónico con modelo de Inteligencia Artificial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Intervención tecnológica compuesta por un sistema web de comercio electrónico y un microservicio de Inteligencia Artificial que digitaliza ventas, inventario, checkout y predicción de demanda/riesgo (ISO/IEC 12207 — proceso de implementación).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Medición de madurez y digitalización del canal e-commerce: procesos web, conversión y tiempos operativos registrados en Supabase y percepción del personal (O₁/O₂).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D1: E-commerce y transformación digital del negocio</w:t>
            </w:r>
          </w:p>
        </w:tc>
        <w:tc>
          <w:tcPr>
            <w:tcW w:type="dxa" w:w="295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Nivel de madurez digital de la empresa.</w:t>
              <w:br/>
              <w:t>2. Tasa de digitalización de procesos de venta e inventario.</w:t>
              <w:br/>
              <w:t>3. Número de canales de venta digitales activos (web + panel admin).</w:t>
              <w:br/>
              <w:t>4. Tasa de conversión digital (visitas → pedidos).</w:t>
              <w:br/>
              <w:t>5. Tiempo de ciclo de procesamiento de pedidos.</w:t>
              <w:br/>
              <w:t>6. Disponibilidad del sistema web (%) — trazado CU-T09 ES1-6 / VI-D3-2.</w:t>
            </w:r>
          </w:p>
        </w:tc>
        <w:tc>
          <w:tcPr>
            <w:tcW w:type="dxa" w:w="165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Ordinal 1–5; razón (%); conteo; razón (%); razón (min); razón (%).</w:t>
            </w:r>
          </w:p>
        </w:tc>
        <w:tc>
          <w:tcPr>
            <w:tcW w:type="dxa" w:w="172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Análisis documental, observación sistemática, entrevista semiestructurada a empleadores/directivos, encuesta Likert (percepción digitalización).</w:t>
            </w:r>
          </w:p>
        </w:tc>
        <w:tc>
          <w:tcPr>
            <w:tcW w:type="dxa" w:w="208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Ficha documental; logs Supabase (pedidos); guía entrevista empleadores; Instrumento Likert (ítems 19–21 complemento percepción); CI uptime/monitoring.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1: Verhoef 2021; Soto-Acosta 2020; Nambisan 2017; Li 2020; Chatterjee 2020.</w:t>
            </w:r>
          </w:p>
        </w:tc>
      </w:tr>
      <w:tr>
        <w:tc>
          <w:tcPr>
            <w:tcW w:type="dxa" w:w="165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VI: Sistema web de comercio electrónico con modelo de Inteligencia Artificial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— (ver fila VI-D1)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Medición del desempeño del modelo RandomForestRegressor (ai-service) y fallback promedio móvil mediante validación walk-forward sobre ventasDiarias/pedidos.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D2: Inteligencia Artificial y analítica de datos empresariales</w:t>
            </w:r>
          </w:p>
        </w:tc>
        <w:tc>
          <w:tcPr>
            <w:tcW w:type="dxa" w:w="295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MAE del pronóstico de demanda (unidades).</w:t>
              <w:br/>
              <w:t>2. RMSE del pronóstico de demanda (unidades).</w:t>
              <w:br/>
              <w:t>3. sMAPE del pronóstico de ventas (%).</w:t>
              <w:br/>
              <w:t>4. R² del modelo predictivo (0–1).</w:t>
              <w:br/>
              <w:t>5. Horizonte de predicción configurado (7, 15 o 30 días).</w:t>
              <w:br/>
              <w:t>6. Tiempo de inferencia del microservicio IA (ms, p95).</w:t>
            </w:r>
          </w:p>
        </w:tc>
        <w:tc>
          <w:tcPr>
            <w:tcW w:type="dxa" w:w="165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Razón (unid.); razón (unid.); razón (%); intervalo 0–1; discreto {7,15,30}; razón (ms).</w:t>
            </w:r>
          </w:p>
        </w:tc>
        <w:tc>
          <w:tcPr>
            <w:tcW w:type="dxa" w:w="172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Análisis de datos históricos, evaluación ML, validación walk-forward.</w:t>
            </w:r>
          </w:p>
        </w:tc>
        <w:tc>
          <w:tcPr>
            <w:tcW w:type="dxa" w:w="208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Supabase ventasDiarias/pedidos; ai-service/evaluate.py; ai-service/models/demand/features_ml.py; reporte scikit-learn.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2: Yuan 2021; Davenport 2020; Makridakis 2018; Fildes 2022; Breiman 2001.</w:t>
            </w:r>
          </w:p>
        </w:tc>
      </w:tr>
      <w:tr>
        <w:tc>
          <w:tcPr>
            <w:tcW w:type="dxa" w:w="165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VI: Sistema web de comercio electrónico con modelo de Inteligencia Artificial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— (ver fila VI-D1)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Medición de calidad técnica del despliegue: latencia, disponibilidad, integraciones y cobertura de pruebas automatizadas (CI GitHub Actions, Vitest, Playwright).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D3: Arquitectura de software y despliegue del sistema</w:t>
            </w:r>
          </w:p>
        </w:tc>
        <w:tc>
          <w:tcPr>
            <w:tcW w:type="dxa" w:w="295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Latencia p95 API predicción / catálogo BFF (ms).</w:t>
              <w:br/>
              <w:t>2. Disponibilidad sistema web y microservicio IA (%).</w:t>
              <w:br/>
              <w:t>3. Tiempo de despliegue nueva versión (min).</w:t>
              <w:br/>
              <w:t>4. Número de integraciones API activas (Firebase, Supabase, Stripe, IA, ORS).</w:t>
              <w:br/>
              <w:t>5. Cobertura pruebas automatizadas Vitest (% líneas scope).</w:t>
              <w:br/>
              <w:t>6. Tiempo medio recuperación ante incidente documentado (h).</w:t>
            </w:r>
          </w:p>
        </w:tc>
        <w:tc>
          <w:tcPr>
            <w:tcW w:type="dxa" w:w="165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Razón (ms); razón (%); razón (min); conteo; razón (%); razón (h).</w:t>
            </w:r>
          </w:p>
        </w:tc>
        <w:tc>
          <w:tcPr>
            <w:tcW w:type="dxa" w:w="172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Pruebas técnicas, monitoreo CI, revisión repositorio, k6 smoke.</w:t>
            </w:r>
          </w:p>
        </w:tc>
        <w:tc>
          <w:tcPr>
            <w:tcW w:type="dxa" w:w="208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ci.yml; vitest.config.ts; playwright test; docs/ops/k6-smoke-evidence.json; 09-implementacion-despliegue-ci.md.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4: Jamshidi 2018; Khalid 2022; Paleyes 2022; Martinez-Fernandez 2022.</w:t>
            </w:r>
          </w:p>
        </w:tc>
      </w:tr>
      <w:tr>
        <w:tc>
          <w:tcPr>
            <w:tcW w:type="dxa" w:w="165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VI: Sistema web de comercio electrónico con modelo de Inteligencia Artificial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— (ver fila VI-D1)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Medición del proceso de desarrollo: sprints, trazabilidad CRISP-ML(Q), MLOps y retorno estimado de la inversión tecnológica.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D4: Metodología de desarrollo ágil e híbrida del sistema</w:t>
            </w:r>
          </w:p>
        </w:tc>
        <w:tc>
          <w:tcPr>
            <w:tcW w:type="dxa" w:w="295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Velocidad del equipo por sprint (puntos completados).</w:t>
              <w:br/>
              <w:t>2. Tasa de completitud de sprints (%).</w:t>
              <w:br/>
              <w:t>3. Fases CRISP-ML(Q) cubiertas (conteo 1–6).</w:t>
              <w:br/>
              <w:t>4. Madurez MLOps (ordinal 1–5).</w:t>
              <w:br/>
              <w:t>5. Tiempo entrega incrementos funcionales (días).</w:t>
              <w:br/>
              <w:t>6. ROI estimado inversión tecnológica (%).</w:t>
            </w:r>
          </w:p>
        </w:tc>
        <w:tc>
          <w:tcPr>
            <w:tcW w:type="dxa" w:w="165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Razón; razón (%); conteo; ordinal 1–5; razón (días); razón (%).</w:t>
            </w:r>
          </w:p>
        </w:tc>
        <w:tc>
          <w:tcPr>
            <w:tcW w:type="dxa" w:w="172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Revisión documental, control avance, análisis económico.</w:t>
            </w:r>
          </w:p>
        </w:tc>
        <w:tc>
          <w:tcPr>
            <w:tcW w:type="dxa" w:w="208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Backlog GitHub; CHANGELOG.md; documentacion/03-planificacion-proyecto-completa.md.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5: Dingsøyr 2012; Salgonde 2021; Kuhrmann 2019; Melville 2004; Choi 2018.</w:t>
            </w:r>
          </w:p>
        </w:tc>
      </w:tr>
      <w:tr>
        <w:tc>
          <w:tcPr>
            <w:tcW w:type="dxa" w:w="165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VD: Predicción del riesgo empresarial mediante el IRE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Capacidad de cuantificar y anticipar el riesgo empresarial comercial-operativo de Calzatura Vilchez mediante el Índice de Riesgo Empresarial (IRE), definido como proxy de exposición a quiebre de stock, presión de ingresos y cambios de demanda (documentacion/07-modulo-ia-riesgo-empresarial.md).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Caracterización del modelo de riesgo implementado: IRE compuesto (reglas + datos Supabase) y RandomForestRegressor para demanda; validación documental y experimental.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D1: Modelos de predicción del riesgo empresarial</w:t>
            </w:r>
          </w:p>
        </w:tc>
        <w:tc>
          <w:tcPr>
            <w:tcW w:type="dxa" w:w="295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Tipo de modelo IRE (proxy compuesto 40/35/25 + RF demanda).</w:t>
              <w:br/>
              <w:t>2. Número de variables operativas (stock, ingresos, demanda, productos).</w:t>
              <w:br/>
              <w:t>3. Horizonte de predicción (7, 15 o 30 días).</w:t>
              <w:br/>
              <w:t>4. Técnica agregación IRE (ponderación fija + reglas stock/ingresos).</w:t>
              <w:br/>
              <w:t>5. Método validación (consistencia interna + walk-forward demanda).</w:t>
              <w:br/>
              <w:t>6. Comparación vs método empírico baseline (% mejora MAE).</w:t>
            </w:r>
          </w:p>
        </w:tc>
        <w:tc>
          <w:tcPr>
            <w:tcW w:type="dxa" w:w="165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Nominal; conteo; discreto {7,15,30}; nominal; nominal; razón (%).</w:t>
            </w:r>
          </w:p>
        </w:tc>
        <w:tc>
          <w:tcPr>
            <w:tcW w:type="dxa" w:w="172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Análisis documental, evaluación comparativa, entrevista directivos.</w:t>
            </w:r>
          </w:p>
        </w:tc>
        <w:tc>
          <w:tcPr>
            <w:tcW w:type="dxa" w:w="208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07-modulo-ia-riesgo-empresarial.md; ai-service; Likert ítems 1–6; guía entrevista.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3: Ozbayoglu 2020; Barboza 2017; Altman 1968; Beaver 1966; Fildes 2022.</w:t>
            </w:r>
          </w:p>
        </w:tc>
      </w:tr>
      <w:tr>
        <w:tc>
          <w:tcPr>
            <w:tcW w:type="dxa" w:w="165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VD: Predicción del riesgo empresarial mediante el IRE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— (ver fila VD-D1)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Medición de exactitud y robustez: métricas ML de demanda, invariantes IRE, drift; AUC-ROC solo si existen eventos de crisis etiquetados (doc 07).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D2: Exactitud y validación del IRE y modelos predictivos</w:t>
            </w:r>
          </w:p>
        </w:tc>
        <w:tc>
          <w:tcPr>
            <w:tcW w:type="dxa" w:w="295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Tests consistencia interna IRE (invariantes, monotonía horizonte).</w:t>
              <w:br/>
              <w:t>2. MAE pronóstico demanda RF vs baseline (unidades).</w:t>
              <w:br/>
              <w:t>3. RMSE pronóstico demanda (unidades).</w:t>
              <w:br/>
              <w:t>4. Estabilidad suma contribuciones IRE (= score mostrado).</w:t>
              <w:br/>
              <w:t>5. Variación desempeño por data drift mensual (%).</w:t>
              <w:br/>
              <w:t>6. AUC-ROC clasificador — condicional a eventos etiquetados.</w:t>
            </w:r>
          </w:p>
        </w:tc>
        <w:tc>
          <w:tcPr>
            <w:tcW w:type="dxa" w:w="165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Nominal (pasa/falla); razón; razón; nominal; razón (%); intervalo 0–1 (si aplica).</w:t>
            </w:r>
          </w:p>
        </w:tc>
        <w:tc>
          <w:tcPr>
            <w:tcW w:type="dxa" w:w="172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Validación modelo, pytest ai-service, análisis estadístico.</w:t>
            </w:r>
          </w:p>
        </w:tc>
        <w:tc>
          <w:tcPr>
            <w:tcW w:type="dxa" w:w="208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ai-service/tests/test_risk.py; evaluate.py; Likert ítems 7–12; ireHistorial (Supabase).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Barboza 2017; Kim 2020; Khalid 2022; Paleyes 2022; Du Jardin 2021.</w:t>
            </w:r>
          </w:p>
        </w:tc>
      </w:tr>
      <w:tr>
        <w:tc>
          <w:tcPr>
            <w:tcW w:type="dxa" w:w="165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VD: Predicción del riesgo empresarial mediante el IRE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— (ver fila VD-D1)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Medición directa del IRE y subíndices en escala 0–100 con umbrales de alerta operativa definidos en panel AdminPredictions.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D3: Componentes del Índice de Riesgo Empresarial (IRE)</w:t>
            </w:r>
          </w:p>
        </w:tc>
        <w:tc>
          <w:tcPr>
            <w:tcW w:type="dxa" w:w="295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Valor compuesto IRE (0–100).</w:t>
              <w:br/>
              <w:t>2. Componente riesgo_stock (subíndice).</w:t>
              <w:br/>
              <w:t>3. Componente riesgo_ingresos (subíndice).</w:t>
              <w:br/>
              <w:t>4. Componente riesgo_demanda (subíndice).</w:t>
              <w:br/>
              <w:t>5. Alerta temprana: IRE ≥ 51 (alto) o ≥ 76 (crítico).</w:t>
              <w:br/>
              <w:t>6. Frecuencia actualización automática IRE (por consulta API / día).</w:t>
            </w:r>
          </w:p>
        </w:tc>
        <w:tc>
          <w:tcPr>
            <w:tcW w:type="dxa" w:w="165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Intervalo 0–100 (todos los componentes); nominal (umbral); razón (veces/día).</w:t>
            </w:r>
          </w:p>
        </w:tc>
        <w:tc>
          <w:tcPr>
            <w:tcW w:type="dxa" w:w="172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Cálculo automatizado, análisis documental, juicio expertos.</w:t>
            </w:r>
          </w:p>
        </w:tc>
        <w:tc>
          <w:tcPr>
            <w:tcW w:type="dxa" w:w="208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AdminPredictions dashboard; ireHistorial; Likert ítems 13–18; ficha cálculo IRE.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Altman 1968; Beaver 1966; Barboza 2017; Choi 2018; documentacion/07 §2.</w:t>
            </w:r>
          </w:p>
        </w:tc>
      </w:tr>
      <w:tr>
        <w:tc>
          <w:tcPr>
            <w:tcW w:type="dxa" w:w="165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VD: Predicción del riesgo empresarial mediante el IRE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— (ver fila VD-D1)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Medición de impacto operativo pre/post (O₁/O₂): percepción del personal, quiebres de stock, cumplimiento pedidos y adopción del dashboard.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D4: Impacto del sistema en la gestión operativa de la PYME</w:t>
            </w:r>
          </w:p>
        </w:tc>
        <w:tc>
          <w:tcPr>
            <w:tcW w:type="dxa" w:w="295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Reducción riesgo operativo percibido (Likert).</w:t>
              <w:br/>
              <w:t>2. Mejora tasa cumplimiento de pedidos (%).</w:t>
              <w:br/>
              <w:t>3. Reducción quiebres de stock (conteo O₁ vs O₂).</w:t>
              <w:br/>
              <w:t>4. Ahorro estimado gestión inventario (S/.).</w:t>
              <w:br/>
              <w:t>5. Tasa adopción dashboard IRE (% sesiones admin).</w:t>
              <w:br/>
              <w:t>6. Percepción mejora gestión riesgo — ítem 24 Likert.</w:t>
            </w:r>
          </w:p>
        </w:tc>
        <w:tc>
          <w:tcPr>
            <w:tcW w:type="dxa" w:w="165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Ordinal Likert 1–5; razón (%); conteo; razón (S/.); razón (%); ordinal 1–5.</w:t>
            </w:r>
          </w:p>
        </w:tc>
        <w:tc>
          <w:tcPr>
            <w:tcW w:type="dxa" w:w="172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Comparación pre/post, encuesta, entrevista, registros Supabase.</w:t>
            </w:r>
          </w:p>
        </w:tc>
        <w:tc>
          <w:tcPr>
            <w:tcW w:type="dxa" w:w="208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Instrumento Likert ítems 19–24; guía entrevista; logs pedidos/stock; CU-T09 matriz consistencia ES3.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Melville 2004; Choi 2018; Lepenioti 2020; Verhoef 2021; Soto-Acosta 2020.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18"/>
        </w:rPr>
        <w:t>VALIDACIÓN — COHERENCIA CON CU-T09 E INSTRUMENTO LIKERT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73"/>
        <w:gridCol w:w="4973"/>
        <w:gridCol w:w="4973"/>
      </w:tblGrid>
      <w:tr>
        <w:tc>
          <w:tcPr>
            <w:tcW w:type="dxa" w:w="3600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Criterio</w:t>
            </w:r>
          </w:p>
        </w:tc>
        <w:tc>
          <w:tcPr>
            <w:tcW w:type="dxa" w:w="6480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Evidencia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Estado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8 dimensiones × 6 indicadores = 48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Estructura académica estándar (Tesify/UNCP)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24 ítems Likert → VD-D1…D4 (6 c/u)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generar_instrumento_investigacion.py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CU-T09 ES1 ↔ VI-D1 (digitalización + disponibilidad)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validar_coherencia_matrices_tesis.py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CU-T09 ES2 ↔ VI-D2 (MAE/RMSE/horizonte 7-15-30)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idem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CU-T09 ES3 ↔ VD-D3/D4 (IRE, quiebres, Likert)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idem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IRE escala 0–100; pesos 40/35/25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documentacion/07-modulo-ia-riesgo-empresarial.md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Alertas IRE ≥51 (alto) y ≥76 (crítico)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Panel AdminPredictions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Sin Firestore; Supabase PostgreSQL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09-implementacion-despliegue-ci.md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RandomForestRegressor + fallback promedio móvil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ai-service/models/demand/features_ml.py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AUC-ROC solo condicional (eventos etiquetados)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VD-D2 indicador 6 — doc 07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SUS no confundido con Likert empleados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SUS = anexo ISO usuarios finales (aparte)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</w:tbl>
    <w:p/>
    <w:p>
      <w:pPr>
        <w:jc w:val="both"/>
      </w:pPr>
      <w:r>
        <w:rPr>
          <w:rFonts w:ascii="Arial" w:hAnsi="Arial"/>
          <w:i/>
          <w:sz w:val="14"/>
        </w:rPr>
        <w:t>Nota metodológica: la operacionalización no sustituye la matriz de consistencia (CU-T09) ni el instrumento de investigación; las tres deben leerse en conjunto. Riesgo empresarial = comercial-operativo (no quiebra contable). SUS (documentacion/plantillas/instrumento-sus-calzatura-vilchez.md) mide usabilidad de clientes finales — anexo ISO, no sustituye Likert del personal ni indicadores técnicos VI.</w:t>
      </w:r>
    </w:p>
    <w:sectPr w:rsidR="00FC693F" w:rsidRPr="0006063C" w:rsidSect="00034616">
      <w:pgSz w:w="15840" w:h="12240" w:orient="landscape"/>
      <w:pgMar w:top="461" w:right="461" w:bottom="461" w:left="4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