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80"/>
        <w:jc w:val="center"/>
      </w:pPr>
      <w:r>
        <w:rPr>
          <w:rFonts w:ascii="Times New Roman" w:hAnsi="Times New Roman"/>
          <w:b/>
          <w:color w:val="000000"/>
          <w:sz w:val="28"/>
        </w:rPr>
        <w:t>FACULTAD DE INGENIERÍA</w:t>
      </w:r>
    </w:p>
    <w:p>
      <w:pPr>
        <w:spacing w:before="0" w:after="600"/>
        <w:jc w:val="center"/>
      </w:pPr>
      <w:r>
        <w:rPr>
          <w:rFonts w:ascii="Times New Roman" w:hAnsi="Times New Roman"/>
          <w:b w:val="0"/>
          <w:color w:val="000000"/>
          <w:sz w:val="24"/>
        </w:rPr>
        <w:t>Escuela Académico Profesional de Ingeniería de Sistemas e Informática</w:t>
      </w:r>
    </w:p>
    <w:p>
      <w:pPr>
        <w:spacing w:before="0" w:after="240"/>
        <w:jc w:val="center"/>
      </w:pPr>
      <w:r>
        <w:rPr>
          <w:rFonts w:ascii="Times New Roman" w:hAnsi="Times New Roman"/>
          <w:b/>
          <w:color w:val="000000"/>
          <w:sz w:val="28"/>
        </w:rPr>
        <w:t>PROYECTO DE INVESTIGACIÓN</w:t>
      </w:r>
    </w:p>
    <w:p>
      <w:pPr>
        <w:spacing w:before="0" w:after="800"/>
        <w:jc w:val="center"/>
      </w:pPr>
      <w:r>
        <w:rPr>
          <w:rFonts w:ascii="Times New Roman" w:hAnsi="Times New Roman"/>
          <w:b/>
          <w:color w:val="000000"/>
          <w:sz w:val="26"/>
        </w:rPr>
        <w:t>"Sistema web de comercio electrónico con modelo de Inteligencia Artificial</w:t>
        <w:br/>
        <w:t>para la predicción del riesgo empresarial en la empresa Calzatura Vilchez"</w:t>
      </w:r>
    </w:p>
    <w:p>
      <w:pPr>
        <w:spacing w:before="0" w:after="80"/>
        <w:jc w:val="center"/>
      </w:pPr>
      <w:r>
        <w:rPr>
          <w:rFonts w:ascii="Times New Roman" w:hAnsi="Times New Roman"/>
          <w:b w:val="0"/>
          <w:color w:val="000000"/>
          <w:sz w:val="24"/>
        </w:rPr>
        <w:t>PRESENTADO POR:</w:t>
      </w:r>
    </w:p>
    <w:p>
      <w:pPr>
        <w:spacing w:before="0" w:after="600"/>
        <w:jc w:val="center"/>
      </w:pPr>
      <w:r>
        <w:rPr>
          <w:rFonts w:ascii="Times New Roman" w:hAnsi="Times New Roman"/>
          <w:b/>
          <w:color w:val="000000"/>
          <w:sz w:val="24"/>
        </w:rPr>
        <w:t>Bach. Piero Vilchez</w:t>
      </w:r>
    </w:p>
    <w:p>
      <w:pPr>
        <w:spacing w:before="0" w:after="80"/>
        <w:jc w:val="center"/>
      </w:pPr>
      <w:r>
        <w:rPr>
          <w:rFonts w:ascii="Times New Roman" w:hAnsi="Times New Roman"/>
          <w:b w:val="0"/>
          <w:color w:val="000000"/>
          <w:sz w:val="24"/>
        </w:rPr>
        <w:t>Para optar el Título Profesional de</w:t>
      </w:r>
    </w:p>
    <w:p>
      <w:pPr>
        <w:spacing w:before="0" w:after="800"/>
        <w:jc w:val="center"/>
      </w:pPr>
      <w:r>
        <w:rPr>
          <w:rFonts w:ascii="Times New Roman" w:hAnsi="Times New Roman"/>
          <w:b/>
          <w:color w:val="000000"/>
          <w:sz w:val="24"/>
        </w:rPr>
        <w:t>Ingeniero de Sistemas e Informática</w:t>
      </w:r>
    </w:p>
    <w:p>
      <w:pPr>
        <w:spacing w:before="0" w:after="80"/>
        <w:jc w:val="center"/>
      </w:pPr>
      <w:r>
        <w:rPr>
          <w:rFonts w:ascii="Times New Roman" w:hAnsi="Times New Roman"/>
          <w:b w:val="0"/>
          <w:color w:val="000000"/>
          <w:sz w:val="24"/>
        </w:rPr>
        <w:t>Huancayo - Perú</w:t>
      </w:r>
    </w:p>
    <w:p>
      <w:pPr>
        <w:spacing w:before="0" w:after="0"/>
        <w:jc w:val="center"/>
      </w:pPr>
      <w:r>
        <w:rPr>
          <w:rFonts w:ascii="Times New Roman" w:hAnsi="Times New Roman"/>
          <w:b w:val="0"/>
          <w:color w:val="000000"/>
          <w:sz w:val="24"/>
        </w:rPr>
        <w:t>2026</w:t>
      </w:r>
    </w:p>
    <w:p>
      <w:r>
        <w:br w:type="page"/>
      </w:r>
    </w:p>
    <w:p>
      <w:pPr>
        <w:spacing w:before="0" w:after="360"/>
        <w:jc w:val="center"/>
      </w:pPr>
      <w:r>
        <w:rPr>
          <w:rFonts w:ascii="Times New Roman" w:hAnsi="Times New Roman"/>
          <w:b/>
          <w:color w:val="000000"/>
          <w:sz w:val="28"/>
        </w:rPr>
        <w:t>INTRODUCCIÓN</w:t>
      </w:r>
    </w:p>
    <w:p>
      <w:pPr>
        <w:spacing w:before="0" w:after="160" w:line="360" w:lineRule="auto"/>
        <w:ind w:firstLine="709"/>
        <w:jc w:val="both"/>
      </w:pPr>
      <w:r>
        <w:rPr>
          <w:rFonts w:ascii="Times New Roman" w:hAnsi="Times New Roman"/>
          <w:sz w:val="24"/>
        </w:rPr>
        <w:t>El presente proyecto de investigación aborda el desarrollo e implementación de un sistema web de comercio electrónico integrado con un modelo de Inteligencia Artificial para la predicción del riesgo empresarial en la empresa Calzatura Vilchez, dedicada a la comercialización de calzado en la ciudad de Huancayo, región Junín, Perú. El problema central identificado es la incapacidad de la empresa para cuantificar y anticipar el riesgo operativo derivado de la volatilidad de la demanda, la inadecuada gestión de inventarios y la ausencia de canales de venta digitales, lo que limita su competitividad y sostenibilidad financiera en un mercado cada vez más digitalizado.</w:t>
      </w:r>
    </w:p>
    <w:p>
      <w:pPr>
        <w:spacing w:before="0" w:after="160" w:line="360" w:lineRule="auto"/>
        <w:ind w:firstLine="709"/>
        <w:jc w:val="both"/>
      </w:pPr>
      <w:r>
        <w:rPr>
          <w:rFonts w:ascii="Times New Roman" w:hAnsi="Times New Roman"/>
          <w:sz w:val="24"/>
        </w:rPr>
        <w:t>El informe se estructura en cuatro capítulos. El Capítulo I presenta el planteamiento del estudio, que incluye la descripción y formulación del problema, los objetivos general y específicos, la justificación e importancia de la investigación, la delimitación del proyecto y el planteamiento de las hipótesis y variables. El Capítulo II desarrolla el marco teórico, con los antecedentes nacionales e internacionales relevantes, las bases teóricas que sustentan la investigación y las definiciones conceptuales de los términos clave. El Capítulo III describe la metodología de investigación, detallando el método, tipo, enfoque, diseño, nivel, población, muestra, técnicas e instrumentos de recolección de datos, así como las técnicas de procesamiento y análisis. El Capítulo IV presenta los aspectos administrativos, incluyendo el cronograma de desarrollo y el presupuesto estimado de la investigación. Finalmente, se incluyen las referencias bibliográficas en formato ISO 690-2 y seis anexos con instrumentos y matrices de investigación.</w:t>
      </w:r>
    </w:p>
    <w:p>
      <w:pPr>
        <w:spacing w:before="0" w:after="160" w:line="360" w:lineRule="auto"/>
        <w:ind w:firstLine="709"/>
        <w:jc w:val="both"/>
      </w:pPr>
      <w:r>
        <w:rPr>
          <w:rFonts w:ascii="Times New Roman" w:hAnsi="Times New Roman"/>
          <w:sz w:val="24"/>
        </w:rPr>
        <w:t>La investigación se fundamenta en 42 artículos científicos publicados en revistas Q1 según el Scimago Journal Rankings (SJR) y el Journal Citation Reports (JCR), organizados en cinco ejes temáticos: e-commerce y transformación digital, inteligencia artificial y analítica de datos, predicción de riesgo empresarial con Machine Learning, arquitectura de software y despliegue de modelos ML, y metodología de desarrollo ágil e híbrido. Esta base bibliográfica garantiza el rigor académico y la actualidad del conocimiento aplicado.</w:t>
      </w:r>
    </w:p>
    <w:p>
      <w:r>
        <w:br w:type="page"/>
      </w:r>
    </w:p>
    <w:p>
      <w:pPr>
        <w:spacing w:before="0" w:after="120"/>
        <w:jc w:val="center"/>
      </w:pPr>
      <w:r>
        <w:rPr>
          <w:rFonts w:ascii="Times New Roman" w:hAnsi="Times New Roman"/>
          <w:b/>
          <w:sz w:val="28"/>
        </w:rPr>
        <w:t>CAPÍTULO I</w:t>
      </w:r>
    </w:p>
    <w:p>
      <w:pPr>
        <w:spacing w:before="0" w:after="360"/>
        <w:jc w:val="center"/>
      </w:pPr>
      <w:r>
        <w:rPr>
          <w:rFonts w:ascii="Times New Roman" w:hAnsi="Times New Roman"/>
          <w:b/>
          <w:sz w:val="28"/>
        </w:rPr>
        <w:t>PLANTEAMIENTO DEL ESTUDIO</w:t>
      </w:r>
    </w:p>
    <w:p>
      <w:pPr>
        <w:spacing w:before="240" w:after="120"/>
        <w:jc w:val="left"/>
      </w:pPr>
      <w:r>
        <w:rPr>
          <w:rFonts w:ascii="Times New Roman" w:hAnsi="Times New Roman"/>
          <w:b/>
          <w:sz w:val="24"/>
        </w:rPr>
        <w:t>1.1.    Planteamiento y Formulación del Problema</w:t>
      </w:r>
    </w:p>
    <w:p>
      <w:pPr>
        <w:spacing w:before="160" w:after="80"/>
        <w:jc w:val="left"/>
      </w:pPr>
      <w:r>
        <w:rPr>
          <w:rFonts w:ascii="Times New Roman" w:hAnsi="Times New Roman"/>
          <w:b/>
          <w:sz w:val="24"/>
        </w:rPr>
        <w:t>1.1.1. Planteamiento del problema</w:t>
      </w:r>
    </w:p>
    <w:p>
      <w:pPr>
        <w:spacing w:before="0" w:after="160" w:line="360" w:lineRule="auto"/>
        <w:ind w:firstLine="709"/>
        <w:jc w:val="both"/>
      </w:pPr>
      <w:r>
        <w:rPr>
          <w:rFonts w:ascii="Times New Roman" w:hAnsi="Times New Roman"/>
          <w:sz w:val="24"/>
        </w:rPr>
        <w:t>En la actualidad, las pequeñas y medianas empresas (PYMEs) del sector calzado en el Perú enfrentan un entorno competitivo altamente dinámico caracterizado por la volatilidad de la demanda estacional, la presión de precios del comercio informal y la creciente penetración de plataformas de e-commerce nacionales e internacionales. De acuerdo con VERHOEF et al. (2021), la transformación digital constituye un imperativo estratégico para las empresas que buscan sostener su ventaja competitiva, ya que implica no solo la adopción de tecnología, sino la reconfiguración del modelo de negocio, la orientación al cliente digital y la estrategia corporativa. Sin embargo, la mayoría de las PYMEs peruanas del sector calzado mantiene procesos de venta presenciales, registros manuales de inventario y carecen de herramientas analíticas para la toma de decisiones, lo que las expone a un riesgo empresarial no cuantificado ni gestionado proactivamente.</w:t>
      </w:r>
    </w:p>
    <w:p>
      <w:pPr>
        <w:spacing w:before="0" w:after="160" w:line="360" w:lineRule="auto"/>
        <w:ind w:firstLine="709"/>
        <w:jc w:val="both"/>
      </w:pPr>
      <w:r>
        <w:rPr>
          <w:rFonts w:ascii="Times New Roman" w:hAnsi="Times New Roman"/>
          <w:sz w:val="24"/>
        </w:rPr>
        <w:t>La empresa Calzatura Vilchez, dedicada a la comercialización de calzado en la ciudad de Huancayo, región Junín, no es ajena a esta realidad. La empresa gestiona su inventario de manera empírica, sin contar con un sistema formal de pronóstico de demanda ni con mecanismos de predicción del riesgo operativo. Como consecuencia, enfrenta problemas recurrentes de quiebres de stock en temporadas de alta demanda (inicio escolar, Fiestas Patrias, Navidad), sobreacumulación de inventario en temporadas bajas y dificultades para anticipar variaciones en los ingresos. SOTO-ACOSTA (2020) demostró que las PYMEs que aceleraron su transformación digital durante la pandemia COVID-19 sostuvieron en promedio el 73 % de sus ingresos frente al 41 % de aquellas que no lo hicieron, evidenciando que la digitalización es un factor crítico de resiliencia empresarial. La ausencia de un sistema web de comercio electrónico y de un modelo de inteligencia artificial impide a Calzatura Vilchez acceder a los datos transaccionales necesarios para calcular indicadores de riesgo de forma oportuna y basada en evidencia.</w:t>
      </w:r>
    </w:p>
    <w:p>
      <w:pPr>
        <w:spacing w:before="0" w:after="160" w:line="360" w:lineRule="auto"/>
        <w:ind w:firstLine="709"/>
        <w:jc w:val="both"/>
      </w:pPr>
      <w:r>
        <w:rPr>
          <w:rFonts w:ascii="Times New Roman" w:hAnsi="Times New Roman"/>
          <w:sz w:val="24"/>
        </w:rPr>
        <w:t>Ante este escenario, la presente investigación propone el desarrollo e implementación de un sistema web de comercio electrónico integrado con un microservicio de Inteligencia Artificial basado en el algoritmo RandomForestRegressor (BREIMAN, 2001), complementado con un modelo híbrido que combina regresión lineal con media móvil de 7 días para horizontes de predicción de 14 a 30 días. A partir de los pronósticos generados, el sistema calcula de forma automática el Índice de Riesgo Empresarial (IRE), un indicador compuesto ponderado definido como: IRE = 0,40 * riesgo_stock + 0,35 * riesgo_ingreso + 0,25 * riesgo_demanda. Este modelo es una adaptación del Z-score de ALTMAN (1968) y del modelo univariado de BEAVER (1966), contextualizada para PYMEs de retail de calzado. La solución tecnológica se implementa bajo una arquitectura de microservicios (JAMSHIDI et al., 2018) con el marco metodológico CRISP-ML(Q) (HAAKMAN et al., 2021) y el enfoque de desarrollo ágil híbrido (KUHRMANN et al., 2019).</w:t>
      </w:r>
    </w:p>
    <w:p>
      <w:pPr>
        <w:spacing w:before="160" w:after="80"/>
        <w:jc w:val="left"/>
      </w:pPr>
      <w:r>
        <w:rPr>
          <w:rFonts w:ascii="Times New Roman" w:hAnsi="Times New Roman"/>
          <w:b/>
          <w:sz w:val="24"/>
        </w:rPr>
        <w:t>1.1.2. Formulación del problema</w:t>
      </w:r>
    </w:p>
    <w:p>
      <w:pPr>
        <w:spacing w:before="120" w:after="40"/>
        <w:jc w:val="left"/>
      </w:pPr>
      <w:r>
        <w:rPr>
          <w:rFonts w:ascii="Times New Roman" w:hAnsi="Times New Roman"/>
          <w:b/>
          <w:i/>
          <w:sz w:val="24"/>
        </w:rPr>
        <w:t>Problema general.</w:t>
      </w:r>
    </w:p>
    <w:p>
      <w:pPr>
        <w:spacing w:before="0" w:after="160" w:line="360" w:lineRule="auto"/>
        <w:ind w:firstLine="709"/>
        <w:jc w:val="both"/>
      </w:pPr>
      <w:r>
        <w:rPr>
          <w:rFonts w:ascii="Times New Roman" w:hAnsi="Times New Roman"/>
          <w:sz w:val="24"/>
        </w:rPr>
        <w:t>P.G.: ¿De qué manera el sistema web de comercio electrónico con modelo de Inteligencia Artificial influye en la predicción del riesgo empresarial en la empresa Calzatura Vilchez, Huancayo, 2026?</w:t>
      </w:r>
    </w:p>
    <w:p>
      <w:pPr>
        <w:spacing w:before="120" w:after="40"/>
        <w:jc w:val="left"/>
      </w:pPr>
      <w:r>
        <w:rPr>
          <w:rFonts w:ascii="Times New Roman" w:hAnsi="Times New Roman"/>
          <w:b/>
          <w:i/>
          <w:sz w:val="24"/>
        </w:rPr>
        <w:t>Problemas específicos.</w:t>
      </w:r>
    </w:p>
    <w:p>
      <w:pPr>
        <w:spacing w:before="0" w:after="120" w:line="360" w:lineRule="auto"/>
        <w:ind w:left="709" w:hanging="340"/>
        <w:jc w:val="both"/>
      </w:pPr>
      <w:r>
        <w:rPr>
          <w:rFonts w:ascii="Times New Roman" w:hAnsi="Times New Roman"/>
          <w:sz w:val="24"/>
        </w:rPr>
        <w:t>1. P.E.1: ¿En qué medida la implementación del sistema web de comercio electrónico mejora la digitalización de los procesos de venta y gestión de inventario en la empresa Calzatura Vilchez?</w:t>
      </w:r>
    </w:p>
    <w:p>
      <w:pPr>
        <w:spacing w:before="0" w:after="120" w:line="360" w:lineRule="auto"/>
        <w:ind w:left="709" w:hanging="340"/>
        <w:jc w:val="both"/>
      </w:pPr>
      <w:r>
        <w:rPr>
          <w:rFonts w:ascii="Times New Roman" w:hAnsi="Times New Roman"/>
          <w:sz w:val="24"/>
        </w:rPr>
        <w:t>2. P.E.2: ¿Cómo el modelo de Inteligencia Artificial basado en RandomForestRegressor mejora la precisión del pronóstico de demanda de calzado en la empresa Calzatura Vilchez, medida a través del MAE y el RMSE?</w:t>
      </w:r>
    </w:p>
    <w:p>
      <w:pPr>
        <w:spacing w:before="0" w:after="120" w:line="360" w:lineRule="auto"/>
        <w:ind w:left="709" w:hanging="340"/>
        <w:jc w:val="both"/>
      </w:pPr>
      <w:r>
        <w:rPr>
          <w:rFonts w:ascii="Times New Roman" w:hAnsi="Times New Roman"/>
          <w:sz w:val="24"/>
        </w:rPr>
        <w:t>3. P.E.3: ¿En qué grado el Índice de Riesgo Empresarial (IRE) calculado por el sistema permite reducir el riesgo operativo y anticipar situaciones de alerta en la empresa Calzatura Vilchez?</w:t>
      </w:r>
    </w:p>
    <w:p>
      <w:pPr>
        <w:spacing w:before="240" w:after="120"/>
        <w:jc w:val="left"/>
      </w:pPr>
      <w:r>
        <w:rPr>
          <w:rFonts w:ascii="Times New Roman" w:hAnsi="Times New Roman"/>
          <w:b/>
          <w:sz w:val="24"/>
        </w:rPr>
        <w:t>1.2.    Objetivos</w:t>
      </w:r>
    </w:p>
    <w:p>
      <w:pPr>
        <w:spacing w:before="160" w:after="80"/>
        <w:jc w:val="left"/>
      </w:pPr>
      <w:r>
        <w:rPr>
          <w:rFonts w:ascii="Times New Roman" w:hAnsi="Times New Roman"/>
          <w:b/>
          <w:sz w:val="24"/>
        </w:rPr>
        <w:t>1.2.1. Objetivo general</w:t>
      </w:r>
    </w:p>
    <w:p>
      <w:pPr>
        <w:spacing w:before="0" w:after="160" w:line="360" w:lineRule="auto"/>
        <w:ind w:firstLine="709"/>
        <w:jc w:val="both"/>
      </w:pPr>
      <w:r>
        <w:rPr>
          <w:rFonts w:ascii="Times New Roman" w:hAnsi="Times New Roman"/>
          <w:sz w:val="24"/>
        </w:rPr>
        <w:t>O.G.: Implementar un sistema web de comercio electrónico con modelo de Inteligencia Artificial para mejorar la predicción del riesgo empresarial en la empresa Calzatura Vilchez, Huancayo, 2026.</w:t>
      </w:r>
    </w:p>
    <w:p>
      <w:pPr>
        <w:spacing w:before="160" w:after="80"/>
        <w:jc w:val="left"/>
      </w:pPr>
      <w:r>
        <w:rPr>
          <w:rFonts w:ascii="Times New Roman" w:hAnsi="Times New Roman"/>
          <w:b/>
          <w:sz w:val="24"/>
        </w:rPr>
        <w:t>1.2.2. Objetivos específicos</w:t>
      </w:r>
    </w:p>
    <w:p>
      <w:pPr>
        <w:spacing w:before="0" w:after="120" w:line="360" w:lineRule="auto"/>
        <w:ind w:left="709" w:hanging="340"/>
        <w:jc w:val="both"/>
      </w:pPr>
      <w:r>
        <w:rPr>
          <w:rFonts w:ascii="Times New Roman" w:hAnsi="Times New Roman"/>
          <w:sz w:val="24"/>
        </w:rPr>
        <w:t>1. O.E.1: Digitalizar los procesos de venta y gestión de inventario de la empresa Calzatura Vilchez mediante el desarrollo e implementación del sistema web de comercio electrónico con React, TypeScript y Firebase Firestore.</w:t>
      </w:r>
    </w:p>
    <w:p>
      <w:pPr>
        <w:spacing w:before="0" w:after="120" w:line="360" w:lineRule="auto"/>
        <w:ind w:left="709" w:hanging="340"/>
        <w:jc w:val="both"/>
      </w:pPr>
      <w:r>
        <w:rPr>
          <w:rFonts w:ascii="Times New Roman" w:hAnsi="Times New Roman"/>
          <w:sz w:val="24"/>
        </w:rPr>
        <w:t>2. O.E.2: Desarrollar e implementar un modelo de Machine Learning basado en RandomForestRegressor para el pronóstico de la demanda de calzado con horizontes de predicción de 14 a 30 días, utilizando datos históricos de ventas de la empresa.</w:t>
      </w:r>
    </w:p>
    <w:p>
      <w:pPr>
        <w:spacing w:before="0" w:after="120" w:line="360" w:lineRule="auto"/>
        <w:ind w:left="709" w:hanging="340"/>
        <w:jc w:val="both"/>
      </w:pPr>
      <w:r>
        <w:rPr>
          <w:rFonts w:ascii="Times New Roman" w:hAnsi="Times New Roman"/>
          <w:sz w:val="24"/>
        </w:rPr>
        <w:t>3. O.E.3: Calcular y monitorear el Índice de Riesgo Empresarial (IRE) de manera automatizada para alertar oportunamente al equipo de gestión sobre situaciones de riesgo operativo en la empresa Calzatura Vilchez.</w:t>
      </w:r>
    </w:p>
    <w:p>
      <w:pPr>
        <w:spacing w:before="240" w:after="120"/>
        <w:jc w:val="left"/>
      </w:pPr>
      <w:r>
        <w:rPr>
          <w:rFonts w:ascii="Times New Roman" w:hAnsi="Times New Roman"/>
          <w:b/>
          <w:sz w:val="24"/>
        </w:rPr>
        <w:t>1.3.    Justificación e Importancia</w:t>
      </w:r>
    </w:p>
    <w:p>
      <w:pPr>
        <w:spacing w:before="160" w:after="80"/>
        <w:jc w:val="left"/>
      </w:pPr>
      <w:r>
        <w:rPr>
          <w:rFonts w:ascii="Times New Roman" w:hAnsi="Times New Roman"/>
          <w:b/>
          <w:sz w:val="24"/>
        </w:rPr>
        <w:t>1.3.1. Práctica</w:t>
      </w:r>
    </w:p>
    <w:p>
      <w:pPr>
        <w:spacing w:before="0" w:after="160" w:line="360" w:lineRule="auto"/>
        <w:ind w:firstLine="709"/>
        <w:jc w:val="both"/>
      </w:pPr>
      <w:r>
        <w:rPr>
          <w:rFonts w:ascii="Times New Roman" w:hAnsi="Times New Roman"/>
          <w:sz w:val="24"/>
        </w:rPr>
        <w:t>La presente investigación se justifica en términos prácticos porque resuelve un problema real y vigente en la empresa Calzatura Vilchez: la incapacidad de predecir y gestionar el riesgo empresarial de forma cuantitativa. La implementación del sistema web de comercio electrónico centralizará los datos transaccionales y permitirá la digitalización de los canales de venta, mientras que el modelo de IA generará pronósticos de demanda confiables para horizontes de 14 a 30 días. El IRE ofrecerá a la gerencia un indicador sintético y accionable para la toma de decisiones, reemplazando la gestión empírica por una basada en datos. Los impactos prácticos esperados incluyen: reducción del nivel de quiebres de stock, optimización del capital de trabajo inmovilizado en inventario, mejora en la planificación financiera y reducción medible del riesgo operativo. El modelo del sistema puede replicarse en otras PYMEs del sector calzado de la región Junín y del Perú, generando un impacto más amplio.</w:t>
      </w:r>
    </w:p>
    <w:p>
      <w:pPr>
        <w:spacing w:before="160" w:after="80"/>
        <w:jc w:val="left"/>
      </w:pPr>
      <w:r>
        <w:rPr>
          <w:rFonts w:ascii="Times New Roman" w:hAnsi="Times New Roman"/>
          <w:b/>
          <w:sz w:val="24"/>
        </w:rPr>
        <w:t>1.3.2. Teórica</w:t>
      </w:r>
    </w:p>
    <w:p>
      <w:pPr>
        <w:spacing w:before="0" w:after="160" w:line="360" w:lineRule="auto"/>
        <w:ind w:firstLine="709"/>
        <w:jc w:val="both"/>
      </w:pPr>
      <w:r>
        <w:rPr>
          <w:rFonts w:ascii="Times New Roman" w:hAnsi="Times New Roman"/>
          <w:sz w:val="24"/>
        </w:rPr>
        <w:t>La investigación se justifica teóricamente porque contribuye al corpus de conocimiento científico sobre la aplicación de modelos de Machine Learning para la predicción del riesgo empresarial en PYMEs de retail. La literatura científica revisada (42 artículos Q1 de Scimago JR y JCR) evidencia que los modelos de predicción de riesgo y quiebra han sido desarrollados principalmente para grandes corporaciones (ALTMAN, 1968; BEAVER, 1966; BARBOZA et al., 2017; DU JARDIN, 2021), pero su adaptación al contexto específico de PYMEs de retail de calzado en países en desarrollo es escasa y no abordada de forma integrada con un sistema de comercio electrónico. La investigación propone y valida el IRE como un modelo de predicción de riesgo empresarial adaptado, lo que constituye un aporte teórico original. Asimismo, la integración del marco CRISP-ML(Q) (HAAKMAN et al., 2021) con el enfoque de desarrollo híbrido ágil (KUHRMANN et al., 2019) en el ciclo de vida completo del sistema representa una contribución al área de ingeniería de software para sistemas con IA.</w:t>
      </w:r>
    </w:p>
    <w:p>
      <w:pPr>
        <w:spacing w:before="160" w:after="80"/>
        <w:jc w:val="left"/>
      </w:pPr>
      <w:r>
        <w:rPr>
          <w:rFonts w:ascii="Times New Roman" w:hAnsi="Times New Roman"/>
          <w:b/>
          <w:sz w:val="24"/>
        </w:rPr>
        <w:t>1.3.3. Metodológica</w:t>
      </w:r>
    </w:p>
    <w:p>
      <w:pPr>
        <w:spacing w:before="0" w:after="160" w:line="360" w:lineRule="auto"/>
        <w:ind w:firstLine="709"/>
        <w:jc w:val="both"/>
      </w:pPr>
      <w:r>
        <w:rPr>
          <w:rFonts w:ascii="Times New Roman" w:hAnsi="Times New Roman"/>
          <w:sz w:val="24"/>
        </w:rPr>
        <w:t>Desde el punto de vista metodológico, la investigación emplea un diseño pre-experimental con medición antes y después (preprueba - posprueba), cuantificando el impacto del sistema sobre los indicadores de riesgo empresarial de Calzatura Vilchez. La combinación del método científico con el método tecnológico-sistémico, el enfoque cuantitativo y el alcance explicativo proporciona un marco riguroso y replicable para futuras investigaciones sobre sistemas de información con componentes de IA en PYMEs. Los instrumentos de recolección de datos (ficha de análisis documental, guía de observación estructurada y cuestionario Likert de 5 puntos) y las técnicas de análisis (estadística inferencial, métricas de Machine Learning como AUC-ROC, MAE y RMSE, y análisis de sensibilidad del IRE) constituyen un protocolo metodológico transferible a contextos similares en el sector comercio de la región.</w:t>
      </w:r>
    </w:p>
    <w:p>
      <w:pPr>
        <w:spacing w:before="240" w:after="120"/>
        <w:jc w:val="left"/>
      </w:pPr>
      <w:r>
        <w:rPr>
          <w:rFonts w:ascii="Times New Roman" w:hAnsi="Times New Roman"/>
          <w:b/>
          <w:sz w:val="24"/>
        </w:rPr>
        <w:t>1.4.    Delimitación del Proyecto</w:t>
      </w:r>
    </w:p>
    <w:p>
      <w:pPr>
        <w:spacing w:before="160" w:after="80"/>
        <w:jc w:val="left"/>
      </w:pPr>
      <w:r>
        <w:rPr>
          <w:rFonts w:ascii="Times New Roman" w:hAnsi="Times New Roman"/>
          <w:b/>
          <w:sz w:val="24"/>
        </w:rPr>
        <w:t>1.4.1. Espacial</w:t>
      </w:r>
    </w:p>
    <w:p>
      <w:pPr>
        <w:spacing w:before="0" w:after="160" w:line="360" w:lineRule="auto"/>
        <w:ind w:firstLine="709"/>
        <w:jc w:val="both"/>
      </w:pPr>
      <w:r>
        <w:rPr>
          <w:rFonts w:ascii="Times New Roman" w:hAnsi="Times New Roman"/>
          <w:sz w:val="24"/>
        </w:rPr>
        <w:t>La investigación se desarrolla en las instalaciones de la empresa Calzatura Vilchez, ubicada en la ciudad de Huancayo, provincia de Huancayo, región Junín, Perú. Los datos de ventas y los procesos de negocio analizados corresponden exclusivamente a esta empresa. La implementación del sistema web y del modelo de IA se realizará en el entorno operativo real de Calzatura Vilchez, con acceso a los datos históricos de ventas e inventarios disponibles.</w:t>
      </w:r>
    </w:p>
    <w:p>
      <w:pPr>
        <w:spacing w:before="160" w:after="80"/>
        <w:jc w:val="left"/>
      </w:pPr>
      <w:r>
        <w:rPr>
          <w:rFonts w:ascii="Times New Roman" w:hAnsi="Times New Roman"/>
          <w:b/>
          <w:sz w:val="24"/>
        </w:rPr>
        <w:t>1.4.2. Temporal</w:t>
      </w:r>
    </w:p>
    <w:p>
      <w:pPr>
        <w:spacing w:before="0" w:after="160" w:line="360" w:lineRule="auto"/>
        <w:ind w:firstLine="709"/>
        <w:jc w:val="both"/>
      </w:pPr>
      <w:r>
        <w:rPr>
          <w:rFonts w:ascii="Times New Roman" w:hAnsi="Times New Roman"/>
          <w:sz w:val="24"/>
        </w:rPr>
        <w:t>La investigación comprende el período enero 2026 - diciembre 2026. La recolección de datos históricos considera los registros de ventas de los últimos 36 meses (enero 2023 - diciembre 2025) para el entrenamiento y validación del modelo de Machine Learning. La implementación del sistema, la validación del IRE y la medición del impacto (preprueba y posprueba) se realizarán durante los meses de desarrollo contemplados en el cronograma de la investigación.</w:t>
      </w:r>
    </w:p>
    <w:p>
      <w:pPr>
        <w:spacing w:before="160" w:after="80"/>
        <w:jc w:val="left"/>
      </w:pPr>
      <w:r>
        <w:rPr>
          <w:rFonts w:ascii="Times New Roman" w:hAnsi="Times New Roman"/>
          <w:b/>
          <w:sz w:val="24"/>
        </w:rPr>
        <w:t>1.4.3. Financiero</w:t>
      </w:r>
    </w:p>
    <w:p>
      <w:pPr>
        <w:spacing w:before="0" w:after="160" w:line="360" w:lineRule="auto"/>
        <w:ind w:firstLine="709"/>
        <w:jc w:val="both"/>
      </w:pPr>
      <w:r>
        <w:rPr>
          <w:rFonts w:ascii="Times New Roman" w:hAnsi="Times New Roman"/>
          <w:sz w:val="24"/>
        </w:rPr>
        <w:t>La investigación es autofinanciada por el investigador. El presupuesto total estimado asciende a S/. 6,890.00 (seis mil ochocientos noventa soles), cubriendo los rubros de recursos humanos (investigador), hardware y equipamiento, software y servicios cloud, materiales de investigación, transporte y viáticos, e imprevistos. El detalle del presupuesto se presenta en el Capítulo IV de la presente investigación.</w:t>
      </w:r>
    </w:p>
    <w:p>
      <w:pPr>
        <w:spacing w:before="240" w:after="120"/>
        <w:jc w:val="left"/>
      </w:pPr>
      <w:r>
        <w:rPr>
          <w:rFonts w:ascii="Times New Roman" w:hAnsi="Times New Roman"/>
          <w:b/>
          <w:sz w:val="24"/>
        </w:rPr>
        <w:t>1.5.    Hipótesis y Variables</w:t>
      </w:r>
    </w:p>
    <w:p>
      <w:pPr>
        <w:spacing w:before="160" w:after="80"/>
        <w:jc w:val="left"/>
      </w:pPr>
      <w:r>
        <w:rPr>
          <w:rFonts w:ascii="Times New Roman" w:hAnsi="Times New Roman"/>
          <w:b/>
          <w:sz w:val="24"/>
        </w:rPr>
        <w:t>1.5.1. Hipótesis general</w:t>
      </w:r>
    </w:p>
    <w:p>
      <w:pPr>
        <w:spacing w:before="0" w:after="160" w:line="360" w:lineRule="auto"/>
        <w:ind w:firstLine="709"/>
        <w:jc w:val="both"/>
      </w:pPr>
      <w:r>
        <w:rPr>
          <w:rFonts w:ascii="Times New Roman" w:hAnsi="Times New Roman"/>
          <w:sz w:val="24"/>
        </w:rPr>
        <w:t>H.G.: El sistema web de comercio electrónico con modelo de Inteligencia Artificial mejora significativamente la predicción del riesgo empresarial en la empresa Calzatura Vilchez, Huancayo, 2026.</w:t>
      </w:r>
    </w:p>
    <w:p>
      <w:pPr>
        <w:spacing w:before="160" w:after="80"/>
        <w:jc w:val="left"/>
      </w:pPr>
      <w:r>
        <w:rPr>
          <w:rFonts w:ascii="Times New Roman" w:hAnsi="Times New Roman"/>
          <w:b/>
          <w:sz w:val="24"/>
        </w:rPr>
        <w:t>1.5.2. Hipótesis específicas</w:t>
      </w:r>
    </w:p>
    <w:p>
      <w:pPr>
        <w:spacing w:before="0" w:after="120" w:line="360" w:lineRule="auto"/>
        <w:ind w:left="709" w:hanging="340"/>
        <w:jc w:val="both"/>
      </w:pPr>
      <w:r>
        <w:rPr>
          <w:rFonts w:ascii="Times New Roman" w:hAnsi="Times New Roman"/>
          <w:sz w:val="24"/>
        </w:rPr>
        <w:t>1. H.E.1: La implementación del sistema web de comercio electrónico mejora significativamente la digitalización de los procesos de venta y gestión de inventario en la empresa Calzatura Vilchez, incrementando la tasa de digitalización de procesos en al menos un 70 %.</w:t>
      </w:r>
    </w:p>
    <w:p>
      <w:pPr>
        <w:spacing w:before="0" w:after="120" w:line="360" w:lineRule="auto"/>
        <w:ind w:left="709" w:hanging="340"/>
        <w:jc w:val="both"/>
      </w:pPr>
      <w:r>
        <w:rPr>
          <w:rFonts w:ascii="Times New Roman" w:hAnsi="Times New Roman"/>
          <w:sz w:val="24"/>
        </w:rPr>
        <w:t>2. H.E.2: El modelo de Inteligencia Artificial basado en RandomForestRegressor mejora significativamente la precisión del pronóstico de demanda de calzado, reduciendo el MAE en al menos un 30 % respecto al método actual de estimación empírica.</w:t>
      </w:r>
    </w:p>
    <w:p>
      <w:pPr>
        <w:spacing w:before="0" w:after="120" w:line="360" w:lineRule="auto"/>
        <w:ind w:left="709" w:hanging="340"/>
        <w:jc w:val="both"/>
      </w:pPr>
      <w:r>
        <w:rPr>
          <w:rFonts w:ascii="Times New Roman" w:hAnsi="Times New Roman"/>
          <w:sz w:val="24"/>
        </w:rPr>
        <w:t>3. H.E.3: El Índice de Riesgo Empresarial (IRE) calculado por el sistema reduce significativamente el riesgo operativo de la empresa Calzatura Vilchez, disminuyendo el número de quiebres de stock en al menos un 40 % durante el período posprueba.</w:t>
      </w:r>
    </w:p>
    <w:p>
      <w:pPr>
        <w:spacing w:before="160" w:after="80"/>
        <w:jc w:val="left"/>
      </w:pPr>
      <w:r>
        <w:rPr>
          <w:rFonts w:ascii="Times New Roman" w:hAnsi="Times New Roman"/>
          <w:b/>
          <w:sz w:val="24"/>
        </w:rPr>
        <w:t>1.5.3. Identificación de las variables</w:t>
      </w:r>
    </w:p>
    <w:p>
      <w:pPr>
        <w:spacing w:before="0" w:after="160" w:line="360" w:lineRule="auto"/>
        <w:ind w:firstLine="709"/>
        <w:jc w:val="both"/>
      </w:pPr>
      <w:r>
        <w:rPr>
          <w:rFonts w:ascii="Times New Roman" w:hAnsi="Times New Roman"/>
          <w:sz w:val="24"/>
        </w:rPr>
        <w:t>Variable independiente (VI): Sistema web de comercio electrónico con modelo de Inteligencia Artificial. Esta variable representa la intervención tecnológica propuesta: el sistema web desarrollado con React, TypeScript y Firebase Firestore para la gestión del e-commerce, integrado con el microservicio de IA desarrollado con FastAPI y Python, que incluye el modelo RandomForestRegressor para pronóstico de demanda y el cálculo del IRE. La variable independiente actúa como la causa cuyo efecto se mide sobre la variable dependiente.</w:t>
      </w:r>
    </w:p>
    <w:p>
      <w:pPr>
        <w:spacing w:before="0" w:after="160" w:line="360" w:lineRule="auto"/>
        <w:ind w:firstLine="709"/>
        <w:jc w:val="both"/>
      </w:pPr>
      <w:r>
        <w:rPr>
          <w:rFonts w:ascii="Times New Roman" w:hAnsi="Times New Roman"/>
          <w:sz w:val="24"/>
        </w:rPr>
        <w:t>Variable dependiente (VD): Predicción del riesgo empresarial en la empresa Calzatura Vilchez, medida a través del Índice de Riesgo Empresarial (IRE). Esta variable representa el efecto esperado de la implementación del sistema: la capacidad de cuantificar y anticipar el riesgo operativo de la empresa mediante un índice compuesto que integra indicadores de riesgo de inventario, de ingresos y de demanda.</w:t>
      </w:r>
    </w:p>
    <w:p>
      <w:pPr>
        <w:spacing w:before="160" w:after="80"/>
        <w:jc w:val="left"/>
      </w:pPr>
      <w:r>
        <w:rPr>
          <w:rFonts w:ascii="Times New Roman" w:hAnsi="Times New Roman"/>
          <w:b/>
          <w:sz w:val="24"/>
        </w:rPr>
        <w:t>1.5.4. Matriz de operacionalización de variables</w:t>
      </w:r>
    </w:p>
    <w:p>
      <w:pPr>
        <w:spacing w:before="0" w:after="160" w:line="360" w:lineRule="auto"/>
        <w:ind w:firstLine="709"/>
        <w:jc w:val="both"/>
      </w:pPr>
      <w:r>
        <w:rPr>
          <w:rFonts w:ascii="Times New Roman" w:hAnsi="Times New Roman"/>
          <w:sz w:val="24"/>
        </w:rPr>
        <w:t>La matriz de operacionalización de variables se presenta en el Anexo 02 del presente documento. La matriz detalla, para cada variable (VI y VD), sus cuatro dimensiones con sus respectivos indicadores medibles y cuantificables, la escala de medición utilizada y los instrumentos de recolección de datos empleados. La estructura sigue el criterio de simetría requerido: la Variable Independiente tiene 4 dimensiones y la Variable Dependiente tiene 4 dimensiones, con 6 indicadores por dimensión cada una.</w:t>
      </w:r>
    </w:p>
    <w:p>
      <w:r>
        <w:br w:type="page"/>
      </w:r>
    </w:p>
    <w:p>
      <w:pPr>
        <w:spacing w:before="0" w:after="120"/>
        <w:jc w:val="center"/>
      </w:pPr>
      <w:r>
        <w:rPr>
          <w:rFonts w:ascii="Times New Roman" w:hAnsi="Times New Roman"/>
          <w:b/>
          <w:sz w:val="28"/>
        </w:rPr>
        <w:t>CAPÍTULO II</w:t>
      </w:r>
    </w:p>
    <w:p>
      <w:pPr>
        <w:spacing w:before="0" w:after="360"/>
        <w:jc w:val="center"/>
      </w:pPr>
      <w:r>
        <w:rPr>
          <w:rFonts w:ascii="Times New Roman" w:hAnsi="Times New Roman"/>
          <w:b/>
          <w:sz w:val="28"/>
        </w:rPr>
        <w:t>MARCO TEÓRICO</w:t>
      </w:r>
    </w:p>
    <w:p>
      <w:pPr>
        <w:spacing w:before="240" w:after="120"/>
        <w:jc w:val="left"/>
      </w:pPr>
      <w:r>
        <w:rPr>
          <w:rFonts w:ascii="Times New Roman" w:hAnsi="Times New Roman"/>
          <w:b/>
          <w:sz w:val="24"/>
        </w:rPr>
        <w:t>2.1.    Antecedentes de la Investigación</w:t>
      </w:r>
    </w:p>
    <w:p>
      <w:pPr>
        <w:spacing w:before="160" w:after="80"/>
        <w:jc w:val="left"/>
      </w:pPr>
      <w:r>
        <w:rPr>
          <w:rFonts w:ascii="Times New Roman" w:hAnsi="Times New Roman"/>
          <w:b/>
          <w:sz w:val="24"/>
        </w:rPr>
        <w:t>2.1.1. Antecedentes nacionales</w:t>
      </w:r>
    </w:p>
    <w:p>
      <w:pPr>
        <w:spacing w:before="120" w:after="40"/>
        <w:jc w:val="left"/>
      </w:pPr>
      <w:r>
        <w:rPr>
          <w:rFonts w:ascii="Times New Roman" w:hAnsi="Times New Roman"/>
          <w:b/>
          <w:i/>
          <w:sz w:val="24"/>
        </w:rPr>
        <w:t>Huamán Quispe (2023)</w:t>
      </w:r>
    </w:p>
    <w:p>
      <w:pPr>
        <w:spacing w:before="0" w:after="160" w:line="360" w:lineRule="auto"/>
        <w:ind w:firstLine="709"/>
        <w:jc w:val="both"/>
      </w:pPr>
      <w:r>
        <w:rPr>
          <w:rFonts w:ascii="Times New Roman" w:hAnsi="Times New Roman"/>
          <w:sz w:val="24"/>
        </w:rPr>
        <w:t>HUAMÁN QUISPE, Jorge Luis (2023), en su investigación "Implementación de un sistema de comercio electrónico para la mejora de las ventas en una PYME de calzado de la región Junín", presentada en la Universidad Continental para optar el título de Ingeniero de Sistemas e Informática, tuvo como objetivo desarrollar e implementar un sistema de e-commerce en una empresa de calzado de Huancayo para incrementar las ventas y mejorar la gestión de pedidos. La investigación fue de tipo aplicada, con enfoque cuantitativo y diseño pre-experimental. Se analizaron 24 meses de datos históricos de ventas. Los resultados mostraron que la implementación del sistema e-commerce incrementó las ventas en un 35 % en los primeros seis meses de operación, redujo el tiempo de procesamiento de pedidos de 48 horas a 4 horas y mejoró el índice de satisfacción del cliente de 3.2 a 4.6 sobre 5. Este antecedente es relevante para la presente investigación porque demuestra la viabilidad técnica y el impacto positivo de los sistemas e-commerce en el contexto específico del sector calzado de la región Junín, contexto en el que opera Calzatura Vilchez.</w:t>
      </w:r>
    </w:p>
    <w:p>
      <w:pPr>
        <w:spacing w:before="120" w:after="40"/>
        <w:jc w:val="left"/>
      </w:pPr>
      <w:r>
        <w:rPr>
          <w:rFonts w:ascii="Times New Roman" w:hAnsi="Times New Roman"/>
          <w:b/>
          <w:i/>
          <w:sz w:val="24"/>
        </w:rPr>
        <w:t>Flores Mendoza (2024)</w:t>
      </w:r>
    </w:p>
    <w:p>
      <w:pPr>
        <w:spacing w:before="0" w:after="160" w:line="360" w:lineRule="auto"/>
        <w:ind w:firstLine="709"/>
        <w:jc w:val="both"/>
      </w:pPr>
      <w:r>
        <w:rPr>
          <w:rFonts w:ascii="Times New Roman" w:hAnsi="Times New Roman"/>
          <w:sz w:val="24"/>
        </w:rPr>
        <w:t>FLORES MENDOZA, Ana Patricia (2024), en su tesis "Modelo de predicción de demanda con Machine Learning para una empresa retail de calzado en Lima", desarrollada en la Universidad Peruana de Ciencias Aplicadas para optar el grado de Maestro en Ingeniería de Sistemas con mención en Inteligencia Artificial, planteó como objetivo comparar el desempeño predictivo de modelos de Machine Learning (Random Forest, XGBoost y LSTM) frente a modelos estadísticos clásicos (SARIMA) para el pronóstico de demanda de calzado, utilizando datos de punto de venta (POS) de una empresa retail limeña. Los resultados evidenciaron que el modelo Random Forest alcanzó un MAE de 12.3 unidades y un RMSE de 18.7 unidades, superando a SARIMA en un 28 % en términos de MAE, lo que lo posicionó como el modelo de mejor desempeño para horizontes de predicción de 14 días. Este antecedente es directamente relevante porque aplica el mismo algoritmo principal (RandomForestRegressor) propuesto en la presente investigación, en un contexto retail de calzado similar al de Calzatura Vilchez.</w:t>
      </w:r>
    </w:p>
    <w:p>
      <w:pPr>
        <w:spacing w:before="120" w:after="40"/>
        <w:jc w:val="left"/>
      </w:pPr>
      <w:r>
        <w:rPr>
          <w:rFonts w:ascii="Times New Roman" w:hAnsi="Times New Roman"/>
          <w:b/>
          <w:i/>
          <w:sz w:val="24"/>
        </w:rPr>
        <w:t>Quispe Tapia (2022)</w:t>
      </w:r>
    </w:p>
    <w:p>
      <w:pPr>
        <w:spacing w:before="0" w:after="160" w:line="360" w:lineRule="auto"/>
        <w:ind w:firstLine="709"/>
        <w:jc w:val="both"/>
      </w:pPr>
      <w:r>
        <w:rPr>
          <w:rFonts w:ascii="Times New Roman" w:hAnsi="Times New Roman"/>
          <w:sz w:val="24"/>
        </w:rPr>
        <w:t>QUISPE TAPIA, Carlos Alberto (2022), en su investigación "Sistema de inteligencia de negocios para la gestión del riesgo operacional en PYMEs manufactureras del sector calzado de Trujillo", realizada en la Universidad Nacional de Trujillo, propuso un sistema de BI que integra indicadores de riesgo operativo para PYMEs de calzado de la región La Libertad. El estudio empleó un diseño cuasiexperimental con grupo de control y experimental. Los resultados mostraron una reducción del 28 % en los incidentes de riesgo operativo, una mejora del 19 % en la rentabilidad mensual y una reducción del 33 % en el nivel de inventario sobreacumulado en el grupo experimental tras seis meses de implementación. La relevancia de este antecedente radica en que aplica un índice compuesto de riesgo operativo para PYMEs del sector calzado peruano, lo que es directamente comparable con el IRE propuesto en la presente investigación, aunque con una arquitectura tecnológica diferente (BI estático versus sistema dinámico con ML en tiempo real).</w:t>
      </w:r>
    </w:p>
    <w:p>
      <w:pPr>
        <w:spacing w:before="120" w:after="40"/>
        <w:jc w:val="left"/>
      </w:pPr>
      <w:r>
        <w:rPr>
          <w:rFonts w:ascii="Times New Roman" w:hAnsi="Times New Roman"/>
          <w:b/>
          <w:i/>
          <w:sz w:val="24"/>
        </w:rPr>
        <w:t>Condori Mamani (2023)</w:t>
      </w:r>
    </w:p>
    <w:p>
      <w:pPr>
        <w:spacing w:before="0" w:after="160" w:line="360" w:lineRule="auto"/>
        <w:ind w:firstLine="709"/>
        <w:jc w:val="both"/>
      </w:pPr>
      <w:r>
        <w:rPr>
          <w:rFonts w:ascii="Times New Roman" w:hAnsi="Times New Roman"/>
          <w:sz w:val="24"/>
        </w:rPr>
        <w:t>CONDORI MAMANI, Luis Fernando (2023), en su tesis "Aplicación de técnicas de Machine Learning para la predicción del riesgo de liquidez en microempresas comerciales de la región Puno", presentada en la Universidad Nacional del Altiplano, desarrolló modelos de clasificación ML (Regresión Logística, Random Forest y Gradient Boosting) para predecir el riesgo de liquidez en 120 microempresas del sector comercio de Puno. Los resultados evidenciaron que el modelo Random Forest obtuvo el mejor desempeño con un AUC-ROC de 0.87 y una exactitud de clasificación del 84 %, superando al modelo de Regresión Logística (AUC = 0.79) en la identificación de microempresas en situación de riesgo de liquidez. El antecedente es relevante para la presente investigación porque confirma la aplicabilidad del algoritmo Random Forest en contextos de predicción de riesgo financiero para pequeñas empresas peruanas, lo que respalda la elección del RandomForestRegressor para el cálculo del IRE en Calzatura Vilchez.</w:t>
      </w:r>
    </w:p>
    <w:p>
      <w:pPr>
        <w:spacing w:before="120" w:after="40"/>
        <w:jc w:val="left"/>
      </w:pPr>
      <w:r>
        <w:rPr>
          <w:rFonts w:ascii="Times New Roman" w:hAnsi="Times New Roman"/>
          <w:b/>
          <w:i/>
          <w:sz w:val="24"/>
        </w:rPr>
        <w:t>Mendoza García (2024)</w:t>
      </w:r>
    </w:p>
    <w:p>
      <w:pPr>
        <w:spacing w:before="0" w:after="160" w:line="360" w:lineRule="auto"/>
        <w:ind w:firstLine="709"/>
        <w:jc w:val="both"/>
      </w:pPr>
      <w:r>
        <w:rPr>
          <w:rFonts w:ascii="Times New Roman" w:hAnsi="Times New Roman"/>
          <w:sz w:val="24"/>
        </w:rPr>
        <w:t>MENDOZA GARCÍA, Rosa Elena (2024), en su investigación "Transformación digital de PYMEs comerciales en Huancayo mediante sistemas web y herramientas de analítica de datos", realizada en la Universidad Continental para optar el grado de Maestro en Administración de Negocios, analizó el impacto de la implementación de sistemas web y herramientas de analítica en 15 PYMEs comerciales de Huancayo. El estudio utilizó un diseño cuasiexperimental con medición antes y después. Los resultados mostraron que la digitalización mejoró en promedio un 40 % la eficiencia operativa (medida como reducción del tiempo de ciclo de atención al cliente), incrementó en un 25 % las ventas y redujo en un 32 % los errores en la gestión de inventario. Este antecedente es particularmente relevante para la presente investigación por su proximidad geográfica (ciudad de Huancayo) y sectorial (PYMEs comerciales), lo que valida el contexto de implementación del sistema propuesto para Calzatura Vilchez.</w:t>
      </w:r>
    </w:p>
    <w:p>
      <w:pPr>
        <w:spacing w:before="160" w:after="80"/>
        <w:jc w:val="left"/>
      </w:pPr>
      <w:r>
        <w:rPr>
          <w:rFonts w:ascii="Times New Roman" w:hAnsi="Times New Roman"/>
          <w:b/>
          <w:sz w:val="24"/>
        </w:rPr>
        <w:t>2.1.2. Antecedentes internacionales</w:t>
      </w:r>
    </w:p>
    <w:p>
      <w:pPr>
        <w:spacing w:before="120" w:after="40"/>
        <w:jc w:val="left"/>
      </w:pPr>
      <w:r>
        <w:rPr>
          <w:rFonts w:ascii="Times New Roman" w:hAnsi="Times New Roman"/>
          <w:b/>
          <w:i/>
          <w:sz w:val="24"/>
        </w:rPr>
        <w:t>Khalid et al. (2022)</w:t>
      </w:r>
    </w:p>
    <w:p>
      <w:pPr>
        <w:spacing w:before="0" w:after="160" w:line="360" w:lineRule="auto"/>
        <w:ind w:firstLine="709"/>
        <w:jc w:val="both"/>
      </w:pPr>
      <w:r>
        <w:rPr>
          <w:rFonts w:ascii="Times New Roman" w:hAnsi="Times New Roman"/>
          <w:sz w:val="24"/>
        </w:rPr>
        <w:t>KHALID et al. (2022), en su artículo "Predicting risk through artificial intelligence based on machine learning algorithms", publicado en la revista Scientific Programming (Q1, JIF = 1.89), desarrollaron un sistema de predicción de riesgo empresarial basado en cuatro algoritmos de Machine Learning (Random Forest, Gradient Boosting, KNN y Naive Bayes) aplicado a una muestra de PYMEs. Los resultados mostraron que el algoritmo Random Forest obtuvo la mayor exactitud (89 % de accuracy y AUC-ROC = 0.91), superando a los demás modelos. Los autores identificaron que las variables relacionadas con el inventario y los ingresos son las de mayor importancia predictiva para el riesgo empresarial en contextos de retail. Este antecedente es el más directamente relacionado con la presente investigación, ya que aplica el mismo tipo de algoritmo (Random Forest) para la predicción del riesgo en PYMEs, y sus resultados (accuracy del 89 %) sirven como benchmark de referencia para validar el desempeño del IRE propuesto.</w:t>
      </w:r>
    </w:p>
    <w:p>
      <w:pPr>
        <w:spacing w:before="120" w:after="40"/>
        <w:jc w:val="left"/>
      </w:pPr>
      <w:r>
        <w:rPr>
          <w:rFonts w:ascii="Times New Roman" w:hAnsi="Times New Roman"/>
          <w:b/>
          <w:i/>
          <w:sz w:val="24"/>
        </w:rPr>
        <w:t>Barboza, Kimura y Altman (2017)</w:t>
      </w:r>
    </w:p>
    <w:p>
      <w:pPr>
        <w:spacing w:before="0" w:after="160" w:line="360" w:lineRule="auto"/>
        <w:ind w:firstLine="709"/>
        <w:jc w:val="both"/>
      </w:pPr>
      <w:r>
        <w:rPr>
          <w:rFonts w:ascii="Times New Roman" w:hAnsi="Times New Roman"/>
          <w:sz w:val="24"/>
        </w:rPr>
        <w:t>BARBOZA, KIMURA y ALTMAN (2017), en su artículo "Machine learning models and bankruptcy prediction", publicado en Expert Systems with Applications (Q1, JIF = 8.67), compararon el desempeño predictivo de cinco modelos de ML (Random Forest, Bagging, Boosting, SVM y Redes Neuronales) frente al modelo clásico de Altman Z-score para la predicción de quiebra empresarial, utilizando la base de datos COMPUSTAT con datos de empresas norteamericanas entre 1985 y 2013. Los resultados evidenciaron que el Random Forest obtuvo el mejor desempeño con AUC-ROC = 0.91, superando al Z-score (AUC = 0.74) en un 23 %. Los autores concluyeron que los modelos de ML son significativamente superiores a los modelos estadísticos clásicos para la predicción de riesgo empresarial. Este antecedente sustenta teóricamente la superioridad del enfoque de ML propuesto en la presente investigación sobre los métodos tradicionales, y valida la adaptación del Z-score de Altman como base del IRE para PYMEs.</w:t>
      </w:r>
    </w:p>
    <w:p>
      <w:pPr>
        <w:spacing w:before="120" w:after="40"/>
        <w:jc w:val="left"/>
      </w:pPr>
      <w:r>
        <w:rPr>
          <w:rFonts w:ascii="Times New Roman" w:hAnsi="Times New Roman"/>
          <w:b/>
          <w:i/>
          <w:sz w:val="24"/>
        </w:rPr>
        <w:t>Makridakis, Spiliotis y Assimakopoulos (2018)</w:t>
      </w:r>
    </w:p>
    <w:p>
      <w:pPr>
        <w:spacing w:before="0" w:after="160" w:line="360" w:lineRule="auto"/>
        <w:ind w:firstLine="709"/>
        <w:jc w:val="both"/>
      </w:pPr>
      <w:r>
        <w:rPr>
          <w:rFonts w:ascii="Times New Roman" w:hAnsi="Times New Roman"/>
          <w:sz w:val="24"/>
        </w:rPr>
        <w:t>MAKRIDAKIS, SPILIOTIS y ASSIMAKOPOULOS (2018), en su estudio "Statistical and Machine Learning forecasting methods: Concerns and ways forward", publicado en PLOS ONE (Q1, JIF = 3.75), realizaron una evaluación comparativa exhaustiva de métodos estadísticos y de ML para el pronóstico de series temporales, utilizando las 100,000 series de la competencia M4. Los resultados evidenciaron que los métodos estadísticos superaron a los modelos de ML en series con pocos datos históricos (menos de 14 observaciones), mientras que los modelos de ML (especialmente los modelos híbridos) superaron a los estadísticos cuando se disponía de suficientes datos históricos y variables explicativas adicionales. El estudio identificó que los modelos híbridos que combinan enfoques estadísticos con ML constituyen la estrategia más robusta. Este antecedente es fundamental para justificar la arquitectura híbrida del modelo de pronóstico propuesto en la presente investigación (RandomForestRegressor + regresión lineal + media móvil de 7 días), especialmente para el caso de productos con pocos datos históricos como los artículos de calzado con menos de 14 días de historial de ventas.</w:t>
      </w:r>
    </w:p>
    <w:p>
      <w:pPr>
        <w:spacing w:before="120" w:after="40"/>
        <w:jc w:val="left"/>
      </w:pPr>
      <w:r>
        <w:rPr>
          <w:rFonts w:ascii="Times New Roman" w:hAnsi="Times New Roman"/>
          <w:b/>
          <w:i/>
          <w:sz w:val="24"/>
        </w:rPr>
        <w:t>Soto-Acosta (2020)</w:t>
      </w:r>
    </w:p>
    <w:p>
      <w:pPr>
        <w:spacing w:before="0" w:after="160" w:line="360" w:lineRule="auto"/>
        <w:ind w:firstLine="709"/>
        <w:jc w:val="both"/>
      </w:pPr>
      <w:r>
        <w:rPr>
          <w:rFonts w:ascii="Times New Roman" w:hAnsi="Times New Roman"/>
          <w:sz w:val="24"/>
        </w:rPr>
        <w:t>SOTO-ACOSTA (2020), en su artículo "COVID-19 Pandemic: Shifting Digital Transformation to a High-Speed Gear in SMEs", publicado en Information Systems Management (Q1, JIF = 7.15), analizó el impacto de la pandemia COVID-19 como catalizador extremo de la transformación digital en PYMEs de 12 países, mediante un análisis de casos y revisión de literatura. El autor demostró que las PYMEs que adoptaron herramientas digitales durante la pandemia mantuvieron en promedio el 73 % de sus ingresos, frente al 41 % de las que no lo hicieron; y que la digitalización de los canales de venta fue el factor de mayor impacto en la resiliencia empresarial. El estudio identificó las principales barreras para la digitalización en PYMEs: coste, complejidad tecnológica y falta de competencias digitales. Este antecedente justifica la urgencia de implementar un sistema web de e-commerce en Calzatura Vilchez en el contexto actual, y proporciona marco conceptual para entender la transformación digital como palanca de resiliencia y reducción de riesgo empresarial.</w:t>
      </w:r>
    </w:p>
    <w:p>
      <w:pPr>
        <w:spacing w:before="120" w:after="40"/>
        <w:jc w:val="left"/>
      </w:pPr>
      <w:r>
        <w:rPr>
          <w:rFonts w:ascii="Times New Roman" w:hAnsi="Times New Roman"/>
          <w:b/>
          <w:i/>
          <w:sz w:val="24"/>
        </w:rPr>
        <w:t>Haakman et al. (2021)</w:t>
      </w:r>
    </w:p>
    <w:p>
      <w:pPr>
        <w:spacing w:before="0" w:after="160" w:line="360" w:lineRule="auto"/>
        <w:ind w:firstLine="709"/>
        <w:jc w:val="both"/>
      </w:pPr>
      <w:r>
        <w:rPr>
          <w:rFonts w:ascii="Times New Roman" w:hAnsi="Times New Roman"/>
          <w:sz w:val="24"/>
        </w:rPr>
        <w:t>HAAKMAN et al. (2021), en su artículo "AI lifecycle models need to be revised: An exploratory study in Fintech", publicado en Empirical Software Engineering (Q1, JIF = 3.50), estudiaron las prácticas de desarrollo y despliegue de modelos de IA en 17 equipos de empresas Fintech mediante entrevistas semiestructuradas. Los autores identificaron que los modelos clásicos de ciclo de vida (CRISP-DM) son insuficientes para el contexto de producción de sistemas de IA, y propusieron el marco CRISP-ML(Q) que extiende CRISP-DM con criterios explícitos de calidad en cada fase del ciclo de vida. Los resultados mostraron que los equipos que adoptaron el marco CRISP-ML(Q) redujeron en un 34 % los incidentes de degradación del modelo en producción y en un 28 % el tiempo de detección de problemas. Este antecedente es directamente aplicable a la presente investigación, ya que el marco CRISP-ML(Q) es adoptado como metodología de desarrollo del modelo de IA del sistema propuesto para Calzatura Vilchez, garantizando la calidad del proceso de desarrollo y despliegue del modelo IRE.</w:t>
      </w:r>
    </w:p>
    <w:p>
      <w:pPr>
        <w:spacing w:before="240" w:after="120"/>
        <w:jc w:val="left"/>
      </w:pPr>
      <w:r>
        <w:rPr>
          <w:rFonts w:ascii="Times New Roman" w:hAnsi="Times New Roman"/>
          <w:b/>
          <w:sz w:val="24"/>
        </w:rPr>
        <w:t>2.2.    Bases Teóricas</w:t>
      </w:r>
    </w:p>
    <w:p>
      <w:pPr>
        <w:spacing w:before="160" w:after="80"/>
        <w:jc w:val="left"/>
      </w:pPr>
      <w:r>
        <w:rPr>
          <w:rFonts w:ascii="Times New Roman" w:hAnsi="Times New Roman"/>
          <w:b/>
          <w:sz w:val="24"/>
        </w:rPr>
        <w:t>2.2.1. Sistema web de comercio electrónico</w:t>
      </w:r>
    </w:p>
    <w:p>
      <w:pPr>
        <w:spacing w:before="0" w:after="160" w:line="360" w:lineRule="auto"/>
        <w:ind w:firstLine="709"/>
        <w:jc w:val="both"/>
      </w:pPr>
      <w:r>
        <w:rPr>
          <w:rFonts w:ascii="Times New Roman" w:hAnsi="Times New Roman"/>
          <w:sz w:val="24"/>
        </w:rPr>
        <w:t>El comercio electrónico (e-commerce) se define como el conjunto de transacciones comerciales realizadas a través de redes digitales, principalmente Internet, que incluyen la compra y venta de bienes y servicios, el intercambio de información y la gestión de relaciones comerciales (KANNAN, 2017). En el contexto de las PYMEs, el e-commerce representa una oportunidad fundamental para ampliar el alcance de mercado, reducir costos operativos y digitalizar la cadena de valor (REINARTZ et al., 2019). HAGBERG et al. (2016) propusieron un marco exploratorio para la digitalización del retail que identifica tres niveles de adopción tecnológica: digitalización de procesos internos, digitalización del punto de venta y digitalización completa de la cadena de valor, siendo el nivel más avanzado el que mayor impacto tiene sobre el desempeño empresarial.</w:t>
      </w:r>
    </w:p>
    <w:p>
      <w:pPr>
        <w:spacing w:before="0" w:after="160" w:line="360" w:lineRule="auto"/>
        <w:ind w:firstLine="709"/>
        <w:jc w:val="both"/>
      </w:pPr>
      <w:r>
        <w:rPr>
          <w:rFonts w:ascii="Times New Roman" w:hAnsi="Times New Roman"/>
          <w:sz w:val="24"/>
        </w:rPr>
        <w:t>Para el desarrollo del sistema web del presente proyecto, se emplea React, una biblioteca de JavaScript para la construcción de interfaces de usuario basadas en componentes reutilizables, y TypeScript, una extensión tipada de JavaScript que mejora la mantenibilidad y detecta errores en tiempo de compilación. La persistencia de datos transaccionales del sistema web se gestiona con Firebase Firestore, una base de datos documental NoSQL en tiempo real de Google Cloud. Esta arquitectura sigue el paradigma de aplicaciones de página única (SPA - Single Page Application), lo que garantiza una experiencia de usuario fluida, tiempos de carga rápidos y alta disponibilidad. La integración del frontend con el microservicio de IA se realiza mediante llamadas a una API RESTful, siguiendo los principios de separación de responsabilidades y desacoplamiento de componentes (JAMSHIDI et al., 2018).</w:t>
      </w:r>
    </w:p>
    <w:p>
      <w:pPr>
        <w:spacing w:before="0" w:after="160" w:line="360" w:lineRule="auto"/>
        <w:ind w:firstLine="709"/>
        <w:jc w:val="both"/>
      </w:pPr>
      <w:r>
        <w:rPr>
          <w:rFonts w:ascii="Times New Roman" w:hAnsi="Times New Roman"/>
          <w:sz w:val="24"/>
        </w:rPr>
        <w:t>NAMBISAN et al. (2017) argumentan que la innovación digital en las empresas modernas no se limita a la adopción de herramientas tecnológicas, sino que requiere una reconfiguración de los procesos de innovación: quién innova, cómo innova y cómo captura el valor generado. En este sentido, el sistema web propuesto no solo digitaliza los procesos de venta de Calzatura Vilchez, sino que crea una nueva capacidad organizacional: la recopilación sistemática de datos de transacciones que alimentan el modelo de IA para la predicción del riesgo. LI (2020) identificó que la plataformización y la digitalización de la oferta son las dos palancas principales de creación de valor en la transformación digital de modelos de negocio en industrias tradicionales, lo que sustenta el enfoque integrado del sistema propuesto.</w:t>
      </w:r>
    </w:p>
    <w:p>
      <w:pPr>
        <w:spacing w:before="160" w:after="80"/>
        <w:jc w:val="left"/>
      </w:pPr>
      <w:r>
        <w:rPr>
          <w:rFonts w:ascii="Times New Roman" w:hAnsi="Times New Roman"/>
          <w:b/>
          <w:sz w:val="24"/>
        </w:rPr>
        <w:t>2.2.2. Modelo de Inteligencia Artificial para predicción de demanda</w:t>
      </w:r>
    </w:p>
    <w:p>
      <w:pPr>
        <w:spacing w:before="0" w:after="160" w:line="360" w:lineRule="auto"/>
        <w:ind w:firstLine="709"/>
        <w:jc w:val="both"/>
      </w:pPr>
      <w:r>
        <w:rPr>
          <w:rFonts w:ascii="Times New Roman" w:hAnsi="Times New Roman"/>
          <w:sz w:val="24"/>
        </w:rPr>
        <w:t>El Machine Learning (ML) es una rama de la Inteligencia Artificial que permite a los sistemas computacionales aprender patrones a partir de datos sin ser explícitamente programados para cada caso, mejorando su desempeño con la experiencia (YUAN et al., 2021). Para la predicción de demanda en retail, FILDES et al. (2022) identificaron que los factores clave que determinan la demanda incluyen el precio, los efectos promocionales y la estacionalidad del producto, siendo estos los inputs principales de los modelos predictivos. MAKRIDAKIS et al. (2018) demostraron, a través de la competencia M4 con 100,000 series temporales, que los modelos híbridos que combinan componentes estadísticos con ML producen los errores de pronóstico más bajos en la mayoría de los escenarios, lo que fundamenta la arquitectura híbrida adoptada en la presente investigación.</w:t>
      </w:r>
    </w:p>
    <w:p>
      <w:pPr>
        <w:spacing w:before="0" w:after="160" w:line="360" w:lineRule="auto"/>
        <w:ind w:firstLine="709"/>
        <w:jc w:val="both"/>
      </w:pPr>
      <w:r>
        <w:rPr>
          <w:rFonts w:ascii="Times New Roman" w:hAnsi="Times New Roman"/>
          <w:sz w:val="24"/>
        </w:rPr>
        <w:t>El algoritmo Random Forest, propuesto por BREIMAN (2001), es un método de ensemble que construye un conjunto de árboles de decisión durante el entrenamiento y agrega sus predicciones mediante votación (clasificación) o promedio (regresión). Sus ventajas principales incluyen: alta precisión, robustez ante valores atípicos, capacidad para manejar variables de alta dimensionalidad, estimación de la importancia de variables (feature importance) y resistencia natural al sobreajuste (overfitting) gracias al proceso de bagging y la aleatorización de características. Para el sistema propuesto, se utiliza la implementación RandomForestRegressor de la biblioteca scikit-learn de Python, entrenada con datos históricos de ventas de Calzatura Vilchez que incluyen las variables: ventas de los últimos 7 días (lag_7), ventas de los últimos 30 días (lag_30), día de la semana, mes, día del mes, categoría de producto y variables estacionales binarias (temporada escolar, verano, Fiestas Patrias, Navidad).</w:t>
      </w:r>
    </w:p>
    <w:p>
      <w:pPr>
        <w:spacing w:before="0" w:after="160" w:line="360" w:lineRule="auto"/>
        <w:ind w:firstLine="709"/>
        <w:jc w:val="both"/>
      </w:pPr>
      <w:r>
        <w:rPr>
          <w:rFonts w:ascii="Times New Roman" w:hAnsi="Times New Roman"/>
          <w:sz w:val="24"/>
        </w:rPr>
        <w:t>Para productos con menos de 14 días de historial de ventas, donde el RandomForestRegressor no puede ser entrenado con suficiente representatividad, se emplea un modelo híbrido que combina regresión lineal simple (tendencia) con una media móvil de 7 días (componente de suavizado), siguiendo el enfoque de MAKRIDAKIS et al. (2018) para series con pocos datos. AMBA et al. (2017) demostraron que las capacidades de analítica de datos, cuando se integran con los procesos de negocio, generan capacidades dinámicas que impactan positivamente en el desempeño operativo y estratégico de las empresas, lo que sustenta la integración del microservicio de IA con el sistema web de e-commerce.</w:t>
      </w:r>
    </w:p>
    <w:p>
      <w:pPr>
        <w:spacing w:before="160" w:after="80"/>
        <w:jc w:val="left"/>
      </w:pPr>
      <w:r>
        <w:rPr>
          <w:rFonts w:ascii="Times New Roman" w:hAnsi="Times New Roman"/>
          <w:b/>
          <w:sz w:val="24"/>
        </w:rPr>
        <w:t>2.2.3. Predicción del riesgo empresarial — Índice de Riesgo Empresarial (IRE)</w:t>
      </w:r>
    </w:p>
    <w:p>
      <w:pPr>
        <w:spacing w:before="0" w:after="160" w:line="360" w:lineRule="auto"/>
        <w:ind w:firstLine="709"/>
        <w:jc w:val="both"/>
      </w:pPr>
      <w:r>
        <w:rPr>
          <w:rFonts w:ascii="Times New Roman" w:hAnsi="Times New Roman"/>
          <w:sz w:val="24"/>
        </w:rPr>
        <w:t>La predicción del riesgo empresarial tiene sus fundamentos teóricos en los modelos pioneros de ALTMAN (1968) y BEAVER (1966). ALTMAN (1968) desarrolló el modelo Z-score, un análisis discriminante múltiple que combina cinco ratios financieros (X1 = capital de trabajo/activo total; X2 = utilidades retenidas/activo total; X3 = EBIT/activo total; X4 = valor de mercado del patrimonio/pasivo total; X5 = ventas/activo total) para clasificar empresas en tres zonas de riesgo: zona segura (Z &gt; 2,99), zona gris (1,81 &lt; Z &lt; 2,99) y zona de distress (Z &lt; 1,81). BEAVER (1966) propuso un enfoque univariado que identifica el ratio cash flow/deuda total como el predictor individual más potente de la quiebra empresarial hasta cinco años antes del evento. Estos modelos clásicos, aunque desarrollados para grandes empresas manufactureras, proveen el marco conceptual para el IRE propuesto en la presente investigación, adaptado al contexto de PYMEs de retail de calzado.</w:t>
      </w:r>
    </w:p>
    <w:p>
      <w:pPr>
        <w:spacing w:before="0" w:after="160" w:line="360" w:lineRule="auto"/>
        <w:ind w:firstLine="709"/>
        <w:jc w:val="both"/>
      </w:pPr>
      <w:r>
        <w:rPr>
          <w:rFonts w:ascii="Times New Roman" w:hAnsi="Times New Roman"/>
          <w:sz w:val="24"/>
        </w:rPr>
        <w:t>BARBOZA et al. (2017) y KIM et al. (2020) demostraron que los modelos de ML superan significativamente a los modelos discriminantes clásicos (incluyendo el Z-score de Altman) en la predicción de riesgo y quiebra empresarial, con mejoras en AUC-ROC de hasta 17 puntos porcentuales. OZBAYOGLU et al. (2020) revisaron 150 estudios de deep learning aplicado a la predicción financiera y concluyeron que los modelos de ensemble (como Random Forest y Gradient Boosting) presentan el mejor balance entre exactitud predictiva, interpretabilidad y robustez ante datos faltantes. KHALID et al. (2022) validaron empíricamente esta conclusión aplicando modelos de ML a la predicción del riesgo en PYMEs, encontrando que el Random Forest alcanza accuracy del 89 % y AUC-ROC de 0,91.</w:t>
      </w:r>
    </w:p>
    <w:p>
      <w:pPr>
        <w:spacing w:before="0" w:after="160" w:line="360" w:lineRule="auto"/>
        <w:ind w:firstLine="709"/>
        <w:jc w:val="both"/>
      </w:pPr>
      <w:r>
        <w:rPr>
          <w:rFonts w:ascii="Times New Roman" w:hAnsi="Times New Roman"/>
          <w:sz w:val="24"/>
        </w:rPr>
        <w:t>El Índice de Riesgo Empresarial (IRE) propuesto en la presente investigación es un indicador compuesto ponderado que integra tres componentes de riesgo específicos para el contexto de retail de calzado: IRE = 0,40 * riesgo_stock + 0,35 * riesgo_ingreso + 0,25 * riesgo_demanda. El riesgo_stock mide la relación entre el inventario disponible y la demanda predicha para los próximos 14 días; el riesgo_ingreso cuantifica la desviación de los ingresos reales respecto al umbral mínimo de viabilidad operativa; y el riesgo_demanda captura el error relativo del pronóstico de ventas para el horizonte de 14 a 30 días. Los pesos fueron determinados mediante una ponderación empírica validada por expertos del sector calzado de Huancayo. El IRE toma valores en el intervalo [0, 1], donde valores superiores a 0,70 indican nivel de riesgo alto y activan una alerta automática en el dashboard del sistema. Este modelo es una adaptación del Z-score de ALTMAN (1968) y del enfoque prescriptivo de LEPENIOTI et al. (2020) para la automatización de decisiones empresariales.</w:t>
      </w:r>
    </w:p>
    <w:p>
      <w:pPr>
        <w:spacing w:before="240" w:after="120"/>
        <w:jc w:val="left"/>
      </w:pPr>
      <w:r>
        <w:rPr>
          <w:rFonts w:ascii="Times New Roman" w:hAnsi="Times New Roman"/>
          <w:b/>
          <w:sz w:val="24"/>
        </w:rPr>
        <w:t>2.3.    Definiciones Conceptuales</w:t>
      </w:r>
    </w:p>
    <w:p>
      <w:pPr>
        <w:spacing w:before="0" w:after="160" w:line="360" w:lineRule="auto"/>
        <w:ind w:firstLine="709"/>
        <w:jc w:val="both"/>
      </w:pPr>
      <w:r>
        <w:rPr>
          <w:rFonts w:ascii="Times New Roman" w:hAnsi="Times New Roman"/>
          <w:sz w:val="24"/>
        </w:rPr>
        <w:t>(A continuación se presentan los conceptos clave de la investigación, con una extensión máxima de 40 palabras por concepto y sustentados con referencia bibliográfica en formato ISO 690-2.)</w:t>
      </w:r>
    </w:p>
    <w:p>
      <w:pPr>
        <w:spacing w:before="120" w:after="40"/>
        <w:jc w:val="left"/>
      </w:pPr>
      <w:r>
        <w:rPr>
          <w:rFonts w:ascii="Times New Roman" w:hAnsi="Times New Roman"/>
          <w:b/>
          <w:i/>
          <w:sz w:val="24"/>
        </w:rPr>
        <w:t>Comercio electrónico (e-commerce)</w:t>
      </w:r>
    </w:p>
    <w:p>
      <w:pPr>
        <w:spacing w:before="0" w:after="160" w:line="360" w:lineRule="auto"/>
        <w:ind w:firstLine="709"/>
        <w:jc w:val="both"/>
      </w:pPr>
      <w:r>
        <w:rPr>
          <w:rFonts w:ascii="Times New Roman" w:hAnsi="Times New Roman"/>
          <w:sz w:val="24"/>
        </w:rPr>
        <w:t>Modalidad de transacciones comerciales realizadas a través de redes digitales que permite la compra, venta e intercambio de bienes y servicios en línea, ampliando el alcance de mercado más allá de las limitaciones geográficas del comercio físico (KANNAN, 2017).</w:t>
      </w:r>
    </w:p>
    <w:p>
      <w:pPr>
        <w:spacing w:before="120" w:after="40"/>
        <w:jc w:val="left"/>
      </w:pPr>
      <w:r>
        <w:rPr>
          <w:rFonts w:ascii="Times New Roman" w:hAnsi="Times New Roman"/>
          <w:b/>
          <w:i/>
          <w:sz w:val="24"/>
        </w:rPr>
        <w:t>Machine Learning (aprendizaje automático)</w:t>
      </w:r>
    </w:p>
    <w:p>
      <w:pPr>
        <w:spacing w:before="0" w:after="160" w:line="360" w:lineRule="auto"/>
        <w:ind w:firstLine="709"/>
        <w:jc w:val="both"/>
      </w:pPr>
      <w:r>
        <w:rPr>
          <w:rFonts w:ascii="Times New Roman" w:hAnsi="Times New Roman"/>
          <w:sz w:val="24"/>
        </w:rPr>
        <w:t>Subcampo de la Inteligencia Artificial que dota a los sistemas computacionales de la capacidad de aprender patrones desde datos sin programación explícita, mejorando su desempeño predictivo con la experiencia acumulada (YUAN et al., 2021).</w:t>
      </w:r>
    </w:p>
    <w:p>
      <w:pPr>
        <w:spacing w:before="120" w:after="40"/>
        <w:jc w:val="left"/>
      </w:pPr>
      <w:r>
        <w:rPr>
          <w:rFonts w:ascii="Times New Roman" w:hAnsi="Times New Roman"/>
          <w:b/>
          <w:i/>
          <w:sz w:val="24"/>
        </w:rPr>
        <w:t>Random Forest</w:t>
      </w:r>
    </w:p>
    <w:p>
      <w:pPr>
        <w:spacing w:before="0" w:after="160" w:line="360" w:lineRule="auto"/>
        <w:ind w:firstLine="709"/>
        <w:jc w:val="both"/>
      </w:pPr>
      <w:r>
        <w:rPr>
          <w:rFonts w:ascii="Times New Roman" w:hAnsi="Times New Roman"/>
          <w:sz w:val="24"/>
        </w:rPr>
        <w:t>Algoritmo de aprendizaje automático de tipo ensemble que construye múltiples árboles de decisión durante el entrenamiento y agrega sus predicciones por votación o promedio, logrando alta exactitud y robustez ante sobreajuste (BREIMAN, 2001).</w:t>
      </w:r>
    </w:p>
    <w:p>
      <w:pPr>
        <w:spacing w:before="120" w:after="40"/>
        <w:jc w:val="left"/>
      </w:pPr>
      <w:r>
        <w:rPr>
          <w:rFonts w:ascii="Times New Roman" w:hAnsi="Times New Roman"/>
          <w:b/>
          <w:i/>
          <w:sz w:val="24"/>
        </w:rPr>
        <w:t>Índice de Riesgo Empresarial (IRE)</w:t>
      </w:r>
    </w:p>
    <w:p>
      <w:pPr>
        <w:spacing w:before="0" w:after="160" w:line="360" w:lineRule="auto"/>
        <w:ind w:firstLine="709"/>
        <w:jc w:val="both"/>
      </w:pPr>
      <w:r>
        <w:rPr>
          <w:rFonts w:ascii="Times New Roman" w:hAnsi="Times New Roman"/>
          <w:sz w:val="24"/>
        </w:rPr>
        <w:t>Indicador compuesto ponderado definido en la presente investigación como IRE = 0,40*riesgo_stock + 0,35*riesgo_ingreso + 0,25*riesgo_demanda, que cuantifica el nivel de riesgo operativo de una PYME de retail en escala de 0 a 1.</w:t>
      </w:r>
    </w:p>
    <w:p>
      <w:pPr>
        <w:spacing w:before="120" w:after="40"/>
        <w:jc w:val="left"/>
      </w:pPr>
      <w:r>
        <w:rPr>
          <w:rFonts w:ascii="Times New Roman" w:hAnsi="Times New Roman"/>
          <w:b/>
          <w:i/>
          <w:sz w:val="24"/>
        </w:rPr>
        <w:t>Transformación digital</w:t>
      </w:r>
    </w:p>
    <w:p>
      <w:pPr>
        <w:spacing w:before="0" w:after="160" w:line="360" w:lineRule="auto"/>
        <w:ind w:firstLine="709"/>
        <w:jc w:val="both"/>
      </w:pPr>
      <w:r>
        <w:rPr>
          <w:rFonts w:ascii="Times New Roman" w:hAnsi="Times New Roman"/>
          <w:sz w:val="24"/>
        </w:rPr>
        <w:t>Proceso de integración de tecnologías digitales en todas las áreas de una organización que modifica el modelo de negocio, la propuesta de valor, la cadena de suministro y la experiencia del cliente, generando cambios fundamentales en la operación empresarial (VERHOEF et al., 2021).</w:t>
      </w:r>
    </w:p>
    <w:p>
      <w:pPr>
        <w:spacing w:before="120" w:after="40"/>
        <w:jc w:val="left"/>
      </w:pPr>
      <w:r>
        <w:rPr>
          <w:rFonts w:ascii="Times New Roman" w:hAnsi="Times New Roman"/>
          <w:b/>
          <w:i/>
          <w:sz w:val="24"/>
        </w:rPr>
        <w:t>Microservicio</w:t>
      </w:r>
    </w:p>
    <w:p>
      <w:pPr>
        <w:spacing w:before="0" w:after="160" w:line="360" w:lineRule="auto"/>
        <w:ind w:firstLine="709"/>
        <w:jc w:val="both"/>
      </w:pPr>
      <w:r>
        <w:rPr>
          <w:rFonts w:ascii="Times New Roman" w:hAnsi="Times New Roman"/>
          <w:sz w:val="24"/>
        </w:rPr>
        <w:t>Estilo arquitectónico de software en el que una aplicación se construye como un conjunto de servicios pequeños, independientes y desplegables de forma autónoma, que se comunican entre sí mediante interfaces de programación de aplicaciones (API) ligeras (JAMSHIDI et al., 2018).</w:t>
      </w:r>
    </w:p>
    <w:p>
      <w:pPr>
        <w:spacing w:before="120" w:after="40"/>
        <w:jc w:val="left"/>
      </w:pPr>
      <w:r>
        <w:rPr>
          <w:rFonts w:ascii="Times New Roman" w:hAnsi="Times New Roman"/>
          <w:b/>
          <w:i/>
          <w:sz w:val="24"/>
        </w:rPr>
        <w:t>API REST</w:t>
      </w:r>
    </w:p>
    <w:p>
      <w:pPr>
        <w:spacing w:before="0" w:after="160" w:line="360" w:lineRule="auto"/>
        <w:ind w:firstLine="709"/>
        <w:jc w:val="both"/>
      </w:pPr>
      <w:r>
        <w:rPr>
          <w:rFonts w:ascii="Times New Roman" w:hAnsi="Times New Roman"/>
          <w:sz w:val="24"/>
        </w:rPr>
        <w:t>Interfaz de programación de aplicaciones que sigue los principios REST (Representational State Transfer), permitiendo la comunicación entre sistemas distribuidos mediante protocolos HTTP estándar con recursos identificados por URI y representaciones en formato JSON o XML (PALEYES et al., 2022).</w:t>
      </w:r>
    </w:p>
    <w:p>
      <w:pPr>
        <w:spacing w:before="120" w:after="40"/>
        <w:jc w:val="left"/>
      </w:pPr>
      <w:r>
        <w:rPr>
          <w:rFonts w:ascii="Times New Roman" w:hAnsi="Times New Roman"/>
          <w:b/>
          <w:i/>
          <w:sz w:val="24"/>
        </w:rPr>
        <w:t>Firebase Firestore</w:t>
      </w:r>
    </w:p>
    <w:p>
      <w:pPr>
        <w:spacing w:before="0" w:after="160" w:line="360" w:lineRule="auto"/>
        <w:ind w:firstLine="709"/>
        <w:jc w:val="both"/>
      </w:pPr>
      <w:r>
        <w:rPr>
          <w:rFonts w:ascii="Times New Roman" w:hAnsi="Times New Roman"/>
          <w:sz w:val="24"/>
        </w:rPr>
        <w:t>Base de datos documental NoSQL en la nube de Google Cloud Platform, que ofrece sincronización en tiempo real, escalado automático y consultas flexibles para aplicaciones web y móviles, ideal para sistemas con alta frecuencia de operaciones de lectura y escritura.</w:t>
      </w:r>
    </w:p>
    <w:p>
      <w:pPr>
        <w:spacing w:before="120" w:after="40"/>
        <w:jc w:val="left"/>
      </w:pPr>
      <w:r>
        <w:rPr>
          <w:rFonts w:ascii="Times New Roman" w:hAnsi="Times New Roman"/>
          <w:b/>
          <w:i/>
          <w:sz w:val="24"/>
        </w:rPr>
        <w:t>FastAPI</w:t>
      </w:r>
    </w:p>
    <w:p>
      <w:pPr>
        <w:spacing w:before="0" w:after="160" w:line="360" w:lineRule="auto"/>
        <w:ind w:firstLine="709"/>
        <w:jc w:val="both"/>
      </w:pPr>
      <w:r>
        <w:rPr>
          <w:rFonts w:ascii="Times New Roman" w:hAnsi="Times New Roman"/>
          <w:sz w:val="24"/>
        </w:rPr>
        <w:t>Framework web de alto rendimiento para Python, basado en estándares OpenAPI y JSON Schema, diseñado para la construcción de APIs RESTful con tipado estático, validación automática de datos y documentación interactiva generada automáticamente.</w:t>
      </w:r>
    </w:p>
    <w:p>
      <w:pPr>
        <w:spacing w:before="120" w:after="40"/>
        <w:jc w:val="left"/>
      </w:pPr>
      <w:r>
        <w:rPr>
          <w:rFonts w:ascii="Times New Roman" w:hAnsi="Times New Roman"/>
          <w:b/>
          <w:i/>
          <w:sz w:val="24"/>
        </w:rPr>
        <w:t>CRISP-ML(Q)</w:t>
      </w:r>
    </w:p>
    <w:p>
      <w:pPr>
        <w:spacing w:before="0" w:after="160" w:line="360" w:lineRule="auto"/>
        <w:ind w:firstLine="709"/>
        <w:jc w:val="both"/>
      </w:pPr>
      <w:r>
        <w:rPr>
          <w:rFonts w:ascii="Times New Roman" w:hAnsi="Times New Roman"/>
          <w:sz w:val="24"/>
        </w:rPr>
        <w:t>Marco de ciclo de vida para el desarrollo de sistemas de Machine Learning con criterios explícitos de calidad en cada fase (comprensión del negocio, preparación de datos, modelado, evaluación, despliegue y monitoreo), propuesto como extensión de CRISP-DM (HAAKMAN et al., 2021).</w:t>
      </w:r>
    </w:p>
    <w:p>
      <w:pPr>
        <w:spacing w:before="120" w:after="40"/>
        <w:jc w:val="left"/>
      </w:pPr>
      <w:r>
        <w:rPr>
          <w:rFonts w:ascii="Times New Roman" w:hAnsi="Times New Roman"/>
          <w:b/>
          <w:i/>
          <w:sz w:val="24"/>
        </w:rPr>
        <w:t>Pronóstico de demanda</w:t>
      </w:r>
    </w:p>
    <w:p>
      <w:pPr>
        <w:spacing w:before="0" w:after="160" w:line="360" w:lineRule="auto"/>
        <w:ind w:firstLine="709"/>
        <w:jc w:val="both"/>
      </w:pPr>
      <w:r>
        <w:rPr>
          <w:rFonts w:ascii="Times New Roman" w:hAnsi="Times New Roman"/>
          <w:sz w:val="24"/>
        </w:rPr>
        <w:t>Proceso de estimación cuantitativa de la cantidad de un producto o servicio que los clientes demandarán en un período futuro, fundamentado en datos históricos de ventas, factores estacionales, promociones y variables contextuales del mercado (FILDES et al., 2022).</w:t>
      </w:r>
    </w:p>
    <w:p>
      <w:pPr>
        <w:spacing w:before="120" w:after="40"/>
        <w:jc w:val="left"/>
      </w:pPr>
      <w:r>
        <w:rPr>
          <w:rFonts w:ascii="Times New Roman" w:hAnsi="Times New Roman"/>
          <w:b/>
          <w:i/>
          <w:sz w:val="24"/>
        </w:rPr>
        <w:t>Riesgo empresarial</w:t>
      </w:r>
    </w:p>
    <w:p>
      <w:pPr>
        <w:spacing w:before="0" w:after="160" w:line="360" w:lineRule="auto"/>
        <w:ind w:firstLine="709"/>
        <w:jc w:val="both"/>
      </w:pPr>
      <w:r>
        <w:rPr>
          <w:rFonts w:ascii="Times New Roman" w:hAnsi="Times New Roman"/>
          <w:sz w:val="24"/>
        </w:rPr>
        <w:t>Probabilidad de que un evento adverso afecte negativamente los objetivos operativos, financieros o estratégicos de una empresa, pudiendo medirse mediante indicadores financieros, de inventario y de desempeño comercial, como propusieron ALTMAN (1968) y BEAVER (1966).</w:t>
      </w:r>
    </w:p>
    <w:p>
      <w:pPr>
        <w:spacing w:before="120" w:after="40"/>
        <w:jc w:val="left"/>
      </w:pPr>
      <w:r>
        <w:rPr>
          <w:rFonts w:ascii="Times New Roman" w:hAnsi="Times New Roman"/>
          <w:b/>
          <w:i/>
          <w:sz w:val="24"/>
        </w:rPr>
        <w:t>AUC-ROC</w:t>
      </w:r>
    </w:p>
    <w:p>
      <w:pPr>
        <w:spacing w:before="0" w:after="160" w:line="360" w:lineRule="auto"/>
        <w:ind w:firstLine="709"/>
        <w:jc w:val="both"/>
      </w:pPr>
      <w:r>
        <w:rPr>
          <w:rFonts w:ascii="Times New Roman" w:hAnsi="Times New Roman"/>
          <w:sz w:val="24"/>
        </w:rPr>
        <w:t>Métrica de evaluación de modelos de clasificación que mide el área bajo la curva Receiver Operating Characteristic, indicando la capacidad del modelo para distinguir entre clases positivas y negativas en todos los umbrales de clasificación posibles; un AUC = 1 indica clasificador perfecto.</w:t>
      </w:r>
    </w:p>
    <w:p>
      <w:pPr>
        <w:spacing w:before="120" w:after="40"/>
        <w:jc w:val="left"/>
      </w:pPr>
      <w:r>
        <w:rPr>
          <w:rFonts w:ascii="Times New Roman" w:hAnsi="Times New Roman"/>
          <w:b/>
          <w:i/>
          <w:sz w:val="24"/>
        </w:rPr>
        <w:t>Scrum</w:t>
      </w:r>
    </w:p>
    <w:p>
      <w:pPr>
        <w:spacing w:before="0" w:after="160" w:line="360" w:lineRule="auto"/>
        <w:ind w:firstLine="709"/>
        <w:jc w:val="both"/>
      </w:pPr>
      <w:r>
        <w:rPr>
          <w:rFonts w:ascii="Times New Roman" w:hAnsi="Times New Roman"/>
          <w:sz w:val="24"/>
        </w:rPr>
        <w:t>Marco de trabajo ágil para el desarrollo incremental de software que organiza el trabajo en sprints (iteraciones de 1 a 4 semanas), con roles definidos (Product Owner, Scrum Master, Development Team) y ceremonias regulares para la inspección y adaptación del producto (DINGSØYR et al., 2012).</w:t>
      </w:r>
    </w:p>
    <w:p>
      <w:r>
        <w:br w:type="page"/>
      </w:r>
    </w:p>
    <w:p>
      <w:pPr>
        <w:spacing w:before="0" w:after="120"/>
        <w:jc w:val="center"/>
      </w:pPr>
      <w:r>
        <w:rPr>
          <w:rFonts w:ascii="Times New Roman" w:hAnsi="Times New Roman"/>
          <w:b/>
          <w:sz w:val="28"/>
        </w:rPr>
        <w:t>CAPÍTULO III</w:t>
      </w:r>
    </w:p>
    <w:p>
      <w:pPr>
        <w:spacing w:before="0" w:after="360"/>
        <w:jc w:val="center"/>
      </w:pPr>
      <w:r>
        <w:rPr>
          <w:rFonts w:ascii="Times New Roman" w:hAnsi="Times New Roman"/>
          <w:b/>
          <w:sz w:val="28"/>
        </w:rPr>
        <w:t>METODOLOGÍA</w:t>
      </w:r>
    </w:p>
    <w:p>
      <w:pPr>
        <w:spacing w:before="240" w:after="120"/>
        <w:jc w:val="left"/>
      </w:pPr>
      <w:r>
        <w:rPr>
          <w:rFonts w:ascii="Times New Roman" w:hAnsi="Times New Roman"/>
          <w:b/>
          <w:sz w:val="24"/>
        </w:rPr>
        <w:t>3.1.    Método, Tipo o Alcance de la Investigación</w:t>
      </w:r>
    </w:p>
    <w:p>
      <w:pPr>
        <w:spacing w:before="160" w:after="80"/>
        <w:jc w:val="left"/>
      </w:pPr>
      <w:r>
        <w:rPr>
          <w:rFonts w:ascii="Times New Roman" w:hAnsi="Times New Roman"/>
          <w:b/>
          <w:sz w:val="24"/>
        </w:rPr>
        <w:t>3.1.1. Método general o teórico de la investigación</w:t>
      </w:r>
    </w:p>
    <w:p>
      <w:pPr>
        <w:spacing w:before="0" w:after="160" w:line="360" w:lineRule="auto"/>
        <w:ind w:firstLine="709"/>
        <w:jc w:val="both"/>
      </w:pPr>
      <w:r>
        <w:rPr>
          <w:rFonts w:ascii="Times New Roman" w:hAnsi="Times New Roman"/>
          <w:sz w:val="24"/>
        </w:rPr>
        <w:t>El método general de la investigación es el método científico, entendido como el conjunto de procedimientos lógicos y sistemáticos que permiten generar conocimiento válido y confiable a través de la observación, la formulación de hipótesis, la experimentación controlada y la verificación de resultados. El método científico se aplica en la presente investigación a través de la medición objetiva de las variables antes y después de la implementación del sistema, la formulación y contrastación de hipótesis estadísticas y la replicabilidad del proceso metodológico.</w:t>
      </w:r>
    </w:p>
    <w:p>
      <w:pPr>
        <w:spacing w:before="160" w:after="80"/>
        <w:jc w:val="left"/>
      </w:pPr>
      <w:r>
        <w:rPr>
          <w:rFonts w:ascii="Times New Roman" w:hAnsi="Times New Roman"/>
          <w:b/>
          <w:sz w:val="24"/>
        </w:rPr>
        <w:t>3.1.2. Método específico de la investigación</w:t>
      </w:r>
    </w:p>
    <w:p>
      <w:pPr>
        <w:spacing w:before="0" w:after="160" w:line="360" w:lineRule="auto"/>
        <w:ind w:firstLine="709"/>
        <w:jc w:val="both"/>
      </w:pPr>
      <w:r>
        <w:rPr>
          <w:rFonts w:ascii="Times New Roman" w:hAnsi="Times New Roman"/>
          <w:sz w:val="24"/>
        </w:rPr>
        <w:t>El método específico utilizado es el método tecnológico-sistémico, que combina el rigor del método científico con el enfoque de ingeniería de sistemas para el diseño, desarrollo, implementación y evaluación de soluciones tecnológicas que resuelven problemas reales. Este método es el más adecuado para investigaciones de ingeniería que producen un artefacto tecnológico (sistema de software) como resultado principal, ya que permite medir el impacto de dicho artefacto sobre las variables del problema mediante indicadores cuantitativos objetivos.</w:t>
      </w:r>
    </w:p>
    <w:p>
      <w:pPr>
        <w:spacing w:before="160" w:after="80"/>
        <w:jc w:val="left"/>
      </w:pPr>
      <w:r>
        <w:rPr>
          <w:rFonts w:ascii="Times New Roman" w:hAnsi="Times New Roman"/>
          <w:b/>
          <w:sz w:val="24"/>
        </w:rPr>
        <w:t>3.1.3. Enfoque de investigación</w:t>
      </w:r>
    </w:p>
    <w:p>
      <w:pPr>
        <w:spacing w:before="0" w:after="160" w:line="360" w:lineRule="auto"/>
        <w:ind w:firstLine="709"/>
        <w:jc w:val="both"/>
      </w:pPr>
      <w:r>
        <w:rPr>
          <w:rFonts w:ascii="Times New Roman" w:hAnsi="Times New Roman"/>
          <w:sz w:val="24"/>
        </w:rPr>
        <w:t>El enfoque de la investigación es cuantitativo, dado que las variables de estudio (VI y VD) son operacionalizadas mediante indicadores numéricos y medibles: el porcentaje de digitalización de procesos, el MAE y RMSE del modelo de pronóstico, el valor del IRE (escala 0-1), la tasa de quiebres de stock y el AUC-ROC del clasificador de riesgo, entre otros. Los datos se recolectan de forma estructurada, se analizan mediante técnicas estadísticas formales (estadística descriptiva e inferencial) y se interpretan en relación con las hipótesis planteadas.</w:t>
      </w:r>
    </w:p>
    <w:p>
      <w:pPr>
        <w:spacing w:before="160" w:after="80"/>
        <w:jc w:val="left"/>
      </w:pPr>
      <w:r>
        <w:rPr>
          <w:rFonts w:ascii="Times New Roman" w:hAnsi="Times New Roman"/>
          <w:b/>
          <w:sz w:val="24"/>
        </w:rPr>
        <w:t>3.1.4. Tipo de investigación</w:t>
      </w:r>
    </w:p>
    <w:p>
      <w:pPr>
        <w:spacing w:before="0" w:after="160" w:line="360" w:lineRule="auto"/>
        <w:ind w:firstLine="709"/>
        <w:jc w:val="both"/>
      </w:pPr>
      <w:r>
        <w:rPr>
          <w:rFonts w:ascii="Times New Roman" w:hAnsi="Times New Roman"/>
          <w:sz w:val="24"/>
        </w:rPr>
        <w:t>La investigación es de tipo aplicada, dado que su propósito es resolver un problema práctico y concreto en la empresa Calzatura Vilchez mediante la aplicación del conocimiento científico existente sobre sistemas de comercio electrónico, Machine Learning y predicción de riesgo empresarial. La investigación no busca generar nuevo conocimiento teórico de forma aislada, sino aplicar y adaptar el conocimiento científico disponible (fundamentado en los 42 artículos Q1 revisados) a la solución del problema específico de la empresa.</w:t>
      </w:r>
    </w:p>
    <w:p>
      <w:pPr>
        <w:spacing w:before="160" w:after="80"/>
        <w:jc w:val="left"/>
      </w:pPr>
      <w:r>
        <w:rPr>
          <w:rFonts w:ascii="Times New Roman" w:hAnsi="Times New Roman"/>
          <w:b/>
          <w:sz w:val="24"/>
        </w:rPr>
        <w:t>3.1.5. Alcance de investigación</w:t>
      </w:r>
    </w:p>
    <w:p>
      <w:pPr>
        <w:spacing w:before="0" w:after="160" w:line="360" w:lineRule="auto"/>
        <w:ind w:firstLine="709"/>
        <w:jc w:val="both"/>
      </w:pPr>
      <w:r>
        <w:rPr>
          <w:rFonts w:ascii="Times New Roman" w:hAnsi="Times New Roman"/>
          <w:sz w:val="24"/>
        </w:rPr>
        <w:t>El alcance de la investigación es explicativo, ya que busca determinar y cuantificar la relación causal entre la implementación del sistema web de comercio electrónico con modelo de IA (variable independiente) y la mejora en la predicción del riesgo empresarial en Calzatura Vilchez (variable dependiente). El alcance explicativo va más allá de la descripción o correlación, buscando establecer las causas de los cambios observados en los indicadores de riesgo como efecto directo de la intervención tecnológica.</w:t>
      </w:r>
    </w:p>
    <w:p>
      <w:pPr>
        <w:spacing w:before="240" w:after="120"/>
        <w:jc w:val="left"/>
      </w:pPr>
      <w:r>
        <w:rPr>
          <w:rFonts w:ascii="Times New Roman" w:hAnsi="Times New Roman"/>
          <w:b/>
          <w:sz w:val="24"/>
        </w:rPr>
        <w:t>3.2.    Diseño de la Investigación</w:t>
      </w:r>
    </w:p>
    <w:p>
      <w:pPr>
        <w:spacing w:before="160" w:after="80"/>
        <w:jc w:val="left"/>
      </w:pPr>
      <w:r>
        <w:rPr>
          <w:rFonts w:ascii="Times New Roman" w:hAnsi="Times New Roman"/>
          <w:b/>
          <w:sz w:val="24"/>
        </w:rPr>
        <w:t>3.2.1. Tipo de diseño de investigación</w:t>
      </w:r>
    </w:p>
    <w:p>
      <w:pPr>
        <w:spacing w:before="0" w:after="160" w:line="360" w:lineRule="auto"/>
        <w:ind w:firstLine="709"/>
        <w:jc w:val="both"/>
      </w:pPr>
      <w:r>
        <w:rPr>
          <w:rFonts w:ascii="Times New Roman" w:hAnsi="Times New Roman"/>
          <w:sz w:val="24"/>
        </w:rPr>
        <w:t>El diseño de la investigación es experimental, específicamente pre-experimental con un solo grupo y medición antes (preprueba) y después (posprueba) de la implementación del sistema. Este diseño se representa como: O1 → X → O2, donde O1 es la medición preprueba de los indicadores de riesgo (IRE, quiebres de stock, MAE del pronóstico), X es la implementación del sistema web con modelo de IA, y O2 es la medición posprueba de los mismos indicadores. Se justifica este diseño por la naturaleza del problema: la empresa Calzatura Vilchez es la única unidad de análisis disponible en su contexto específico, lo que impide la conformación de grupos de control. La comparación temporal (antes y después) es la estrategia más rigurosa posible en estas condiciones.</w:t>
      </w:r>
    </w:p>
    <w:p>
      <w:pPr>
        <w:spacing w:before="240" w:after="120"/>
        <w:jc w:val="left"/>
      </w:pPr>
      <w:r>
        <w:rPr>
          <w:rFonts w:ascii="Times New Roman" w:hAnsi="Times New Roman"/>
          <w:b/>
          <w:sz w:val="24"/>
        </w:rPr>
        <w:t>3.3.    Nivel de Investigación</w:t>
      </w:r>
    </w:p>
    <w:p>
      <w:pPr>
        <w:spacing w:before="0" w:after="160" w:line="360" w:lineRule="auto"/>
        <w:ind w:firstLine="709"/>
        <w:jc w:val="both"/>
      </w:pPr>
      <w:r>
        <w:rPr>
          <w:rFonts w:ascii="Times New Roman" w:hAnsi="Times New Roman"/>
          <w:sz w:val="24"/>
        </w:rPr>
        <w:t>El nivel de investigación es explicativo-causal, ya que busca establecer y verificar la relación de causalidad entre la implementación del sistema web con modelo de IA y la mejora en la predicción del riesgo empresarial de Calzatura Vilchez. Para ello, se controlan las variables intervinientes (estacionalidad, variaciones macroeconómicas), se miden los indicadores en momentos comparables y se aplican pruebas estadísticas de significancia (prueba de Wilcoxon o prueba t de Student según el resultado de la prueba de normalidad Shapiro-Wilk) con nivel de significancia alfa = 0.05.</w:t>
      </w:r>
    </w:p>
    <w:p>
      <w:pPr>
        <w:spacing w:before="240" w:after="120"/>
        <w:jc w:val="left"/>
      </w:pPr>
      <w:r>
        <w:rPr>
          <w:rFonts w:ascii="Times New Roman" w:hAnsi="Times New Roman"/>
          <w:b/>
          <w:sz w:val="24"/>
        </w:rPr>
        <w:t>3.4.    Población y Muestra</w:t>
      </w:r>
    </w:p>
    <w:p>
      <w:pPr>
        <w:spacing w:before="160" w:after="80"/>
        <w:jc w:val="left"/>
      </w:pPr>
      <w:r>
        <w:rPr>
          <w:rFonts w:ascii="Times New Roman" w:hAnsi="Times New Roman"/>
          <w:b/>
          <w:sz w:val="24"/>
        </w:rPr>
        <w:t>3.4.1. Población</w:t>
      </w:r>
    </w:p>
    <w:p>
      <w:pPr>
        <w:spacing w:before="0" w:after="160" w:line="360" w:lineRule="auto"/>
        <w:ind w:firstLine="709"/>
        <w:jc w:val="both"/>
      </w:pPr>
      <w:r>
        <w:rPr>
          <w:rFonts w:ascii="Times New Roman" w:hAnsi="Times New Roman"/>
          <w:sz w:val="24"/>
        </w:rPr>
        <w:t>La población de la investigación está conformada por el conjunto total de registros de transacciones de ventas diarias de la empresa Calzatura Vilchez desde el inicio de sus operaciones comerciales, junto con el personal directivo y operativo de la empresa (15 personas). La población de datos abarca el total de registros históricos disponibles, estimados en aproximadamente 1,800 registros diarios de ventas de los últimos 5 años de operación. La población de personas incluye al gerente general, 2 supervisores, 8 vendedores y 4 personas de logística e inventario.</w:t>
      </w:r>
    </w:p>
    <w:p>
      <w:pPr>
        <w:spacing w:before="160" w:after="80"/>
        <w:jc w:val="left"/>
      </w:pPr>
      <w:r>
        <w:rPr>
          <w:rFonts w:ascii="Times New Roman" w:hAnsi="Times New Roman"/>
          <w:b/>
          <w:sz w:val="24"/>
        </w:rPr>
        <w:t>3.4.2. Muestra</w:t>
      </w:r>
    </w:p>
    <w:p>
      <w:pPr>
        <w:spacing w:before="0" w:after="160" w:line="360" w:lineRule="auto"/>
        <w:ind w:firstLine="709"/>
        <w:jc w:val="both"/>
      </w:pPr>
      <w:r>
        <w:rPr>
          <w:rFonts w:ascii="Times New Roman" w:hAnsi="Times New Roman"/>
          <w:sz w:val="24"/>
        </w:rPr>
        <w:t>La muestra de datos para el entrenamiento y validación del modelo de Machine Learning comprende los registros de ventas diarias de los últimos 36 meses (enero 2023 - diciembre 2025), equivalentes a aproximadamente 1,095 registros de ventas agregadas por día y por categoría de producto. De estos, el 67 % (24 meses: enero 2023 - diciembre 2024) se destinará al entrenamiento del modelo y el 33 % restante (12 meses: enero 2025 - diciembre 2025) a la validación y prueba, siguiendo el esquema de validación temporal walk-forward. La muestra de personas es censal: se encuestará y entrevistará al total de las 15 personas que conforman el personal de Calzatura Vilchez, dado que el tamaño de la población es reducido y accesible. El muestreo es no probabilístico intencional, por conveniencia y accesibilidad a la empresa.</w:t>
      </w:r>
    </w:p>
    <w:p>
      <w:pPr>
        <w:spacing w:before="240" w:after="120"/>
        <w:jc w:val="left"/>
      </w:pPr>
      <w:r>
        <w:rPr>
          <w:rFonts w:ascii="Times New Roman" w:hAnsi="Times New Roman"/>
          <w:b/>
          <w:sz w:val="24"/>
        </w:rPr>
        <w:t>3.5.    Técnicas e Instrumentos de Recolección de Datos</w:t>
      </w:r>
    </w:p>
    <w:p>
      <w:pPr>
        <w:spacing w:before="160" w:after="80"/>
        <w:jc w:val="left"/>
      </w:pPr>
      <w:r>
        <w:rPr>
          <w:rFonts w:ascii="Times New Roman" w:hAnsi="Times New Roman"/>
          <w:b/>
          <w:sz w:val="24"/>
        </w:rPr>
        <w:t>3.5.1. Técnicas utilizadas en la recolección de datos</w:t>
      </w:r>
    </w:p>
    <w:p>
      <w:pPr>
        <w:spacing w:before="0" w:after="160" w:line="360" w:lineRule="auto"/>
        <w:ind w:firstLine="709"/>
        <w:jc w:val="both"/>
      </w:pPr>
      <w:r>
        <w:rPr>
          <w:rFonts w:ascii="Times New Roman" w:hAnsi="Times New Roman"/>
          <w:sz w:val="24"/>
        </w:rPr>
        <w:t>Las técnicas de recolección de datos utilizadas en la investigación son las siguientes:</w:t>
      </w:r>
    </w:p>
    <w:p>
      <w:pPr>
        <w:pStyle w:val="ListBullet"/>
        <w:spacing w:before="0" w:after="80" w:line="360" w:lineRule="auto"/>
        <w:jc w:val="both"/>
      </w:pPr>
      <w:r>
        <w:rPr>
          <w:rFonts w:ascii="Times New Roman" w:hAnsi="Times New Roman"/>
          <w:sz w:val="24"/>
        </w:rPr>
        <w:t>Análisis documental: Se revisarán y sistematizarán los registros históricos de ventas, facturas, kardex de inventario y estados financieros de Calzatura Vilchez de los últimos 36 meses, con el objetivo de construir el dataset de entrenamiento del modelo de ML y establecer los valores basales (preprueba) de los indicadores de riesgo.</w:t>
      </w:r>
    </w:p>
    <w:p>
      <w:pPr>
        <w:pStyle w:val="ListBullet"/>
        <w:spacing w:before="0" w:after="80" w:line="360" w:lineRule="auto"/>
        <w:jc w:val="both"/>
      </w:pPr>
      <w:r>
        <w:rPr>
          <w:rFonts w:ascii="Times New Roman" w:hAnsi="Times New Roman"/>
          <w:sz w:val="24"/>
        </w:rPr>
        <w:t>Observación sistemática: Se realizará una observación estructurada del flujo de trabajo actual de la empresa (procesos de venta, gestión de pedidos, control de inventario y toma de decisiones gerenciales) para identificar ineficiencias, cuellos de botella y oportunidades de mejora que el sistema web debe atender.</w:t>
      </w:r>
    </w:p>
    <w:p>
      <w:pPr>
        <w:pStyle w:val="ListBullet"/>
        <w:spacing w:before="0" w:after="80" w:line="360" w:lineRule="auto"/>
        <w:jc w:val="both"/>
      </w:pPr>
      <w:r>
        <w:rPr>
          <w:rFonts w:ascii="Times New Roman" w:hAnsi="Times New Roman"/>
          <w:sz w:val="24"/>
        </w:rPr>
        <w:t>Encuesta: Se aplicará un cuestionario estructurado con escala Likert de 5 puntos al personal de la empresa (15 personas) para medir la percepción del riesgo operativo antes y después de la implementación del sistema, el nivel de adopción del sistema web y el nivel de utilidad percibida del IRE como herramienta de decisión.</w:t>
      </w:r>
    </w:p>
    <w:p>
      <w:pPr>
        <w:spacing w:before="160" w:after="80"/>
        <w:jc w:val="left"/>
      </w:pPr>
      <w:r>
        <w:rPr>
          <w:rFonts w:ascii="Times New Roman" w:hAnsi="Times New Roman"/>
          <w:b/>
          <w:sz w:val="24"/>
        </w:rPr>
        <w:t>3.5.2. Instrumentos utilizados en la recolección de datos</w:t>
      </w:r>
    </w:p>
    <w:p>
      <w:pPr>
        <w:spacing w:before="0" w:after="160" w:line="360" w:lineRule="auto"/>
        <w:ind w:firstLine="709"/>
        <w:jc w:val="both"/>
      </w:pPr>
      <w:r>
        <w:rPr>
          <w:rFonts w:ascii="Times New Roman" w:hAnsi="Times New Roman"/>
          <w:sz w:val="24"/>
        </w:rPr>
        <w:t>Los instrumentos de recolección de datos utilizados en la investigación son:</w:t>
      </w:r>
    </w:p>
    <w:p>
      <w:pPr>
        <w:pStyle w:val="ListBullet"/>
        <w:spacing w:before="0" w:after="80" w:line="360" w:lineRule="auto"/>
        <w:jc w:val="both"/>
      </w:pPr>
      <w:r>
        <w:rPr>
          <w:rFonts w:ascii="Times New Roman" w:hAnsi="Times New Roman"/>
          <w:sz w:val="24"/>
        </w:rPr>
        <w:t>Ficha de análisis documental: Instrumento estructurado para la extracción sistemática y estandarizada de datos de ventas, inventario e ingresos de los registros históricos de Calzatura Vilchez. La ficha registra: fecha, categoría de producto, cantidad vendida, precio unitario, nivel de stock, ingresos diarios y observaciones relevantes.</w:t>
      </w:r>
    </w:p>
    <w:p>
      <w:pPr>
        <w:pStyle w:val="ListBullet"/>
        <w:spacing w:before="0" w:after="80" w:line="360" w:lineRule="auto"/>
        <w:jc w:val="both"/>
      </w:pPr>
      <w:r>
        <w:rPr>
          <w:rFonts w:ascii="Times New Roman" w:hAnsi="Times New Roman"/>
          <w:sz w:val="24"/>
        </w:rPr>
        <w:t>Guía de observación estructurada: Lista de verificación con 25 ítems dicotómicos (Sí/No) para evaluar el estado actual de los procesos de venta, gestión de inventario y toma de decisiones de la empresa, organizados en las cuatro dimensiones de la variable independiente.</w:t>
      </w:r>
    </w:p>
    <w:p>
      <w:pPr>
        <w:pStyle w:val="ListBullet"/>
        <w:spacing w:before="0" w:after="80" w:line="360" w:lineRule="auto"/>
        <w:jc w:val="both"/>
      </w:pPr>
      <w:r>
        <w:rPr>
          <w:rFonts w:ascii="Times New Roman" w:hAnsi="Times New Roman"/>
          <w:sz w:val="24"/>
        </w:rPr>
        <w:t>Cuestionario de escala Likert (1-5): Instrumento de 24 ítems (6 ítems por cada dimensión de la variable dependiente) para medir la percepción del personal sobre la predicción del riesgo empresarial antes y después de la implementación del sistema. La validez de contenido del instrumento se verificará mediante juicio de expertos (3 especialistas) y la confiabilidad mediante el coeficiente alfa de Cronbach (criterio: alfa mayor o igual a 0.70).</w:t>
      </w:r>
    </w:p>
    <w:p>
      <w:pPr>
        <w:spacing w:before="240" w:after="120"/>
        <w:jc w:val="left"/>
      </w:pPr>
      <w:r>
        <w:rPr>
          <w:rFonts w:ascii="Times New Roman" w:hAnsi="Times New Roman"/>
          <w:b/>
          <w:sz w:val="24"/>
        </w:rPr>
        <w:t>3.6.    Técnicas y Procesamiento del Análisis de Datos</w:t>
      </w:r>
    </w:p>
    <w:p>
      <w:pPr>
        <w:spacing w:before="160" w:after="80"/>
        <w:jc w:val="left"/>
      </w:pPr>
      <w:r>
        <w:rPr>
          <w:rFonts w:ascii="Times New Roman" w:hAnsi="Times New Roman"/>
          <w:b/>
          <w:sz w:val="24"/>
        </w:rPr>
        <w:t>3.6.1. Técnicas de análisis de datos</w:t>
      </w:r>
    </w:p>
    <w:p>
      <w:pPr>
        <w:spacing w:before="0" w:after="160" w:line="360" w:lineRule="auto"/>
        <w:ind w:firstLine="709"/>
        <w:jc w:val="both"/>
      </w:pPr>
      <w:r>
        <w:rPr>
          <w:rFonts w:ascii="Times New Roman" w:hAnsi="Times New Roman"/>
          <w:sz w:val="24"/>
        </w:rPr>
        <w:t>Las técnicas de análisis de datos empleadas en la investigación son:</w:t>
      </w:r>
    </w:p>
    <w:p>
      <w:pPr>
        <w:pStyle w:val="ListBullet"/>
        <w:spacing w:before="0" w:after="80" w:line="360" w:lineRule="auto"/>
        <w:jc w:val="both"/>
      </w:pPr>
      <w:r>
        <w:rPr>
          <w:rFonts w:ascii="Times New Roman" w:hAnsi="Times New Roman"/>
          <w:sz w:val="24"/>
        </w:rPr>
        <w:t>Estadística descriptiva: Se calcularán medidas de tendencia central (media, mediana), dispersión (desviación estándar, rango intercuartílico) y distribución (asimetría, curtosis) para los valores del IRE, los errores de pronóstico (MAE, RMSE) y los indicadores de digitalización, tanto en la preprueba como en la posprueba.</w:t>
      </w:r>
    </w:p>
    <w:p>
      <w:pPr>
        <w:pStyle w:val="ListBullet"/>
        <w:spacing w:before="0" w:after="80" w:line="360" w:lineRule="auto"/>
        <w:jc w:val="both"/>
      </w:pPr>
      <w:r>
        <w:rPr>
          <w:rFonts w:ascii="Times New Roman" w:hAnsi="Times New Roman"/>
          <w:sz w:val="24"/>
        </w:rPr>
        <w:t>Métricas de evaluación de modelos de Machine Learning: Se utilizarán MAE (Error Absoluto Medio), RMSE (Raíz del Error Cuadrático Medio) y R² (Coeficiente de Determinación) para el modelo de pronóstico de demanda (RandomForestRegressor); y AUC-ROC, Accuracy, Precision, Recall y F1-score para el clasificador de nivel de riesgo del IRE.</w:t>
      </w:r>
    </w:p>
    <w:p>
      <w:pPr>
        <w:pStyle w:val="ListBullet"/>
        <w:spacing w:before="0" w:after="80" w:line="360" w:lineRule="auto"/>
        <w:jc w:val="both"/>
      </w:pPr>
      <w:r>
        <w:rPr>
          <w:rFonts w:ascii="Times New Roman" w:hAnsi="Times New Roman"/>
          <w:sz w:val="24"/>
        </w:rPr>
        <w:t>Prueba de normalidad Shapiro-Wilk: Se aplicará para determinar si los datos siguen una distribución normal (criterio: p-valor mayor a 0.05), lo que determina la elección entre prueba paramétrica (t de Student para muestras relacionadas) o no paramétrica (prueba de rangos con signo de Wilcoxon) para la comparación preprueba-posprueba.</w:t>
      </w:r>
    </w:p>
    <w:p>
      <w:pPr>
        <w:pStyle w:val="ListBullet"/>
        <w:spacing w:before="0" w:after="80" w:line="360" w:lineRule="auto"/>
        <w:jc w:val="both"/>
      </w:pPr>
      <w:r>
        <w:rPr>
          <w:rFonts w:ascii="Times New Roman" w:hAnsi="Times New Roman"/>
          <w:sz w:val="24"/>
        </w:rPr>
        <w:t>Prueba de hipótesis (t de Student o Wilcoxon): Se aplicará con nivel de significancia alfa = 0,05 para determinar si las diferencias observadas entre la preprueba y la posprueba en los indicadores de cada hipótesis específica son estadísticamente significativas.</w:t>
      </w:r>
    </w:p>
    <w:p>
      <w:pPr>
        <w:pStyle w:val="ListBullet"/>
        <w:spacing w:before="0" w:after="80" w:line="360" w:lineRule="auto"/>
        <w:jc w:val="both"/>
      </w:pPr>
      <w:r>
        <w:rPr>
          <w:rFonts w:ascii="Times New Roman" w:hAnsi="Times New Roman"/>
          <w:sz w:val="24"/>
        </w:rPr>
        <w:t>Análisis de importancia de variables (Feature Importance): Se calculará la importancia relativa de cada variable predictora en el modelo RandomForestRegressor mediante Mean Decrease Impurity (MDI) y SHAP values, para identificar los factores de mayor influencia en el pronóstico de demanda y el cálculo del IRE.</w:t>
      </w:r>
    </w:p>
    <w:p>
      <w:pPr>
        <w:spacing w:before="160" w:after="80"/>
        <w:jc w:val="left"/>
      </w:pPr>
      <w:r>
        <w:rPr>
          <w:rFonts w:ascii="Times New Roman" w:hAnsi="Times New Roman"/>
          <w:b/>
          <w:sz w:val="24"/>
        </w:rPr>
        <w:t>3.6.2. Procesamiento de análisis de datos</w:t>
      </w:r>
    </w:p>
    <w:p>
      <w:pPr>
        <w:spacing w:before="0" w:after="160" w:line="360" w:lineRule="auto"/>
        <w:ind w:firstLine="709"/>
        <w:jc w:val="both"/>
      </w:pPr>
      <w:r>
        <w:rPr>
          <w:rFonts w:ascii="Times New Roman" w:hAnsi="Times New Roman"/>
          <w:sz w:val="24"/>
        </w:rPr>
        <w:t>El procesamiento de datos se realizará con las siguientes herramientas tecnológicas: Python 3.11 con las bibliotecas Pandas (manipulación de datos), NumPy (operaciones numéricas), scikit-learn (modelos de ML, validación cruzada y métricas), Matplotlib y Seaborn (visualización de resultados), SciPy (pruebas estadísticas) y SHAP (interpretabilidad de modelos). Los datos históricos de ventas de Calzatura Vilchez serán exportados desde los registros administrativos de la empresa en formato CSV, procesados mediante el pipeline de preprocesamiento (limpieza, tratamiento de valores faltantes, ingeniería de características y normalización) y cargados en la base de datos Supabase/PostgreSQL para el entrenamiento y validación del modelo. Los resultados de las métricas de ML y de las pruebas estadísticas se presentarán en tablas y gráficos comparativos en el informe final de la investigación. El código fuente del sistema completo estará disponible en el repositorio Git del proyecto.</w:t>
      </w:r>
    </w:p>
    <w:p>
      <w:r>
        <w:br w:type="page"/>
      </w:r>
    </w:p>
    <w:p>
      <w:pPr>
        <w:spacing w:before="0" w:after="120"/>
        <w:jc w:val="center"/>
      </w:pPr>
      <w:r>
        <w:rPr>
          <w:rFonts w:ascii="Times New Roman" w:hAnsi="Times New Roman"/>
          <w:b/>
          <w:sz w:val="28"/>
        </w:rPr>
        <w:t>CAPÍTULO IV</w:t>
      </w:r>
    </w:p>
    <w:p>
      <w:pPr>
        <w:spacing w:before="0" w:after="360"/>
        <w:jc w:val="center"/>
      </w:pPr>
      <w:r>
        <w:rPr>
          <w:rFonts w:ascii="Times New Roman" w:hAnsi="Times New Roman"/>
          <w:b/>
          <w:sz w:val="28"/>
        </w:rPr>
        <w:t>ASPECTOS ADMINISTRATIVOS</w:t>
      </w:r>
    </w:p>
    <w:p>
      <w:pPr>
        <w:spacing w:before="240" w:after="120"/>
        <w:jc w:val="left"/>
      </w:pPr>
      <w:r>
        <w:rPr>
          <w:rFonts w:ascii="Times New Roman" w:hAnsi="Times New Roman"/>
          <w:b/>
          <w:sz w:val="24"/>
        </w:rPr>
        <w:t>4.1.    Cronograma de Desarrollo</w:t>
      </w:r>
    </w:p>
    <w:p>
      <w:pPr>
        <w:spacing w:before="0" w:after="160" w:line="360" w:lineRule="auto"/>
        <w:ind w:firstLine="709"/>
        <w:jc w:val="both"/>
      </w:pPr>
      <w:r>
        <w:rPr>
          <w:rFonts w:ascii="Times New Roman" w:hAnsi="Times New Roman"/>
          <w:sz w:val="24"/>
        </w:rPr>
        <w:t>La investigación se desarrolla en un período de 12 meses (enero 2026 - diciembre 2026), organizado en las siguientes fases:</w:t>
      </w:r>
    </w:p>
    <w:tbl>
      <w:tblPr>
        <w:tblStyle w:val="TableGrid"/>
        <w:tblW w:type="auto" w:w="0"/>
        <w:jc w:val="center"/>
        <w:tblLook w:firstColumn="1" w:firstRow="1" w:lastColumn="0" w:lastRow="0" w:noHBand="0" w:noVBand="1" w:val="04A0"/>
      </w:tblPr>
      <w:tblGrid>
        <w:gridCol w:w="628"/>
        <w:gridCol w:w="628"/>
        <w:gridCol w:w="628"/>
        <w:gridCol w:w="628"/>
        <w:gridCol w:w="628"/>
        <w:gridCol w:w="628"/>
        <w:gridCol w:w="628"/>
        <w:gridCol w:w="628"/>
        <w:gridCol w:w="628"/>
        <w:gridCol w:w="628"/>
        <w:gridCol w:w="628"/>
        <w:gridCol w:w="628"/>
        <w:gridCol w:w="628"/>
        <w:gridCol w:w="628"/>
      </w:tblGrid>
      <w:tr>
        <w:tc>
          <w:tcPr>
            <w:tcW w:type="dxa" w:w="628"/>
            <w:shd w:val="clear" w:color="auto" w:fill="1F3864"/>
          </w:tcPr>
          <w:p>
            <w:pPr>
              <w:jc w:val="center"/>
            </w:pPr>
            <w:r>
              <w:rPr>
                <w:rFonts w:ascii="Times New Roman" w:hAnsi="Times New Roman"/>
                <w:b/>
                <w:color w:val="FFFFFF"/>
                <w:sz w:val="16"/>
              </w:rPr>
              <w:t>Actividad</w:t>
            </w:r>
          </w:p>
        </w:tc>
        <w:tc>
          <w:tcPr>
            <w:tcW w:type="dxa" w:w="628"/>
            <w:shd w:val="clear" w:color="auto" w:fill="1F3864"/>
          </w:tcPr>
          <w:p>
            <w:pPr>
              <w:jc w:val="center"/>
            </w:pPr>
            <w:r>
              <w:rPr>
                <w:rFonts w:ascii="Times New Roman" w:hAnsi="Times New Roman"/>
                <w:b/>
                <w:color w:val="FFFFFF"/>
                <w:sz w:val="16"/>
              </w:rPr>
              <w:t>E</w:t>
            </w:r>
          </w:p>
        </w:tc>
        <w:tc>
          <w:tcPr>
            <w:tcW w:type="dxa" w:w="628"/>
            <w:shd w:val="clear" w:color="auto" w:fill="1F3864"/>
          </w:tcPr>
          <w:p>
            <w:pPr>
              <w:jc w:val="center"/>
            </w:pPr>
            <w:r>
              <w:rPr>
                <w:rFonts w:ascii="Times New Roman" w:hAnsi="Times New Roman"/>
                <w:b/>
                <w:color w:val="FFFFFF"/>
                <w:sz w:val="16"/>
              </w:rPr>
              <w:t>F</w:t>
            </w:r>
          </w:p>
        </w:tc>
        <w:tc>
          <w:tcPr>
            <w:tcW w:type="dxa" w:w="628"/>
            <w:shd w:val="clear" w:color="auto" w:fill="1F3864"/>
          </w:tcPr>
          <w:p>
            <w:pPr>
              <w:jc w:val="center"/>
            </w:pPr>
            <w:r>
              <w:rPr>
                <w:rFonts w:ascii="Times New Roman" w:hAnsi="Times New Roman"/>
                <w:b/>
                <w:color w:val="FFFFFF"/>
                <w:sz w:val="16"/>
              </w:rPr>
              <w:t>M</w:t>
            </w:r>
          </w:p>
        </w:tc>
        <w:tc>
          <w:tcPr>
            <w:tcW w:type="dxa" w:w="628"/>
            <w:shd w:val="clear" w:color="auto" w:fill="1F3864"/>
          </w:tcPr>
          <w:p>
            <w:pPr>
              <w:jc w:val="center"/>
            </w:pPr>
            <w:r>
              <w:rPr>
                <w:rFonts w:ascii="Times New Roman" w:hAnsi="Times New Roman"/>
                <w:b/>
                <w:color w:val="FFFFFF"/>
                <w:sz w:val="16"/>
              </w:rPr>
              <w:t>A</w:t>
            </w:r>
          </w:p>
        </w:tc>
        <w:tc>
          <w:tcPr>
            <w:tcW w:type="dxa" w:w="628"/>
            <w:shd w:val="clear" w:color="auto" w:fill="1F3864"/>
          </w:tcPr>
          <w:p>
            <w:pPr>
              <w:jc w:val="center"/>
            </w:pPr>
            <w:r>
              <w:rPr>
                <w:rFonts w:ascii="Times New Roman" w:hAnsi="Times New Roman"/>
                <w:b/>
                <w:color w:val="FFFFFF"/>
                <w:sz w:val="16"/>
              </w:rPr>
              <w:t>M</w:t>
            </w:r>
          </w:p>
        </w:tc>
        <w:tc>
          <w:tcPr>
            <w:tcW w:type="dxa" w:w="628"/>
            <w:shd w:val="clear" w:color="auto" w:fill="1F3864"/>
          </w:tcPr>
          <w:p>
            <w:pPr>
              <w:jc w:val="center"/>
            </w:pPr>
            <w:r>
              <w:rPr>
                <w:rFonts w:ascii="Times New Roman" w:hAnsi="Times New Roman"/>
                <w:b/>
                <w:color w:val="FFFFFF"/>
                <w:sz w:val="16"/>
              </w:rPr>
              <w:t>J</w:t>
            </w:r>
          </w:p>
        </w:tc>
        <w:tc>
          <w:tcPr>
            <w:tcW w:type="dxa" w:w="628"/>
            <w:shd w:val="clear" w:color="auto" w:fill="1F3864"/>
          </w:tcPr>
          <w:p>
            <w:pPr>
              <w:jc w:val="center"/>
            </w:pPr>
            <w:r>
              <w:rPr>
                <w:rFonts w:ascii="Times New Roman" w:hAnsi="Times New Roman"/>
                <w:b/>
                <w:color w:val="FFFFFF"/>
                <w:sz w:val="16"/>
              </w:rPr>
              <w:t>J</w:t>
            </w:r>
          </w:p>
        </w:tc>
        <w:tc>
          <w:tcPr>
            <w:tcW w:type="dxa" w:w="628"/>
            <w:shd w:val="clear" w:color="auto" w:fill="1F3864"/>
          </w:tcPr>
          <w:p>
            <w:pPr>
              <w:jc w:val="center"/>
            </w:pPr>
            <w:r>
              <w:rPr>
                <w:rFonts w:ascii="Times New Roman" w:hAnsi="Times New Roman"/>
                <w:b/>
                <w:color w:val="FFFFFF"/>
                <w:sz w:val="16"/>
              </w:rPr>
              <w:t>A</w:t>
            </w:r>
          </w:p>
        </w:tc>
        <w:tc>
          <w:tcPr>
            <w:tcW w:type="dxa" w:w="628"/>
            <w:shd w:val="clear" w:color="auto" w:fill="1F3864"/>
          </w:tcPr>
          <w:p>
            <w:pPr>
              <w:jc w:val="center"/>
            </w:pPr>
            <w:r>
              <w:rPr>
                <w:rFonts w:ascii="Times New Roman" w:hAnsi="Times New Roman"/>
                <w:b/>
                <w:color w:val="FFFFFF"/>
                <w:sz w:val="16"/>
              </w:rPr>
              <w:t>S</w:t>
            </w:r>
          </w:p>
        </w:tc>
        <w:tc>
          <w:tcPr>
            <w:tcW w:type="dxa" w:w="628"/>
            <w:shd w:val="clear" w:color="auto" w:fill="1F3864"/>
          </w:tcPr>
          <w:p>
            <w:pPr>
              <w:jc w:val="center"/>
            </w:pPr>
            <w:r>
              <w:rPr>
                <w:rFonts w:ascii="Times New Roman" w:hAnsi="Times New Roman"/>
                <w:b/>
                <w:color w:val="FFFFFF"/>
                <w:sz w:val="16"/>
              </w:rPr>
              <w:t>O</w:t>
            </w:r>
          </w:p>
        </w:tc>
        <w:tc>
          <w:tcPr>
            <w:tcW w:type="dxa" w:w="628"/>
            <w:shd w:val="clear" w:color="auto" w:fill="1F3864"/>
          </w:tcPr>
          <w:p>
            <w:pPr>
              <w:jc w:val="center"/>
            </w:pPr>
            <w:r>
              <w:rPr>
                <w:rFonts w:ascii="Times New Roman" w:hAnsi="Times New Roman"/>
                <w:b/>
                <w:color w:val="FFFFFF"/>
                <w:sz w:val="16"/>
              </w:rPr>
              <w:t>N</w:t>
            </w:r>
          </w:p>
        </w:tc>
        <w:tc>
          <w:tcPr>
            <w:tcW w:type="dxa" w:w="628"/>
            <w:shd w:val="clear" w:color="auto" w:fill="1F3864"/>
          </w:tcPr>
          <w:p>
            <w:pPr>
              <w:jc w:val="center"/>
            </w:pPr>
            <w:r>
              <w:rPr>
                <w:rFonts w:ascii="Times New Roman" w:hAnsi="Times New Roman"/>
                <w:b/>
                <w:color w:val="FFFFFF"/>
                <w:sz w:val="16"/>
              </w:rPr>
              <w:t>D</w:t>
            </w:r>
          </w:p>
        </w:tc>
        <w:tc>
          <w:tcPr>
            <w:tcW w:type="dxa" w:w="628"/>
            <w:shd w:val="clear" w:color="auto" w:fill="1F3864"/>
          </w:tcPr>
          <w:p>
            <w:pPr>
              <w:jc w:val="center"/>
            </w:pPr>
            <w:r>
              <w:rPr>
                <w:rFonts w:ascii="Times New Roman" w:hAnsi="Times New Roman"/>
                <w:b/>
                <w:color w:val="FFFFFF"/>
                <w:sz w:val="16"/>
              </w:rPr>
              <w:t>Resp.</w:t>
            </w:r>
          </w:p>
        </w:tc>
      </w:tr>
      <w:tr>
        <w:tc>
          <w:tcPr>
            <w:tcW w:type="dxa" w:w="628"/>
          </w:tcPr>
          <w:p>
            <w:r>
              <w:rPr>
                <w:rFonts w:ascii="Times New Roman" w:hAnsi="Times New Roman"/>
                <w:sz w:val="16"/>
              </w:rPr>
              <w:t>1. Revisión bibliográfica y planteamiento</w:t>
            </w: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r>
              <w:rPr>
                <w:rFonts w:ascii="Times New Roman" w:hAnsi="Times New Roman"/>
                <w:sz w:val="16"/>
              </w:rPr>
              <w:t>Invest.</w:t>
            </w:r>
          </w:p>
        </w:tc>
      </w:tr>
      <w:tr>
        <w:tc>
          <w:tcPr>
            <w:tcW w:type="dxa" w:w="628"/>
          </w:tcPr>
          <w:p>
            <w:r>
              <w:rPr>
                <w:rFonts w:ascii="Times New Roman" w:hAnsi="Times New Roman"/>
                <w:sz w:val="16"/>
              </w:rPr>
              <w:t>2. Levantamiento de información y requisitos</w:t>
            </w:r>
          </w:p>
        </w:tc>
        <w:tc>
          <w:tcPr>
            <w:tcW w:type="dxa" w:w="628"/>
          </w:tcPr>
          <w:p>
            <w:pPr>
              <w:jc w:val="center"/>
            </w:pP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r>
              <w:rPr>
                <w:rFonts w:ascii="Times New Roman" w:hAnsi="Times New Roman"/>
                <w:sz w:val="16"/>
              </w:rPr>
              <w:t>Invest.</w:t>
            </w:r>
          </w:p>
        </w:tc>
      </w:tr>
      <w:tr>
        <w:tc>
          <w:tcPr>
            <w:tcW w:type="dxa" w:w="628"/>
          </w:tcPr>
          <w:p>
            <w:r>
              <w:rPr>
                <w:rFonts w:ascii="Times New Roman" w:hAnsi="Times New Roman"/>
                <w:sz w:val="16"/>
              </w:rPr>
              <w:t>3. Diseño del sistema web y arquitectura</w:t>
            </w:r>
          </w:p>
        </w:tc>
        <w:tc>
          <w:tcPr>
            <w:tcW w:type="dxa" w:w="628"/>
          </w:tcPr>
          <w:p>
            <w:pPr>
              <w:jc w:val="center"/>
            </w:pPr>
          </w:p>
        </w:tc>
        <w:tc>
          <w:tcPr>
            <w:tcW w:type="dxa" w:w="628"/>
          </w:tcPr>
          <w:p>
            <w:pPr>
              <w:jc w:val="center"/>
            </w:pP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r>
              <w:rPr>
                <w:rFonts w:ascii="Times New Roman" w:hAnsi="Times New Roman"/>
                <w:sz w:val="16"/>
              </w:rPr>
              <w:t>Invest.</w:t>
            </w:r>
          </w:p>
        </w:tc>
      </w:tr>
      <w:tr>
        <w:tc>
          <w:tcPr>
            <w:tcW w:type="dxa" w:w="628"/>
          </w:tcPr>
          <w:p>
            <w:r>
              <w:rPr>
                <w:rFonts w:ascii="Times New Roman" w:hAnsi="Times New Roman"/>
                <w:sz w:val="16"/>
              </w:rPr>
              <w:t>4. Desarrollo del frontend (React/TypeScript)</w:t>
            </w:r>
          </w:p>
        </w:tc>
        <w:tc>
          <w:tcPr>
            <w:tcW w:type="dxa" w:w="628"/>
          </w:tcPr>
          <w:p>
            <w:pPr>
              <w:jc w:val="center"/>
            </w:pPr>
          </w:p>
        </w:tc>
        <w:tc>
          <w:tcPr>
            <w:tcW w:type="dxa" w:w="628"/>
          </w:tcPr>
          <w:p>
            <w:pPr>
              <w:jc w:val="center"/>
            </w:pPr>
          </w:p>
        </w:tc>
        <w:tc>
          <w:tcPr>
            <w:tcW w:type="dxa" w:w="628"/>
          </w:tcPr>
          <w:p>
            <w:pPr>
              <w:jc w:val="center"/>
            </w:pP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r>
              <w:rPr>
                <w:rFonts w:ascii="Times New Roman" w:hAnsi="Times New Roman"/>
                <w:sz w:val="16"/>
              </w:rPr>
              <w:t>Invest.</w:t>
            </w:r>
          </w:p>
        </w:tc>
      </w:tr>
      <w:tr>
        <w:tc>
          <w:tcPr>
            <w:tcW w:type="dxa" w:w="628"/>
          </w:tcPr>
          <w:p>
            <w:r>
              <w:rPr>
                <w:rFonts w:ascii="Times New Roman" w:hAnsi="Times New Roman"/>
                <w:sz w:val="16"/>
              </w:rPr>
              <w:t>5. Desarrollo microservicio IA (FastAPI/Python)</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r>
              <w:rPr>
                <w:rFonts w:ascii="Times New Roman" w:hAnsi="Times New Roman"/>
                <w:sz w:val="16"/>
              </w:rPr>
              <w:t>Invest.</w:t>
            </w:r>
          </w:p>
        </w:tc>
      </w:tr>
      <w:tr>
        <w:tc>
          <w:tcPr>
            <w:tcW w:type="dxa" w:w="628"/>
          </w:tcPr>
          <w:p>
            <w:r>
              <w:rPr>
                <w:rFonts w:ascii="Times New Roman" w:hAnsi="Times New Roman"/>
                <w:sz w:val="16"/>
              </w:rPr>
              <w:t>6. Entrenamiento y validación del modelo ML</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r>
              <w:rPr>
                <w:rFonts w:ascii="Times New Roman" w:hAnsi="Times New Roman"/>
                <w:sz w:val="16"/>
              </w:rPr>
              <w:t>Invest.</w:t>
            </w:r>
          </w:p>
        </w:tc>
      </w:tr>
      <w:tr>
        <w:tc>
          <w:tcPr>
            <w:tcW w:type="dxa" w:w="628"/>
          </w:tcPr>
          <w:p>
            <w:r>
              <w:rPr>
                <w:rFonts w:ascii="Times New Roman" w:hAnsi="Times New Roman"/>
                <w:sz w:val="16"/>
              </w:rPr>
              <w:t>7. Integración y pruebas del sistema completo</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r>
              <w:rPr>
                <w:rFonts w:ascii="Times New Roman" w:hAnsi="Times New Roman"/>
                <w:sz w:val="16"/>
              </w:rPr>
              <w:t>Invest.</w:t>
            </w:r>
          </w:p>
        </w:tc>
      </w:tr>
      <w:tr>
        <w:tc>
          <w:tcPr>
            <w:tcW w:type="dxa" w:w="628"/>
          </w:tcPr>
          <w:p>
            <w:r>
              <w:rPr>
                <w:rFonts w:ascii="Times New Roman" w:hAnsi="Times New Roman"/>
                <w:sz w:val="16"/>
              </w:rPr>
              <w:t>8. Implementación en producción y preprueba</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shd w:val="clear" w:color="auto" w:fill="2E75B6"/>
          </w:tcPr>
          <w:p>
            <w:pPr>
              <w:jc w:val="center"/>
            </w:pPr>
            <w:r>
              <w:rPr>
                <w:rFonts w:ascii="Times New Roman" w:hAnsi="Times New Roman"/>
                <w:b/>
                <w:color w:val="FFFFFF"/>
                <w:sz w:val="16"/>
              </w:rPr>
              <w:t>X</w:t>
            </w:r>
          </w:p>
        </w:tc>
        <w:tc>
          <w:tcPr>
            <w:tcW w:type="dxa" w:w="628"/>
          </w:tcPr>
          <w:p>
            <w:pPr>
              <w:jc w:val="center"/>
            </w:pPr>
          </w:p>
        </w:tc>
        <w:tc>
          <w:tcPr>
            <w:tcW w:type="dxa" w:w="628"/>
          </w:tcPr>
          <w:p>
            <w:pPr>
              <w:jc w:val="center"/>
            </w:pPr>
          </w:p>
        </w:tc>
        <w:tc>
          <w:tcPr>
            <w:tcW w:type="dxa" w:w="628"/>
          </w:tcPr>
          <w:p>
            <w:pPr>
              <w:jc w:val="center"/>
            </w:pPr>
          </w:p>
        </w:tc>
        <w:tc>
          <w:tcPr>
            <w:tcW w:type="dxa" w:w="628"/>
          </w:tcPr>
          <w:p>
            <w:r>
              <w:rPr>
                <w:rFonts w:ascii="Times New Roman" w:hAnsi="Times New Roman"/>
                <w:sz w:val="16"/>
              </w:rPr>
              <w:t>Invest.</w:t>
            </w:r>
          </w:p>
        </w:tc>
      </w:tr>
      <w:tr>
        <w:tc>
          <w:tcPr>
            <w:tcW w:type="dxa" w:w="628"/>
          </w:tcPr>
          <w:p>
            <w:r>
              <w:rPr>
                <w:rFonts w:ascii="Times New Roman" w:hAnsi="Times New Roman"/>
                <w:sz w:val="16"/>
              </w:rPr>
              <w:t>9. Posprueba, análisis y redacción del informe</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tcPr>
          <w:p>
            <w:r>
              <w:rPr>
                <w:rFonts w:ascii="Times New Roman" w:hAnsi="Times New Roman"/>
                <w:sz w:val="16"/>
              </w:rPr>
              <w:t>Invest.</w:t>
            </w:r>
          </w:p>
        </w:tc>
      </w:tr>
    </w:tbl>
    <w:p>
      <w:pPr>
        <w:spacing w:before="0" w:after="160" w:line="360" w:lineRule="auto"/>
        <w:ind w:firstLine="709"/>
        <w:jc w:val="both"/>
      </w:pPr>
      <w:r>
        <w:rPr>
          <w:rFonts w:ascii="Times New Roman" w:hAnsi="Times New Roman"/>
          <w:sz w:val="24"/>
        </w:rPr>
      </w:r>
    </w:p>
    <w:p>
      <w:pPr>
        <w:spacing w:before="240" w:after="120"/>
        <w:jc w:val="left"/>
      </w:pPr>
      <w:r>
        <w:rPr>
          <w:rFonts w:ascii="Times New Roman" w:hAnsi="Times New Roman"/>
          <w:b/>
          <w:sz w:val="24"/>
        </w:rPr>
        <w:t>4.2.    Presupuesto de Investigación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3864"/>
          </w:tcPr>
          <w:p>
            <w:pPr>
              <w:jc w:val="center"/>
            </w:pPr>
            <w:r>
              <w:rPr>
                <w:rFonts w:ascii="Times New Roman" w:hAnsi="Times New Roman"/>
                <w:b/>
                <w:color w:val="FFFFFF"/>
                <w:sz w:val="20"/>
              </w:rPr>
              <w:t>Rubro</w:t>
            </w:r>
          </w:p>
        </w:tc>
        <w:tc>
          <w:tcPr>
            <w:tcW w:type="dxa" w:w="2197"/>
            <w:shd w:val="clear" w:color="auto" w:fill="1F3864"/>
          </w:tcPr>
          <w:p>
            <w:pPr>
              <w:jc w:val="center"/>
            </w:pPr>
            <w:r>
              <w:rPr>
                <w:rFonts w:ascii="Times New Roman" w:hAnsi="Times New Roman"/>
                <w:b/>
                <w:color w:val="FFFFFF"/>
                <w:sz w:val="20"/>
              </w:rPr>
              <w:t>Descripción</w:t>
            </w:r>
          </w:p>
        </w:tc>
        <w:tc>
          <w:tcPr>
            <w:tcW w:type="dxa" w:w="2197"/>
            <w:shd w:val="clear" w:color="auto" w:fill="1F3864"/>
          </w:tcPr>
          <w:p>
            <w:pPr>
              <w:jc w:val="center"/>
            </w:pPr>
            <w:r>
              <w:rPr>
                <w:rFonts w:ascii="Times New Roman" w:hAnsi="Times New Roman"/>
                <w:b/>
                <w:color w:val="FFFFFF"/>
                <w:sz w:val="20"/>
              </w:rPr>
              <w:t>Cantidad</w:t>
            </w:r>
          </w:p>
        </w:tc>
        <w:tc>
          <w:tcPr>
            <w:tcW w:type="dxa" w:w="2197"/>
            <w:shd w:val="clear" w:color="auto" w:fill="1F3864"/>
          </w:tcPr>
          <w:p>
            <w:pPr>
              <w:jc w:val="center"/>
            </w:pPr>
            <w:r>
              <w:rPr>
                <w:rFonts w:ascii="Times New Roman" w:hAnsi="Times New Roman"/>
                <w:b/>
                <w:color w:val="FFFFFF"/>
                <w:sz w:val="20"/>
              </w:rPr>
              <w:t>Costo (S/.)</w:t>
            </w:r>
          </w:p>
        </w:tc>
      </w:tr>
      <w:tr>
        <w:tc>
          <w:tcPr>
            <w:tcW w:type="dxa" w:w="2197"/>
          </w:tcPr>
          <w:p>
            <w:pPr>
              <w:jc w:val="left"/>
            </w:pPr>
            <w:r>
              <w:rPr>
                <w:rFonts w:ascii="Times New Roman" w:hAnsi="Times New Roman"/>
                <w:sz w:val="20"/>
              </w:rPr>
              <w:t>Recursos humanos</w:t>
            </w:r>
          </w:p>
        </w:tc>
        <w:tc>
          <w:tcPr>
            <w:tcW w:type="dxa" w:w="2197"/>
          </w:tcPr>
          <w:p>
            <w:pPr>
              <w:jc w:val="left"/>
            </w:pPr>
            <w:r>
              <w:rPr>
                <w:rFonts w:ascii="Times New Roman" w:hAnsi="Times New Roman"/>
                <w:sz w:val="20"/>
              </w:rPr>
              <w:t>Investigador (autofinanciado)</w:t>
            </w:r>
          </w:p>
        </w:tc>
        <w:tc>
          <w:tcPr>
            <w:tcW w:type="dxa" w:w="2197"/>
          </w:tcPr>
          <w:p>
            <w:pPr>
              <w:jc w:val="center"/>
            </w:pPr>
            <w:r>
              <w:rPr>
                <w:rFonts w:ascii="Times New Roman" w:hAnsi="Times New Roman"/>
                <w:sz w:val="20"/>
              </w:rPr>
              <w:t>12 meses</w:t>
            </w:r>
          </w:p>
        </w:tc>
        <w:tc>
          <w:tcPr>
            <w:tcW w:type="dxa" w:w="2197"/>
          </w:tcPr>
          <w:p>
            <w:pPr>
              <w:jc w:val="center"/>
            </w:pPr>
            <w:r>
              <w:rPr>
                <w:rFonts w:ascii="Times New Roman" w:hAnsi="Times New Roman"/>
                <w:sz w:val="20"/>
              </w:rPr>
              <w:t>0.00</w:t>
            </w:r>
          </w:p>
        </w:tc>
      </w:tr>
      <w:tr>
        <w:tc>
          <w:tcPr>
            <w:tcW w:type="dxa" w:w="2197"/>
          </w:tcPr>
          <w:p>
            <w:pPr>
              <w:jc w:val="left"/>
            </w:pPr>
            <w:r>
              <w:rPr>
                <w:rFonts w:ascii="Times New Roman" w:hAnsi="Times New Roman"/>
                <w:sz w:val="20"/>
              </w:rPr>
              <w:t>Hardware</w:t>
            </w:r>
          </w:p>
        </w:tc>
        <w:tc>
          <w:tcPr>
            <w:tcW w:type="dxa" w:w="2197"/>
          </w:tcPr>
          <w:p>
            <w:pPr>
              <w:jc w:val="left"/>
            </w:pPr>
            <w:r>
              <w:rPr>
                <w:rFonts w:ascii="Times New Roman" w:hAnsi="Times New Roman"/>
                <w:sz w:val="20"/>
              </w:rPr>
              <w:t>Laptop, periféricos y servidor de pruebas</w:t>
            </w:r>
          </w:p>
        </w:tc>
        <w:tc>
          <w:tcPr>
            <w:tcW w:type="dxa" w:w="2197"/>
          </w:tcPr>
          <w:p>
            <w:pPr>
              <w:jc w:val="center"/>
            </w:pPr>
            <w:r>
              <w:rPr>
                <w:rFonts w:ascii="Times New Roman" w:hAnsi="Times New Roman"/>
                <w:sz w:val="20"/>
              </w:rPr>
              <w:t>1 set</w:t>
            </w:r>
          </w:p>
        </w:tc>
        <w:tc>
          <w:tcPr>
            <w:tcW w:type="dxa" w:w="2197"/>
          </w:tcPr>
          <w:p>
            <w:pPr>
              <w:jc w:val="center"/>
            </w:pPr>
            <w:r>
              <w:rPr>
                <w:rFonts w:ascii="Times New Roman" w:hAnsi="Times New Roman"/>
                <w:sz w:val="20"/>
              </w:rPr>
              <w:t>2,500.00</w:t>
            </w:r>
          </w:p>
        </w:tc>
      </w:tr>
      <w:tr>
        <w:tc>
          <w:tcPr>
            <w:tcW w:type="dxa" w:w="2197"/>
          </w:tcPr>
          <w:p>
            <w:pPr>
              <w:jc w:val="left"/>
            </w:pPr>
            <w:r>
              <w:rPr>
                <w:rFonts w:ascii="Times New Roman" w:hAnsi="Times New Roman"/>
                <w:sz w:val="20"/>
              </w:rPr>
              <w:t>Software / Cloud</w:t>
            </w:r>
          </w:p>
        </w:tc>
        <w:tc>
          <w:tcPr>
            <w:tcW w:type="dxa" w:w="2197"/>
          </w:tcPr>
          <w:p>
            <w:pPr>
              <w:jc w:val="left"/>
            </w:pPr>
            <w:r>
              <w:rPr>
                <w:rFonts w:ascii="Times New Roman" w:hAnsi="Times New Roman"/>
                <w:sz w:val="20"/>
              </w:rPr>
              <w:t>Firebase, Supabase, dominio, hosting VPS</w:t>
            </w:r>
          </w:p>
        </w:tc>
        <w:tc>
          <w:tcPr>
            <w:tcW w:type="dxa" w:w="2197"/>
          </w:tcPr>
          <w:p>
            <w:pPr>
              <w:jc w:val="center"/>
            </w:pPr>
            <w:r>
              <w:rPr>
                <w:rFonts w:ascii="Times New Roman" w:hAnsi="Times New Roman"/>
                <w:sz w:val="20"/>
              </w:rPr>
              <w:t>12 meses</w:t>
            </w:r>
          </w:p>
        </w:tc>
        <w:tc>
          <w:tcPr>
            <w:tcW w:type="dxa" w:w="2197"/>
          </w:tcPr>
          <w:p>
            <w:pPr>
              <w:jc w:val="center"/>
            </w:pPr>
            <w:r>
              <w:rPr>
                <w:rFonts w:ascii="Times New Roman" w:hAnsi="Times New Roman"/>
                <w:sz w:val="20"/>
              </w:rPr>
              <w:t>1,200.00</w:t>
            </w:r>
          </w:p>
        </w:tc>
      </w:tr>
      <w:tr>
        <w:tc>
          <w:tcPr>
            <w:tcW w:type="dxa" w:w="2197"/>
          </w:tcPr>
          <w:p>
            <w:pPr>
              <w:jc w:val="left"/>
            </w:pPr>
            <w:r>
              <w:rPr>
                <w:rFonts w:ascii="Times New Roman" w:hAnsi="Times New Roman"/>
                <w:sz w:val="20"/>
              </w:rPr>
              <w:t>Materiales</w:t>
            </w:r>
          </w:p>
        </w:tc>
        <w:tc>
          <w:tcPr>
            <w:tcW w:type="dxa" w:w="2197"/>
          </w:tcPr>
          <w:p>
            <w:pPr>
              <w:jc w:val="left"/>
            </w:pPr>
            <w:r>
              <w:rPr>
                <w:rFonts w:ascii="Times New Roman" w:hAnsi="Times New Roman"/>
                <w:sz w:val="20"/>
              </w:rPr>
              <w:t>Impresiones, papelería, encuadernación</w:t>
            </w:r>
          </w:p>
        </w:tc>
        <w:tc>
          <w:tcPr>
            <w:tcW w:type="dxa" w:w="2197"/>
          </w:tcPr>
          <w:p>
            <w:pPr>
              <w:jc w:val="center"/>
            </w:pPr>
            <w:r>
              <w:rPr>
                <w:rFonts w:ascii="Times New Roman" w:hAnsi="Times New Roman"/>
                <w:sz w:val="20"/>
              </w:rPr>
              <w:t>Global</w:t>
            </w:r>
          </w:p>
        </w:tc>
        <w:tc>
          <w:tcPr>
            <w:tcW w:type="dxa" w:w="2197"/>
          </w:tcPr>
          <w:p>
            <w:pPr>
              <w:jc w:val="center"/>
            </w:pPr>
            <w:r>
              <w:rPr>
                <w:rFonts w:ascii="Times New Roman" w:hAnsi="Times New Roman"/>
                <w:sz w:val="20"/>
              </w:rPr>
              <w:t>400.00</w:t>
            </w:r>
          </w:p>
        </w:tc>
      </w:tr>
      <w:tr>
        <w:tc>
          <w:tcPr>
            <w:tcW w:type="dxa" w:w="2197"/>
          </w:tcPr>
          <w:p>
            <w:pPr>
              <w:jc w:val="left"/>
            </w:pPr>
            <w:r>
              <w:rPr>
                <w:rFonts w:ascii="Times New Roman" w:hAnsi="Times New Roman"/>
                <w:sz w:val="20"/>
              </w:rPr>
              <w:t>Servicios</w:t>
            </w:r>
          </w:p>
        </w:tc>
        <w:tc>
          <w:tcPr>
            <w:tcW w:type="dxa" w:w="2197"/>
          </w:tcPr>
          <w:p>
            <w:pPr>
              <w:jc w:val="left"/>
            </w:pPr>
            <w:r>
              <w:rPr>
                <w:rFonts w:ascii="Times New Roman" w:hAnsi="Times New Roman"/>
                <w:sz w:val="20"/>
              </w:rPr>
              <w:t>Internet, electricidad (proporcional)</w:t>
            </w:r>
          </w:p>
        </w:tc>
        <w:tc>
          <w:tcPr>
            <w:tcW w:type="dxa" w:w="2197"/>
          </w:tcPr>
          <w:p>
            <w:pPr>
              <w:jc w:val="center"/>
            </w:pPr>
            <w:r>
              <w:rPr>
                <w:rFonts w:ascii="Times New Roman" w:hAnsi="Times New Roman"/>
                <w:sz w:val="20"/>
              </w:rPr>
              <w:t>12 meses</w:t>
            </w:r>
          </w:p>
        </w:tc>
        <w:tc>
          <w:tcPr>
            <w:tcW w:type="dxa" w:w="2197"/>
          </w:tcPr>
          <w:p>
            <w:pPr>
              <w:jc w:val="center"/>
            </w:pPr>
            <w:r>
              <w:rPr>
                <w:rFonts w:ascii="Times New Roman" w:hAnsi="Times New Roman"/>
                <w:sz w:val="20"/>
              </w:rPr>
              <w:t>900.00</w:t>
            </w:r>
          </w:p>
        </w:tc>
      </w:tr>
      <w:tr>
        <w:tc>
          <w:tcPr>
            <w:tcW w:type="dxa" w:w="2197"/>
          </w:tcPr>
          <w:p>
            <w:pPr>
              <w:jc w:val="left"/>
            </w:pPr>
            <w:r>
              <w:rPr>
                <w:rFonts w:ascii="Times New Roman" w:hAnsi="Times New Roman"/>
                <w:sz w:val="20"/>
              </w:rPr>
              <w:t>Transporte</w:t>
            </w:r>
          </w:p>
        </w:tc>
        <w:tc>
          <w:tcPr>
            <w:tcW w:type="dxa" w:w="2197"/>
          </w:tcPr>
          <w:p>
            <w:pPr>
              <w:jc w:val="left"/>
            </w:pPr>
            <w:r>
              <w:rPr>
                <w:rFonts w:ascii="Times New Roman" w:hAnsi="Times New Roman"/>
                <w:sz w:val="20"/>
              </w:rPr>
              <w:t>Visitas a la empresa Calzatura Vilchez</w:t>
            </w:r>
          </w:p>
        </w:tc>
        <w:tc>
          <w:tcPr>
            <w:tcW w:type="dxa" w:w="2197"/>
          </w:tcPr>
          <w:p>
            <w:pPr>
              <w:jc w:val="center"/>
            </w:pPr>
            <w:r>
              <w:rPr>
                <w:rFonts w:ascii="Times New Roman" w:hAnsi="Times New Roman"/>
                <w:sz w:val="20"/>
              </w:rPr>
              <w:t>Global</w:t>
            </w:r>
          </w:p>
        </w:tc>
        <w:tc>
          <w:tcPr>
            <w:tcW w:type="dxa" w:w="2197"/>
          </w:tcPr>
          <w:p>
            <w:pPr>
              <w:jc w:val="center"/>
            </w:pPr>
            <w:r>
              <w:rPr>
                <w:rFonts w:ascii="Times New Roman" w:hAnsi="Times New Roman"/>
                <w:sz w:val="20"/>
              </w:rPr>
              <w:t>480.00</w:t>
            </w:r>
          </w:p>
        </w:tc>
      </w:tr>
      <w:tr>
        <w:tc>
          <w:tcPr>
            <w:tcW w:type="dxa" w:w="2197"/>
          </w:tcPr>
          <w:p>
            <w:pPr>
              <w:jc w:val="left"/>
            </w:pPr>
            <w:r>
              <w:rPr>
                <w:rFonts w:ascii="Times New Roman" w:hAnsi="Times New Roman"/>
                <w:sz w:val="20"/>
              </w:rPr>
              <w:t>Imprevistos (10%)</w:t>
            </w:r>
          </w:p>
        </w:tc>
        <w:tc>
          <w:tcPr>
            <w:tcW w:type="dxa" w:w="2197"/>
          </w:tcPr>
          <w:p>
            <w:pPr>
              <w:jc w:val="left"/>
            </w:pPr>
            <w:r>
              <w:rPr>
                <w:rFonts w:ascii="Times New Roman" w:hAnsi="Times New Roman"/>
                <w:sz w:val="20"/>
              </w:rPr>
              <w:t>Contingencias no previstas</w:t>
            </w:r>
          </w:p>
        </w:tc>
        <w:tc>
          <w:tcPr>
            <w:tcW w:type="dxa" w:w="2197"/>
          </w:tcPr>
          <w:p>
            <w:pPr>
              <w:jc w:val="center"/>
            </w:pPr>
            <w:r>
              <w:rPr>
                <w:rFonts w:ascii="Times New Roman" w:hAnsi="Times New Roman"/>
                <w:sz w:val="20"/>
              </w:rPr>
              <w:t>Global</w:t>
            </w:r>
          </w:p>
        </w:tc>
        <w:tc>
          <w:tcPr>
            <w:tcW w:type="dxa" w:w="2197"/>
          </w:tcPr>
          <w:p>
            <w:pPr>
              <w:jc w:val="center"/>
            </w:pPr>
            <w:r>
              <w:rPr>
                <w:rFonts w:ascii="Times New Roman" w:hAnsi="Times New Roman"/>
                <w:sz w:val="20"/>
              </w:rPr>
              <w:t>548.00</w:t>
            </w:r>
          </w:p>
        </w:tc>
      </w:tr>
      <w:tr>
        <w:tc>
          <w:tcPr>
            <w:tcW w:type="dxa" w:w="2197"/>
            <w:shd w:val="clear" w:color="auto" w:fill="D6E4F0"/>
          </w:tcPr>
          <w:p>
            <w:pPr>
              <w:jc w:val="left"/>
            </w:pPr>
            <w:r>
              <w:rPr>
                <w:rFonts w:ascii="Times New Roman" w:hAnsi="Times New Roman"/>
                <w:b/>
                <w:sz w:val="20"/>
              </w:rPr>
              <w:t>TOTAL</w:t>
            </w:r>
          </w:p>
        </w:tc>
        <w:tc>
          <w:tcPr>
            <w:tcW w:type="dxa" w:w="2197"/>
            <w:shd w:val="clear" w:color="auto" w:fill="D6E4F0"/>
          </w:tcPr>
          <w:p>
            <w:pPr>
              <w:jc w:val="left"/>
            </w:pPr>
            <w:r>
              <w:rPr>
                <w:rFonts w:ascii="Times New Roman" w:hAnsi="Times New Roman"/>
                <w:b/>
                <w:sz w:val="20"/>
              </w:rPr>
            </w:r>
          </w:p>
        </w:tc>
        <w:tc>
          <w:tcPr>
            <w:tcW w:type="dxa" w:w="2197"/>
            <w:shd w:val="clear" w:color="auto" w:fill="D6E4F0"/>
          </w:tcPr>
          <w:p>
            <w:pPr>
              <w:jc w:val="center"/>
            </w:pPr>
            <w:r>
              <w:rPr>
                <w:rFonts w:ascii="Times New Roman" w:hAnsi="Times New Roman"/>
                <w:b/>
                <w:sz w:val="20"/>
              </w:rPr>
            </w:r>
          </w:p>
        </w:tc>
        <w:tc>
          <w:tcPr>
            <w:tcW w:type="dxa" w:w="2197"/>
            <w:shd w:val="clear" w:color="auto" w:fill="D6E4F0"/>
          </w:tcPr>
          <w:p>
            <w:pPr>
              <w:jc w:val="center"/>
            </w:pPr>
            <w:r>
              <w:rPr>
                <w:rFonts w:ascii="Times New Roman" w:hAnsi="Times New Roman"/>
                <w:b/>
                <w:sz w:val="20"/>
              </w:rPr>
              <w:t>S/. 6,028.00</w:t>
            </w:r>
          </w:p>
        </w:tc>
      </w:tr>
    </w:tbl>
    <w:p>
      <w:r>
        <w:br w:type="page"/>
      </w:r>
    </w:p>
    <w:p>
      <w:pPr>
        <w:spacing w:before="0" w:after="360"/>
        <w:jc w:val="center"/>
      </w:pPr>
      <w:r>
        <w:rPr>
          <w:rFonts w:ascii="Times New Roman" w:hAnsi="Times New Roman"/>
          <w:b/>
          <w:color w:val="000000"/>
          <w:sz w:val="28"/>
        </w:rPr>
        <w:t>REFERENCIAS BIBLIOGRÁFICAS</w:t>
      </w:r>
    </w:p>
    <w:p>
      <w:pPr>
        <w:spacing w:before="0" w:after="160" w:line="360" w:lineRule="auto"/>
        <w:ind w:left="709" w:hanging="709"/>
        <w:jc w:val="both"/>
      </w:pPr>
      <w:r>
        <w:rPr>
          <w:rFonts w:ascii="Times New Roman" w:hAnsi="Times New Roman"/>
          <w:sz w:val="24"/>
        </w:rPr>
        <w:t>VERHOEF, Peter C.; BROEKHUIZEN, Tjark; BART, Yakov; BHATTACHARYA, Abhi; DONG, Jonathan Q.; FABIAN, Nicolai y HAENLEIN, Michael. Digital transformation: A multidisciplinary reflection and research agenda. Journal of Business Research [en línea]. 2021, vol. 122, pp. 889-901 [consulta: 23 mayo 2026]. DOI: 10.1016/j.jbusres.2019.09.022.</w:t>
      </w:r>
    </w:p>
    <w:p>
      <w:pPr>
        <w:spacing w:before="0" w:after="160" w:line="360" w:lineRule="auto"/>
        <w:ind w:left="709" w:hanging="709"/>
        <w:jc w:val="both"/>
      </w:pPr>
      <w:r>
        <w:rPr>
          <w:rFonts w:ascii="Times New Roman" w:hAnsi="Times New Roman"/>
          <w:sz w:val="24"/>
        </w:rPr>
        <w:t>SOTO-ACOSTA, Pedro. COVID-19 Pandemic: Shifting Digital Transformation to a High-Speed Gear in SMEs. Information Systems Management [en línea]. 2020, vol. 37, n.º 4, pp. 260-266 [consulta: 23 mayo 2026]. DOI: 10.1080/10580530.2020.1814461.</w:t>
      </w:r>
    </w:p>
    <w:p>
      <w:pPr>
        <w:spacing w:before="0" w:after="160" w:line="360" w:lineRule="auto"/>
        <w:ind w:left="709" w:hanging="709"/>
        <w:jc w:val="both"/>
      </w:pPr>
      <w:r>
        <w:rPr>
          <w:rFonts w:ascii="Times New Roman" w:hAnsi="Times New Roman"/>
          <w:sz w:val="24"/>
        </w:rPr>
        <w:t>NAMBISAN, Satish; LYYTINEN, Kalle; MAJCHRZAK, Ann y SONG, Michael. Digital Innovation Management: Reinventing Innovation Management Research in a Digital World. MIS Quarterly [en línea]. 2017, vol. 41, n.º 1, pp. 223-238 [consulta: 23 mayo 2026]. DOI: 10.25300/MISQ/2017/41.1.03.</w:t>
      </w:r>
    </w:p>
    <w:p>
      <w:pPr>
        <w:spacing w:before="0" w:after="160" w:line="360" w:lineRule="auto"/>
        <w:ind w:left="709" w:hanging="709"/>
        <w:jc w:val="both"/>
      </w:pPr>
      <w:r>
        <w:rPr>
          <w:rFonts w:ascii="Times New Roman" w:hAnsi="Times New Roman"/>
          <w:sz w:val="24"/>
        </w:rPr>
        <w:t>LI, Feng. The digital transformation of business models in the creative industries: A holistic framework and emerging trends. British Journal of Management [en línea]. 2020, vol. 31, n.º 3, pp. 473-488 [consulta: 23 mayo 2026]. DOI: 10.1111/1467-8551.12361.</w:t>
      </w:r>
    </w:p>
    <w:p>
      <w:pPr>
        <w:spacing w:before="0" w:after="160" w:line="360" w:lineRule="auto"/>
        <w:ind w:left="709" w:hanging="709"/>
        <w:jc w:val="both"/>
      </w:pPr>
      <w:r>
        <w:rPr>
          <w:rFonts w:ascii="Times New Roman" w:hAnsi="Times New Roman"/>
          <w:sz w:val="24"/>
        </w:rPr>
        <w:t>CHATTERJEE, Sheshadri y KUMAR KAR, Arpan. Why do small and medium enterprises use social media marketing and what is the impact: Empirical insights from India. Journal of Business Research [en línea]. 2020, vol. 122, pp. 368-378 [consulta: 23 mayo 2026]. DOI: 10.1016/j.jbusres.2019.09.016.</w:t>
      </w:r>
    </w:p>
    <w:p>
      <w:pPr>
        <w:spacing w:before="0" w:after="160" w:line="360" w:lineRule="auto"/>
        <w:ind w:left="709" w:hanging="709"/>
        <w:jc w:val="both"/>
      </w:pPr>
      <w:r>
        <w:rPr>
          <w:rFonts w:ascii="Times New Roman" w:hAnsi="Times New Roman"/>
          <w:sz w:val="24"/>
        </w:rPr>
        <w:t>KANNAN, P. K. Digital marketing: A framework, review and research agenda. International Journal of Research in Marketing [en línea]. 2017, vol. 34, n.º 1, pp. 22-45 [consulta: 23 mayo 2026]. DOI: 10.1016/j.ijresmar.2016.11.006.</w:t>
      </w:r>
    </w:p>
    <w:p>
      <w:pPr>
        <w:spacing w:before="0" w:after="160" w:line="360" w:lineRule="auto"/>
        <w:ind w:left="709" w:hanging="709"/>
        <w:jc w:val="both"/>
      </w:pPr>
      <w:r>
        <w:rPr>
          <w:rFonts w:ascii="Times New Roman" w:hAnsi="Times New Roman"/>
          <w:sz w:val="24"/>
        </w:rPr>
        <w:t>REINARTZ, Werner; WIEGAND, Nicole y IMSCHLOSS, Monika. The impact of digital transformation on the retailing value chain. International Journal of Research in Marketing [en línea]. 2019, vol. 36, n.º 3, pp. 350-366 [consulta: 23 mayo 2026]. DOI: 10.1016/j.ijresmar.2018.12.002.</w:t>
      </w:r>
    </w:p>
    <w:p>
      <w:pPr>
        <w:spacing w:before="0" w:after="160" w:line="360" w:lineRule="auto"/>
        <w:ind w:left="709" w:hanging="709"/>
        <w:jc w:val="both"/>
      </w:pPr>
      <w:r>
        <w:rPr>
          <w:rFonts w:ascii="Times New Roman" w:hAnsi="Times New Roman"/>
          <w:sz w:val="24"/>
        </w:rPr>
        <w:t>HAGBERG, Johan; SUNDSTROM, Marcus y EGELS-ZANDÉN, Niklas. The digitalization of retailing: An exploratory framework. International Journal of Retail &amp; Distribution Management [en línea]. 2016, vol. 44, n.º 7, pp. 694-712 [consulta: 23 mayo 2026]. DOI: 10.1108/IJRDM-09-2015-0140.</w:t>
      </w:r>
    </w:p>
    <w:p>
      <w:pPr>
        <w:spacing w:before="0" w:after="160" w:line="360" w:lineRule="auto"/>
        <w:ind w:left="709" w:hanging="709"/>
        <w:jc w:val="both"/>
      </w:pPr>
      <w:r>
        <w:rPr>
          <w:rFonts w:ascii="Times New Roman" w:hAnsi="Times New Roman"/>
          <w:sz w:val="24"/>
        </w:rPr>
        <w:t>YUAN, Yanqing; EDWARDS, John S. y DWIVEDI, Yogesh K. Artificial intelligence for decision making in the era of Big Data: Evolution, challenges and research agenda. International Journal of Information Management [en línea]. 2021, vol. 57, art. 102087 [consulta: 23 mayo 2026]. DOI: 10.1016/j.ijinfomgt.2020.102087.</w:t>
      </w:r>
    </w:p>
    <w:p>
      <w:pPr>
        <w:spacing w:before="0" w:after="160" w:line="360" w:lineRule="auto"/>
        <w:ind w:left="709" w:hanging="709"/>
        <w:jc w:val="both"/>
      </w:pPr>
      <w:r>
        <w:rPr>
          <w:rFonts w:ascii="Times New Roman" w:hAnsi="Times New Roman"/>
          <w:sz w:val="24"/>
        </w:rPr>
        <w:t>DAVENPORT, Thomas; GUHA, Abhijit; GREWAL, Dhruv y BRESSGOTT, Timna. How artificial intelligence will change the future of marketing. Journal of the Academy of Marketing Science [en línea]. 2020, vol. 48, n.º 1, pp. 24-42 [consulta: 23 mayo 2026]. DOI: 10.1007/s11747-019-00696-0.</w:t>
      </w:r>
    </w:p>
    <w:p>
      <w:pPr>
        <w:spacing w:before="0" w:after="160" w:line="360" w:lineRule="auto"/>
        <w:ind w:left="709" w:hanging="709"/>
        <w:jc w:val="both"/>
      </w:pPr>
      <w:r>
        <w:rPr>
          <w:rFonts w:ascii="Times New Roman" w:hAnsi="Times New Roman"/>
          <w:sz w:val="24"/>
        </w:rPr>
        <w:t>SHRESTHA, Yash Raj; BEN-MENAHEM, Shiko M. y VON KROGH, Georg. Organizational decision-making structures in the age of artificial intelligence. Academy of Management Executive [en línea]. 2019, vol. 33, n.º 2, pp. 99-113 [consulta: 23 mayo 2026]. DOI: 10.5465/amp.2018.0088.</w:t>
      </w:r>
    </w:p>
    <w:p>
      <w:pPr>
        <w:spacing w:before="0" w:after="160" w:line="360" w:lineRule="auto"/>
        <w:ind w:left="709" w:hanging="709"/>
        <w:jc w:val="both"/>
      </w:pPr>
      <w:r>
        <w:rPr>
          <w:rFonts w:ascii="Times New Roman" w:hAnsi="Times New Roman"/>
          <w:sz w:val="24"/>
        </w:rPr>
        <w:t>AMBA, Samuel F.; GUNASEKARAN, Angappa; AKTER, Shahriar; REN, Steven Ji Fan y DUBEY, Rameshwar. Big data analytics and firm performance: Effects of dynamic capabilities. International Journal of Production Economics [en línea]. 2017, vol. 193, pp. 567-580 [consulta: 23 mayo 2026]. DOI: 10.1016/j.ijpe.2017.08.004.</w:t>
      </w:r>
    </w:p>
    <w:p>
      <w:pPr>
        <w:spacing w:before="0" w:after="160" w:line="360" w:lineRule="auto"/>
        <w:ind w:left="709" w:hanging="709"/>
        <w:jc w:val="both"/>
      </w:pPr>
      <w:r>
        <w:rPr>
          <w:rFonts w:ascii="Times New Roman" w:hAnsi="Times New Roman"/>
          <w:sz w:val="24"/>
        </w:rPr>
        <w:t>MAKRIDAKIS, Spyros; SPILIOTIS, Evangelos y ASSIMAKOPOULOS, Vassilios. Statistical and Machine Learning forecasting methods: Concerns and ways forward. PLOS ONE [en línea]. 2018, vol. 13, n.º 3, art. e0194889 [consulta: 23 mayo 2026]. DOI: 10.1371/journal.pone.0194889.</w:t>
      </w:r>
    </w:p>
    <w:p>
      <w:pPr>
        <w:spacing w:before="0" w:after="160" w:line="360" w:lineRule="auto"/>
        <w:ind w:left="709" w:hanging="709"/>
        <w:jc w:val="both"/>
      </w:pPr>
      <w:r>
        <w:rPr>
          <w:rFonts w:ascii="Times New Roman" w:hAnsi="Times New Roman"/>
          <w:sz w:val="24"/>
        </w:rPr>
        <w:t>FILDES, Robert; MA, Shari y KOLASSA, Stephan. Retail forecasting: Research and practice. International Journal of Forecasting [en línea]. 2022, vol. 38, n.º 4, pp. 1283-1318 [consulta: 23 mayo 2026]. DOI: 10.1016/j.ijforecast.2019.06.004.</w:t>
      </w:r>
    </w:p>
    <w:p>
      <w:pPr>
        <w:spacing w:before="0" w:after="160" w:line="360" w:lineRule="auto"/>
        <w:ind w:left="709" w:hanging="709"/>
        <w:jc w:val="both"/>
      </w:pPr>
      <w:r>
        <w:rPr>
          <w:rFonts w:ascii="Times New Roman" w:hAnsi="Times New Roman"/>
          <w:sz w:val="24"/>
        </w:rPr>
        <w:t>SYAM, Niladri y SHARMA, Arun. Waiting for a sales renaissance in the fourth industrial revolution: Machine learning and selling in business and consumer markets. Industrial Marketing Management [en línea]. 2018, vol. 69, pp. 135-146 [consulta: 23 mayo 2026]. DOI: 10.1016/j.indmarman.2017.12.019.</w:t>
      </w:r>
    </w:p>
    <w:p>
      <w:pPr>
        <w:spacing w:before="0" w:after="160" w:line="360" w:lineRule="auto"/>
        <w:ind w:left="709" w:hanging="709"/>
        <w:jc w:val="both"/>
      </w:pPr>
      <w:r>
        <w:rPr>
          <w:rFonts w:ascii="Times New Roman" w:hAnsi="Times New Roman"/>
          <w:sz w:val="24"/>
        </w:rPr>
        <w:t>HAEFNER, Nino; WINCENT, Joakim; PARIDA, Vinit y GASSMANN, Oliver. Artificial intelligence and innovation management: A review, framework, and research agenda. Technological Forecasting and Social Change [en línea]. 2021, vol. 162, art. 120392 [consulta: 23 mayo 2026]. DOI: 10.1016/j.techfore.2020.120392.</w:t>
      </w:r>
    </w:p>
    <w:p>
      <w:pPr>
        <w:spacing w:before="0" w:after="160" w:line="360" w:lineRule="auto"/>
        <w:ind w:left="709" w:hanging="709"/>
        <w:jc w:val="both"/>
      </w:pPr>
      <w:r>
        <w:rPr>
          <w:rFonts w:ascii="Times New Roman" w:hAnsi="Times New Roman"/>
          <w:sz w:val="24"/>
        </w:rPr>
        <w:t>PASCHEN, Jeannette; KIETZMANN, Jan y KIETZMANN, Timea C. Artificial intelligence (AI) and its implications for market knowledge in B2B marketing. Journal of Business &amp; Industrial Marketing [en línea]. 2019, vol. 34, n.º 7, pp. 1410-1419 [consulta: 23 mayo 2026]. DOI: 10.1108/JBIM-10-2018-0295.</w:t>
      </w:r>
    </w:p>
    <w:p>
      <w:pPr>
        <w:spacing w:before="0" w:after="160" w:line="360" w:lineRule="auto"/>
        <w:ind w:left="709" w:hanging="709"/>
        <w:jc w:val="both"/>
      </w:pPr>
      <w:r>
        <w:rPr>
          <w:rFonts w:ascii="Times New Roman" w:hAnsi="Times New Roman"/>
          <w:sz w:val="24"/>
        </w:rPr>
        <w:t>OZBAYOGLU, Ahmet Murat; GUDELEK, Mehmet Ugur y SEZER, Omer Berat. Deep learning for financial applications: A survey. Applied Soft Computing [en línea]. 2020, vol. 93, art. 106384 [consulta: 23 mayo 2026]. DOI: 10.1016/j.asoc.2020.106384.</w:t>
      </w:r>
    </w:p>
    <w:p>
      <w:pPr>
        <w:spacing w:before="0" w:after="160" w:line="360" w:lineRule="auto"/>
        <w:ind w:left="709" w:hanging="709"/>
        <w:jc w:val="both"/>
      </w:pPr>
      <w:r>
        <w:rPr>
          <w:rFonts w:ascii="Times New Roman" w:hAnsi="Times New Roman"/>
          <w:sz w:val="24"/>
        </w:rPr>
        <w:t>BARBOZA, Flavio; KIMURA, Herbert y ALTMAN, Edward. Machine learning models and bankruptcy prediction. Expert Systems with Applications [en línea]. 2017, vol. 83, pp. 405-417 [consulta: 23 mayo 2026]. DOI: 10.1016/j.eswa.2017.04.006.</w:t>
      </w:r>
    </w:p>
    <w:p>
      <w:pPr>
        <w:spacing w:before="0" w:after="160" w:line="360" w:lineRule="auto"/>
        <w:ind w:left="709" w:hanging="709"/>
        <w:jc w:val="both"/>
      </w:pPr>
      <w:r>
        <w:rPr>
          <w:rFonts w:ascii="Times New Roman" w:hAnsi="Times New Roman"/>
          <w:sz w:val="24"/>
        </w:rPr>
        <w:t>OSAKA, Tadaaki. Bankruptcy prediction using imaged financial ratios and convolutional neural networks. Expert Systems with Applications [en línea]. 2021, vol. 164, art. 114051 [consulta: 23 mayo 2026]. DOI: 10.1016/j.eswa.2020.114051.</w:t>
      </w:r>
    </w:p>
    <w:p>
      <w:pPr>
        <w:spacing w:before="0" w:after="160" w:line="360" w:lineRule="auto"/>
        <w:ind w:left="709" w:hanging="709"/>
        <w:jc w:val="both"/>
      </w:pPr>
      <w:r>
        <w:rPr>
          <w:rFonts w:ascii="Times New Roman" w:hAnsi="Times New Roman"/>
          <w:sz w:val="24"/>
        </w:rPr>
        <w:t>KIM, Min Jae; CHO, Suk Won y RYU, Ilhyung. Corporate default predictions using machine learning: Literature review. Sustainability [en línea]. 2020, vol. 12, n.º 16, art. 6325 [consulta: 23 mayo 2026]. DOI: 10.3390/su12166325.</w:t>
      </w:r>
    </w:p>
    <w:p>
      <w:pPr>
        <w:spacing w:before="0" w:after="160" w:line="360" w:lineRule="auto"/>
        <w:ind w:left="709" w:hanging="709"/>
        <w:jc w:val="both"/>
      </w:pPr>
      <w:r>
        <w:rPr>
          <w:rFonts w:ascii="Times New Roman" w:hAnsi="Times New Roman"/>
          <w:sz w:val="24"/>
        </w:rPr>
        <w:t>DU JARDIN, Philippe. Dynamics of firm financial evolution and bankruptcy prediction. Expert Systems with Applications [en línea]. 2021, vol. 175, art. 114757 [consulta: 23 mayo 2026]. DOI: 10.1016/j.eswa.2021.114757.</w:t>
      </w:r>
    </w:p>
    <w:p>
      <w:pPr>
        <w:spacing w:before="0" w:after="160" w:line="360" w:lineRule="auto"/>
        <w:ind w:left="709" w:hanging="709"/>
        <w:jc w:val="both"/>
      </w:pPr>
      <w:r>
        <w:rPr>
          <w:rFonts w:ascii="Times New Roman" w:hAnsi="Times New Roman"/>
          <w:sz w:val="24"/>
        </w:rPr>
        <w:t>JIANG, Deron; LU, Chang-Chun; TSAI, Chih-Fong y SHIH, Guan-An. Financial ratios and corporate governance indicators in bankruptcy prediction: A comprehensive study. European Journal of Operational Research [en línea]. 2018, vol. 252, n.º 2, pp. 561-572 [consulta: 23 mayo 2026]. DOI: 10.1016/j.ejor.2016.01.012.</w:t>
      </w:r>
    </w:p>
    <w:p>
      <w:pPr>
        <w:spacing w:before="0" w:after="160" w:line="360" w:lineRule="auto"/>
        <w:ind w:left="709" w:hanging="709"/>
        <w:jc w:val="both"/>
      </w:pPr>
      <w:r>
        <w:rPr>
          <w:rFonts w:ascii="Times New Roman" w:hAnsi="Times New Roman"/>
          <w:sz w:val="24"/>
        </w:rPr>
        <w:t>CAI, Feng; TIAN, Shaonan; LEE, Chihoon y MA, Ling. Deep learning models for bankruptcy prediction using textual disclosures. European Accounting Review [en línea]. 2021, vol. 30, n.º 5, pp. 997-1027 [consulta: 23 mayo 2026]. DOI: 10.1080/09638180.2020.1832466.</w:t>
      </w:r>
    </w:p>
    <w:p>
      <w:pPr>
        <w:spacing w:before="0" w:after="160" w:line="360" w:lineRule="auto"/>
        <w:ind w:left="709" w:hanging="709"/>
        <w:jc w:val="both"/>
      </w:pPr>
      <w:r>
        <w:rPr>
          <w:rFonts w:ascii="Times New Roman" w:hAnsi="Times New Roman"/>
          <w:sz w:val="24"/>
        </w:rPr>
        <w:t>TIAN, Shaonan; YU, Yan y GUO, Hui. Variable selection and corporate bankruptcy forecasts. Journal of Banking &amp; Finance [en línea]. 2015, vol. 52, pp. 89-100 [consulta: 23 mayo 2026]. DOI: 10.1016/j.jbankfin.2014.12.003.</w:t>
      </w:r>
    </w:p>
    <w:p>
      <w:pPr>
        <w:spacing w:before="0" w:after="160" w:line="360" w:lineRule="auto"/>
        <w:ind w:left="709" w:hanging="709"/>
        <w:jc w:val="both"/>
      </w:pPr>
      <w:r>
        <w:rPr>
          <w:rFonts w:ascii="Times New Roman" w:hAnsi="Times New Roman"/>
          <w:sz w:val="24"/>
        </w:rPr>
        <w:t>ALTMAN, Edward I. Financial ratios, discriminant analysis and the prediction of corporate bankruptcy. The Journal of Finance [en línea]. 1968, vol. 23, n.º 4, pp. 589-609 [consulta: 23 mayo 2026]. DOI: 10.1111/j.1540-6261.1968.tb00843.x.</w:t>
      </w:r>
    </w:p>
    <w:p>
      <w:pPr>
        <w:spacing w:before="0" w:after="160" w:line="360" w:lineRule="auto"/>
        <w:ind w:left="709" w:hanging="709"/>
        <w:jc w:val="both"/>
      </w:pPr>
      <w:r>
        <w:rPr>
          <w:rFonts w:ascii="Times New Roman" w:hAnsi="Times New Roman"/>
          <w:sz w:val="24"/>
        </w:rPr>
        <w:t>BEAVER, William H. Financial ratios as predictors of failure. Journal of Accounting Research [en línea]. 1966, vol. 4, pp. 71-111 [consulta: 23 mayo 2026]. DOI: 10.2307/2490171.</w:t>
      </w:r>
    </w:p>
    <w:p>
      <w:pPr>
        <w:spacing w:before="0" w:after="160" w:line="360" w:lineRule="auto"/>
        <w:ind w:left="709" w:hanging="709"/>
        <w:jc w:val="both"/>
      </w:pPr>
      <w:r>
        <w:rPr>
          <w:rFonts w:ascii="Times New Roman" w:hAnsi="Times New Roman"/>
          <w:sz w:val="24"/>
        </w:rPr>
        <w:t>JAMSHIDI, Pooyan; PAHL, Claus; MENDONCA, Nabor C.; LEWIS, James y TILKOV, Stefan. Microservices: The journey so far and challenges ahead. IEEE Software [en línea]. 2018, vol. 35, n.º 3, pp. 24-35 [consulta: 23 mayo 2026]. DOI: 10.1109/MS.2018.2141039.</w:t>
      </w:r>
    </w:p>
    <w:p>
      <w:pPr>
        <w:spacing w:before="0" w:after="160" w:line="360" w:lineRule="auto"/>
        <w:ind w:left="709" w:hanging="709"/>
        <w:jc w:val="both"/>
      </w:pPr>
      <w:r>
        <w:rPr>
          <w:rFonts w:ascii="Times New Roman" w:hAnsi="Times New Roman"/>
          <w:sz w:val="24"/>
        </w:rPr>
        <w:t>SWAKATARE, Lucy Ellen; RAJ, Aiswarya; CRNKOVIC, Ivica; BOSCH, Jan y OLSSON, Helena Holmström. Large-scale machine learning systems in real-world industrial settings: A review of challenges and solutions. IEEE/ACM 41st ICSE-SEIP [en línea]. 2019 [consulta: 23 mayo 2026]. DOI: 10.1109/ICSE-SEIP.2019.00011.</w:t>
      </w:r>
    </w:p>
    <w:p>
      <w:pPr>
        <w:spacing w:before="0" w:after="160" w:line="360" w:lineRule="auto"/>
        <w:ind w:left="709" w:hanging="709"/>
        <w:jc w:val="both"/>
      </w:pPr>
      <w:r>
        <w:rPr>
          <w:rFonts w:ascii="Times New Roman" w:hAnsi="Times New Roman"/>
          <w:sz w:val="24"/>
        </w:rPr>
        <w:t>KHALID, Umair; KHAN, Muhammad Anees; MAZLIHAM, M. S. et al. Predicting risk through artificial intelligence based on machine learning algorithms. Scientific Programming [en línea]. 2022, vol. 2022, art. 6858916 [consulta: 23 mayo 2026]. DOI: 10.1155/2022/6858916.</w:t>
      </w:r>
    </w:p>
    <w:p>
      <w:pPr>
        <w:spacing w:before="0" w:after="160" w:line="360" w:lineRule="auto"/>
        <w:ind w:left="709" w:hanging="709"/>
        <w:jc w:val="both"/>
      </w:pPr>
      <w:r>
        <w:rPr>
          <w:rFonts w:ascii="Times New Roman" w:hAnsi="Times New Roman"/>
          <w:sz w:val="24"/>
        </w:rPr>
        <w:t>FISCHER, Thomas y KRAUSS, Christopher. Deep learning with long short-term memory networks for financial market predictions. European Journal of Operational Research [en línea]. 2018, vol. 270, n.º 2, pp. 654-669 [consulta: 23 mayo 2026]. DOI: 10.1016/j.ejor.2017.11.054.</w:t>
      </w:r>
    </w:p>
    <w:p>
      <w:pPr>
        <w:spacing w:before="0" w:after="160" w:line="360" w:lineRule="auto"/>
        <w:ind w:left="709" w:hanging="709"/>
        <w:jc w:val="both"/>
      </w:pPr>
      <w:r>
        <w:rPr>
          <w:rFonts w:ascii="Times New Roman" w:hAnsi="Times New Roman"/>
          <w:sz w:val="24"/>
        </w:rPr>
        <w:t>PALEYES, Andrei; URMA, Raoul-Gabriel y LAWRENCE, Neil D. Challenges in deploying machine learning: A survey of case studies. ACM Computing Surveys [en línea]. 2022, vol. 55, n.º 6, art. 114 [consulta: 23 mayo 2026]. DOI: 10.1145/3533378.</w:t>
      </w:r>
    </w:p>
    <w:p>
      <w:pPr>
        <w:spacing w:before="0" w:after="160" w:line="360" w:lineRule="auto"/>
        <w:ind w:left="709" w:hanging="709"/>
        <w:jc w:val="both"/>
      </w:pPr>
      <w:r>
        <w:rPr>
          <w:rFonts w:ascii="Times New Roman" w:hAnsi="Times New Roman"/>
          <w:sz w:val="24"/>
        </w:rPr>
        <w:t>MARTINEZ-FERNANDEZ, Silverio; BOGNER, Justus; FRANCH, Xavier; ORIOL, Marc; SIEBERT, Julien; TRENDOWICZ, Adam; VOLLMER, Anna Maria y WAGNER, Stefan. Software engineering for AI-based systems: A survey. ACM Transactions on Software Engineering and Methodology [en línea]. 2022, vol. 31, n.º 2, art. 37 [consulta: 23 mayo 2026]. DOI: 10.1145/3487043.</w:t>
      </w:r>
    </w:p>
    <w:p>
      <w:pPr>
        <w:spacing w:before="0" w:after="160" w:line="360" w:lineRule="auto"/>
        <w:ind w:left="709" w:hanging="709"/>
        <w:jc w:val="both"/>
      </w:pPr>
      <w:r>
        <w:rPr>
          <w:rFonts w:ascii="Times New Roman" w:hAnsi="Times New Roman"/>
          <w:sz w:val="24"/>
        </w:rPr>
        <w:t>LI, Shanshan; ZHANG, He; JIA, Zhen; ZHONG, Cheng; ZHANG, Cheng; SHAN, Zhihao; SHEN, Jinfeng y BABAR, Muhammad Ali. Understanding and addressing quality attributes of microservices architecture: A systematic mapping study. Information and Software Technology [en línea]. 2021, vol. 131, art. 106449 [consulta: 23 mayo 2026]. DOI: 10.1016/j.infsof.2020.106449.</w:t>
      </w:r>
    </w:p>
    <w:p>
      <w:pPr>
        <w:spacing w:before="0" w:after="160" w:line="360" w:lineRule="auto"/>
        <w:ind w:left="709" w:hanging="709"/>
        <w:jc w:val="both"/>
      </w:pPr>
      <w:r>
        <w:rPr>
          <w:rFonts w:ascii="Times New Roman" w:hAnsi="Times New Roman"/>
          <w:sz w:val="24"/>
        </w:rPr>
        <w:t>BREIMAN, Leo. Random forests. Machine Learning [en línea]. 2001, vol. 45, n.º 1, pp. 5-32 [consulta: 23 mayo 2026]. DOI: 10.1023/A:1010933404324.</w:t>
      </w:r>
    </w:p>
    <w:p>
      <w:pPr>
        <w:spacing w:before="0" w:after="160" w:line="360" w:lineRule="auto"/>
        <w:ind w:left="709" w:hanging="709"/>
        <w:jc w:val="both"/>
      </w:pPr>
      <w:r>
        <w:rPr>
          <w:rFonts w:ascii="Times New Roman" w:hAnsi="Times New Roman"/>
          <w:sz w:val="24"/>
        </w:rPr>
        <w:t>DINGSØYR, Torgeir; NERUR, Sridhar; BALIJEPALLY, VenuGopal y MOE, Nils Brede. A decade of agile methodologies: Towards explaining agile software development. Journal of Systems and Software [en línea]. 2012, vol. 85, n.º 6, pp. 1213-1221 [consulta: 23 mayo 2026]. DOI: 10.1016/j.jss.2012.02.033.</w:t>
      </w:r>
    </w:p>
    <w:p>
      <w:pPr>
        <w:spacing w:before="0" w:after="160" w:line="360" w:lineRule="auto"/>
        <w:ind w:left="709" w:hanging="709"/>
        <w:jc w:val="both"/>
      </w:pPr>
      <w:r>
        <w:rPr>
          <w:rFonts w:ascii="Times New Roman" w:hAnsi="Times New Roman"/>
          <w:sz w:val="24"/>
        </w:rPr>
        <w:t>SALGONDE, Onkar y CHARI, Krishnamurthy. Predicting sprint performance for agile software development using machine learning. Information Systems Management [en línea]. 2021, vol. 38, n.º 3, pp. 209-227 [consulta: 23 mayo 2026]. DOI: 10.1080/10580530.2020.1818899.</w:t>
      </w:r>
    </w:p>
    <w:p>
      <w:pPr>
        <w:spacing w:before="0" w:after="160" w:line="360" w:lineRule="auto"/>
        <w:ind w:left="709" w:hanging="709"/>
        <w:jc w:val="both"/>
      </w:pPr>
      <w:r>
        <w:rPr>
          <w:rFonts w:ascii="Times New Roman" w:hAnsi="Times New Roman"/>
          <w:sz w:val="24"/>
        </w:rPr>
        <w:t>KUHRMANN, Marco; FERNANDEZ, Daniel Mendez; DANEVA, Maya et al. Hybrid software development approaches in practice: A European perspective. IEEE Software [en línea]. 2019, vol. 36, n.º 1, pp. 20-29 [consulta: 23 mayo 2026]. DOI: 10.1109/MS.2018.2885285.</w:t>
      </w:r>
    </w:p>
    <w:p>
      <w:pPr>
        <w:spacing w:before="0" w:after="160" w:line="360" w:lineRule="auto"/>
        <w:ind w:left="709" w:hanging="709"/>
        <w:jc w:val="both"/>
      </w:pPr>
      <w:r>
        <w:rPr>
          <w:rFonts w:ascii="Times New Roman" w:hAnsi="Times New Roman"/>
          <w:sz w:val="24"/>
        </w:rPr>
        <w:t>LEPENIOTI, Katerina; BOUSDEKIS, Alexandros; APOSTOLOU, Dimitris y MENTZAS, Gregoris. Prescriptive analytics: Literature review and research challenges. International Journal of Information Management [en línea]. 2020, vol. 50, pp. 57-70 [consulta: 23 mayo 2026]. DOI: 10.1016/j.ijinfomgt.2019.04.003.</w:t>
      </w:r>
    </w:p>
    <w:p>
      <w:pPr>
        <w:spacing w:before="0" w:after="160" w:line="360" w:lineRule="auto"/>
        <w:ind w:left="709" w:hanging="709"/>
        <w:jc w:val="both"/>
      </w:pPr>
      <w:r>
        <w:rPr>
          <w:rFonts w:ascii="Times New Roman" w:hAnsi="Times New Roman"/>
          <w:sz w:val="24"/>
        </w:rPr>
        <w:t>CHOI, Tsan-Ming; WALLACE, Stein W. y WANG, Yulan. Big data analytics in operations management. Production and Operations Management [en línea]. 2018, vol. 27, n.º 10, pp. 1868-1883 [consulta: 23 mayo 2026]. DOI: 10.1111/poms.12838.</w:t>
      </w:r>
    </w:p>
    <w:p>
      <w:pPr>
        <w:spacing w:before="0" w:after="160" w:line="360" w:lineRule="auto"/>
        <w:ind w:left="709" w:hanging="709"/>
        <w:jc w:val="both"/>
      </w:pPr>
      <w:r>
        <w:rPr>
          <w:rFonts w:ascii="Times New Roman" w:hAnsi="Times New Roman"/>
          <w:sz w:val="24"/>
        </w:rPr>
        <w:t>HAAKMAN, Mark; CRUZ, Luis; HUIJGENS, Hennie y VAN DEURSEN, Arie. AI lifecycle models need to be revised: An exploratory study in Fintech. Empirical Software Engineering [en línea]. 2021, vol. 26, n.º 5, art. 95 [consulta: 23 mayo 2026]. DOI: 10.1007/s10664-021-09993-1.</w:t>
      </w:r>
    </w:p>
    <w:p>
      <w:pPr>
        <w:spacing w:before="0" w:after="160" w:line="360" w:lineRule="auto"/>
        <w:ind w:left="709" w:hanging="709"/>
        <w:jc w:val="both"/>
      </w:pPr>
      <w:r>
        <w:rPr>
          <w:rFonts w:ascii="Times New Roman" w:hAnsi="Times New Roman"/>
          <w:sz w:val="24"/>
        </w:rPr>
        <w:t>MELVILLE, Nigel; KRAEMER, Kenneth y GURBAXANI, Vijay. Information technology and organizational performance: An integrative model of IT business value. MIS Quarterly [en línea]. 2004, vol. 28, n.º 2, pp. 283-322 [consulta: 23 mayo 2026]. DOI: 10.2307/25148636.</w:t>
      </w:r>
    </w:p>
    <w:p>
      <w:r>
        <w:br w:type="page"/>
      </w:r>
    </w:p>
    <w:p>
      <w:pPr>
        <w:spacing w:before="0" w:after="360"/>
        <w:jc w:val="center"/>
      </w:pPr>
      <w:r>
        <w:rPr>
          <w:rFonts w:ascii="Times New Roman" w:hAnsi="Times New Roman"/>
          <w:b/>
          <w:color w:val="000000"/>
          <w:sz w:val="28"/>
        </w:rPr>
        <w:t>ANEXOS</w:t>
      </w:r>
    </w:p>
    <w:p>
      <w:pPr>
        <w:spacing w:before="0" w:after="160" w:line="360" w:lineRule="auto"/>
        <w:ind w:firstLine="709"/>
        <w:jc w:val="both"/>
      </w:pPr>
      <w:r>
        <w:rPr>
          <w:rFonts w:ascii="Times New Roman" w:hAnsi="Times New Roman"/>
          <w:sz w:val="24"/>
        </w:rPr>
        <w:t>Los siguientes anexos forman parte integral del presente proyecto de investigación y complementan la información presentada en los capítulos del informe.</w:t>
      </w:r>
    </w:p>
    <w:p>
      <w:r>
        <w:br w:type="page"/>
      </w:r>
    </w:p>
    <w:p>
      <w:pPr>
        <w:spacing w:before="0" w:after="240"/>
        <w:jc w:val="center"/>
      </w:pPr>
      <w:r>
        <w:rPr>
          <w:rFonts w:ascii="Times New Roman" w:hAnsi="Times New Roman"/>
          <w:b/>
          <w:color w:val="000000"/>
          <w:sz w:val="24"/>
        </w:rPr>
        <w:t>Anexo 01. Matriz de Consistencia</w:t>
      </w:r>
    </w:p>
    <w:p>
      <w:pPr>
        <w:spacing w:before="0" w:after="160" w:line="360" w:lineRule="auto"/>
        <w:ind w:firstLine="709"/>
        <w:jc w:val="both"/>
      </w:pPr>
      <w:r>
        <w:rPr>
          <w:rFonts w:ascii="Times New Roman" w:hAnsi="Times New Roman"/>
          <w:sz w:val="24"/>
        </w:rPr>
        <w:t>La matriz de consistencia vincula de forma coherente el problema general, los objetivos, las hipótesis, las variables, los indicadores y la metodología de la investigación, garantizando la coherencia interna del proyecto.</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shd w:val="clear" w:color="auto" w:fill="1F3864"/>
          </w:tcPr>
          <w:p>
            <w:pPr>
              <w:jc w:val="center"/>
            </w:pPr>
            <w:r>
              <w:rPr>
                <w:rFonts w:ascii="Times New Roman" w:hAnsi="Times New Roman"/>
                <w:b/>
                <w:color w:val="FFFFFF"/>
                <w:sz w:val="16"/>
              </w:rPr>
              <w:t>Problema</w:t>
            </w:r>
          </w:p>
        </w:tc>
        <w:tc>
          <w:tcPr>
            <w:tcW w:type="dxa" w:w="1255"/>
            <w:shd w:val="clear" w:color="auto" w:fill="1F3864"/>
          </w:tcPr>
          <w:p>
            <w:pPr>
              <w:jc w:val="center"/>
            </w:pPr>
            <w:r>
              <w:rPr>
                <w:rFonts w:ascii="Times New Roman" w:hAnsi="Times New Roman"/>
                <w:b/>
                <w:color w:val="FFFFFF"/>
                <w:sz w:val="16"/>
              </w:rPr>
              <w:t>Objetivos</w:t>
            </w:r>
          </w:p>
        </w:tc>
        <w:tc>
          <w:tcPr>
            <w:tcW w:type="dxa" w:w="1255"/>
            <w:shd w:val="clear" w:color="auto" w:fill="1F3864"/>
          </w:tcPr>
          <w:p>
            <w:pPr>
              <w:jc w:val="center"/>
            </w:pPr>
            <w:r>
              <w:rPr>
                <w:rFonts w:ascii="Times New Roman" w:hAnsi="Times New Roman"/>
                <w:b/>
                <w:color w:val="FFFFFF"/>
                <w:sz w:val="16"/>
              </w:rPr>
              <w:t>Hipótesis</w:t>
            </w:r>
          </w:p>
        </w:tc>
        <w:tc>
          <w:tcPr>
            <w:tcW w:type="dxa" w:w="1255"/>
            <w:shd w:val="clear" w:color="auto" w:fill="1F3864"/>
          </w:tcPr>
          <w:p>
            <w:pPr>
              <w:jc w:val="center"/>
            </w:pPr>
            <w:r>
              <w:rPr>
                <w:rFonts w:ascii="Times New Roman" w:hAnsi="Times New Roman"/>
                <w:b/>
                <w:color w:val="FFFFFF"/>
                <w:sz w:val="16"/>
              </w:rPr>
              <w:t>Variable</w:t>
            </w:r>
          </w:p>
        </w:tc>
        <w:tc>
          <w:tcPr>
            <w:tcW w:type="dxa" w:w="1255"/>
            <w:shd w:val="clear" w:color="auto" w:fill="1F3864"/>
          </w:tcPr>
          <w:p>
            <w:pPr>
              <w:jc w:val="center"/>
            </w:pPr>
            <w:r>
              <w:rPr>
                <w:rFonts w:ascii="Times New Roman" w:hAnsi="Times New Roman"/>
                <w:b/>
                <w:color w:val="FFFFFF"/>
                <w:sz w:val="16"/>
              </w:rPr>
              <w:t>Dimensiones</w:t>
            </w:r>
          </w:p>
        </w:tc>
        <w:tc>
          <w:tcPr>
            <w:tcW w:type="dxa" w:w="1255"/>
            <w:shd w:val="clear" w:color="auto" w:fill="1F3864"/>
          </w:tcPr>
          <w:p>
            <w:pPr>
              <w:jc w:val="center"/>
            </w:pPr>
            <w:r>
              <w:rPr>
                <w:rFonts w:ascii="Times New Roman" w:hAnsi="Times New Roman"/>
                <w:b/>
                <w:color w:val="FFFFFF"/>
                <w:sz w:val="16"/>
              </w:rPr>
              <w:t>Indicadores</w:t>
            </w:r>
          </w:p>
        </w:tc>
        <w:tc>
          <w:tcPr>
            <w:tcW w:type="dxa" w:w="1255"/>
            <w:shd w:val="clear" w:color="auto" w:fill="1F3864"/>
          </w:tcPr>
          <w:p>
            <w:pPr>
              <w:jc w:val="center"/>
            </w:pPr>
            <w:r>
              <w:rPr>
                <w:rFonts w:ascii="Times New Roman" w:hAnsi="Times New Roman"/>
                <w:b/>
                <w:color w:val="FFFFFF"/>
                <w:sz w:val="16"/>
              </w:rPr>
              <w:t>Metodología</w:t>
            </w:r>
          </w:p>
        </w:tc>
      </w:tr>
      <w:tr>
        <w:tc>
          <w:tcPr>
            <w:tcW w:type="dxa" w:w="1255"/>
          </w:tcPr>
          <w:p>
            <w:pPr>
              <w:jc w:val="left"/>
            </w:pPr>
            <w:r>
              <w:rPr>
                <w:rFonts w:ascii="Times New Roman" w:hAnsi="Times New Roman"/>
                <w:sz w:val="15"/>
              </w:rPr>
              <w:t>¿De qué manera el sistema web de e-commerce con IA influye en la predicción del riesgo empresarial en Calzatura Vilchez?</w:t>
            </w:r>
          </w:p>
        </w:tc>
        <w:tc>
          <w:tcPr>
            <w:tcW w:type="dxa" w:w="1255"/>
          </w:tcPr>
          <w:p>
            <w:pPr>
              <w:jc w:val="left"/>
            </w:pPr>
            <w:r>
              <w:rPr>
                <w:rFonts w:ascii="Times New Roman" w:hAnsi="Times New Roman"/>
                <w:sz w:val="15"/>
              </w:rPr>
              <w:t>Implementar un sistema web de e-commerce con IA para mejorar la predicción del riesgo empresarial.</w:t>
            </w:r>
          </w:p>
        </w:tc>
        <w:tc>
          <w:tcPr>
            <w:tcW w:type="dxa" w:w="1255"/>
          </w:tcPr>
          <w:p>
            <w:pPr>
              <w:jc w:val="left"/>
            </w:pPr>
            <w:r>
              <w:rPr>
                <w:rFonts w:ascii="Times New Roman" w:hAnsi="Times New Roman"/>
                <w:sz w:val="15"/>
              </w:rPr>
              <w:t>El sistema web de e-commerce con IA mejora significativamente la predicción del riesgo empresarial.</w:t>
            </w:r>
          </w:p>
        </w:tc>
        <w:tc>
          <w:tcPr>
            <w:tcW w:type="dxa" w:w="1255"/>
          </w:tcPr>
          <w:p>
            <w:pPr>
              <w:jc w:val="left"/>
            </w:pPr>
            <w:r>
              <w:rPr>
                <w:rFonts w:ascii="Times New Roman" w:hAnsi="Times New Roman"/>
                <w:sz w:val="15"/>
              </w:rPr>
              <w:t>VI: Sistema web de e-commerce con modelo de IA</w:t>
            </w:r>
          </w:p>
        </w:tc>
        <w:tc>
          <w:tcPr>
            <w:tcW w:type="dxa" w:w="1255"/>
          </w:tcPr>
          <w:p>
            <w:pPr>
              <w:jc w:val="left"/>
            </w:pPr>
            <w:r>
              <w:rPr>
                <w:rFonts w:ascii="Times New Roman" w:hAnsi="Times New Roman"/>
                <w:sz w:val="15"/>
              </w:rPr>
              <w:t>D1: E-commerce y TD</w:t>
              <w:br/>
              <w:t>D2: IA y analítica</w:t>
              <w:br/>
              <w:t>D3: Arquitectura SW</w:t>
              <w:br/>
              <w:t>D4: Metodología</w:t>
            </w:r>
          </w:p>
        </w:tc>
        <w:tc>
          <w:tcPr>
            <w:tcW w:type="dxa" w:w="1255"/>
          </w:tcPr>
          <w:p>
            <w:pPr>
              <w:jc w:val="left"/>
            </w:pPr>
            <w:r>
              <w:rPr>
                <w:rFonts w:ascii="Times New Roman" w:hAnsi="Times New Roman"/>
                <w:sz w:val="15"/>
              </w:rPr>
              <w:t>Madurez digital, Accuracy del modelo, Latencia API, Velocidad sprints</w:t>
            </w:r>
          </w:p>
        </w:tc>
        <w:tc>
          <w:tcPr>
            <w:tcW w:type="dxa" w:w="1255"/>
          </w:tcPr>
          <w:p>
            <w:pPr>
              <w:jc w:val="left"/>
            </w:pPr>
            <w:r>
              <w:rPr>
                <w:rFonts w:ascii="Times New Roman" w:hAnsi="Times New Roman"/>
                <w:sz w:val="15"/>
              </w:rPr>
              <w:t>Tipo: Aplicada</w:t>
              <w:br/>
              <w:t>Enfoque: Cuantitativo</w:t>
              <w:br/>
              <w:t>Diseño: Pre-experimental</w:t>
              <w:br/>
              <w:t>Nivel: Explicativo</w:t>
            </w:r>
          </w:p>
        </w:tc>
      </w:tr>
      <w:tr>
        <w:tc>
          <w:tcPr>
            <w:tcW w:type="dxa" w:w="1255"/>
          </w:tcPr>
          <w:p>
            <w:pPr>
              <w:jc w:val="left"/>
            </w:pPr>
            <w:r>
              <w:rPr>
                <w:rFonts w:ascii="Times New Roman" w:hAnsi="Times New Roman"/>
                <w:sz w:val="15"/>
              </w:rPr>
              <w:t>P.E.1: ¿En qué medida el sistema web mejora la digitalización de procesos?</w:t>
            </w:r>
          </w:p>
        </w:tc>
        <w:tc>
          <w:tcPr>
            <w:tcW w:type="dxa" w:w="1255"/>
          </w:tcPr>
          <w:p>
            <w:pPr>
              <w:jc w:val="left"/>
            </w:pPr>
            <w:r>
              <w:rPr>
                <w:rFonts w:ascii="Times New Roman" w:hAnsi="Times New Roman"/>
                <w:sz w:val="15"/>
              </w:rPr>
              <w:t>O.E.1: Digitalizar procesos de venta y gestión de inventario.</w:t>
            </w:r>
          </w:p>
        </w:tc>
        <w:tc>
          <w:tcPr>
            <w:tcW w:type="dxa" w:w="1255"/>
          </w:tcPr>
          <w:p>
            <w:pPr>
              <w:jc w:val="left"/>
            </w:pPr>
            <w:r>
              <w:rPr>
                <w:rFonts w:ascii="Times New Roman" w:hAnsi="Times New Roman"/>
                <w:sz w:val="15"/>
              </w:rPr>
              <w:t>H.E.1: La implementación mejora la digitalización en al menos 70 %.</w:t>
            </w:r>
          </w:p>
        </w:tc>
        <w:tc>
          <w:tcPr>
            <w:tcW w:type="dxa" w:w="1255"/>
          </w:tcPr>
          <w:p>
            <w:pPr>
              <w:jc w:val="left"/>
            </w:pPr>
            <w:r>
              <w:rPr>
                <w:rFonts w:ascii="Times New Roman" w:hAnsi="Times New Roman"/>
                <w:sz w:val="15"/>
              </w:rPr>
            </w:r>
          </w:p>
        </w:tc>
        <w:tc>
          <w:tcPr>
            <w:tcW w:type="dxa" w:w="1255"/>
          </w:tcPr>
          <w:p>
            <w:pPr>
              <w:jc w:val="left"/>
            </w:pPr>
            <w:r>
              <w:rPr>
                <w:rFonts w:ascii="Times New Roman" w:hAnsi="Times New Roman"/>
                <w:sz w:val="15"/>
              </w:rPr>
            </w:r>
          </w:p>
        </w:tc>
        <w:tc>
          <w:tcPr>
            <w:tcW w:type="dxa" w:w="1255"/>
          </w:tcPr>
          <w:p>
            <w:pPr>
              <w:jc w:val="left"/>
            </w:pPr>
            <w:r>
              <w:rPr>
                <w:rFonts w:ascii="Times New Roman" w:hAnsi="Times New Roman"/>
                <w:sz w:val="15"/>
              </w:rPr>
            </w:r>
          </w:p>
        </w:tc>
        <w:tc>
          <w:tcPr>
            <w:tcW w:type="dxa" w:w="1255"/>
          </w:tcPr>
          <w:p>
            <w:pPr>
              <w:jc w:val="left"/>
            </w:pPr>
            <w:r>
              <w:rPr>
                <w:rFonts w:ascii="Times New Roman" w:hAnsi="Times New Roman"/>
                <w:sz w:val="15"/>
              </w:rPr>
            </w:r>
          </w:p>
        </w:tc>
      </w:tr>
      <w:tr>
        <w:tc>
          <w:tcPr>
            <w:tcW w:type="dxa" w:w="1255"/>
          </w:tcPr>
          <w:p>
            <w:r>
              <w:rPr>
                <w:rFonts w:ascii="Times New Roman" w:hAnsi="Times New Roman"/>
                <w:sz w:val="15"/>
              </w:rPr>
              <w:t>P.E.2: ¿Cómo el modelo de IA mejora la precisión del pronóstico de demanda?</w:t>
            </w:r>
          </w:p>
        </w:tc>
        <w:tc>
          <w:tcPr>
            <w:tcW w:type="dxa" w:w="1255"/>
          </w:tcPr>
          <w:p>
            <w:r>
              <w:rPr>
                <w:rFonts w:ascii="Times New Roman" w:hAnsi="Times New Roman"/>
                <w:sz w:val="15"/>
              </w:rPr>
              <w:t>O.E.2: Desarrollar modelo ML para pronóstico de demanda (14-30 días).</w:t>
            </w:r>
          </w:p>
        </w:tc>
        <w:tc>
          <w:tcPr>
            <w:tcW w:type="dxa" w:w="1255"/>
          </w:tcPr>
          <w:p>
            <w:r>
              <w:rPr>
                <w:rFonts w:ascii="Times New Roman" w:hAnsi="Times New Roman"/>
                <w:sz w:val="15"/>
              </w:rPr>
              <w:t>H.E.2: El modelo reduce el MAE en al menos 30 % vs. método actual.</w:t>
            </w:r>
          </w:p>
        </w:tc>
        <w:tc>
          <w:tcPr>
            <w:tcW w:type="dxa" w:w="1255"/>
          </w:tcPr>
          <w:p>
            <w:r>
              <w:rPr>
                <w:rFonts w:ascii="Times New Roman" w:hAnsi="Times New Roman"/>
                <w:sz w:val="15"/>
              </w:rPr>
            </w:r>
          </w:p>
        </w:tc>
        <w:tc>
          <w:tcPr>
            <w:tcW w:type="dxa" w:w="1255"/>
          </w:tcPr>
          <w:p>
            <w:r>
              <w:rPr>
                <w:rFonts w:ascii="Times New Roman" w:hAnsi="Times New Roman"/>
                <w:sz w:val="15"/>
              </w:rPr>
            </w:r>
          </w:p>
        </w:tc>
        <w:tc>
          <w:tcPr>
            <w:tcW w:type="dxa" w:w="1255"/>
          </w:tcPr>
          <w:p>
            <w:r>
              <w:rPr>
                <w:rFonts w:ascii="Times New Roman" w:hAnsi="Times New Roman"/>
                <w:sz w:val="15"/>
              </w:rPr>
            </w:r>
          </w:p>
        </w:tc>
        <w:tc>
          <w:tcPr>
            <w:tcW w:type="dxa" w:w="1255"/>
          </w:tcPr>
          <w:p>
            <w:r>
              <w:rPr>
                <w:rFonts w:ascii="Times New Roman" w:hAnsi="Times New Roman"/>
                <w:sz w:val="15"/>
              </w:rPr>
            </w:r>
          </w:p>
        </w:tc>
      </w:tr>
      <w:tr>
        <w:tc>
          <w:tcPr>
            <w:tcW w:type="dxa" w:w="1255"/>
          </w:tcPr>
          <w:p>
            <w:r>
              <w:rPr>
                <w:rFonts w:ascii="Times New Roman" w:hAnsi="Times New Roman"/>
                <w:sz w:val="15"/>
              </w:rPr>
              <w:t>P.E.3: ¿En qué grado el IRE reduce el riesgo operativo?</w:t>
            </w:r>
          </w:p>
        </w:tc>
        <w:tc>
          <w:tcPr>
            <w:tcW w:type="dxa" w:w="1255"/>
          </w:tcPr>
          <w:p>
            <w:r>
              <w:rPr>
                <w:rFonts w:ascii="Times New Roman" w:hAnsi="Times New Roman"/>
                <w:sz w:val="15"/>
              </w:rPr>
              <w:t>O.E.3: Calcular y monitorear el IRE de forma automatizada.</w:t>
            </w:r>
          </w:p>
        </w:tc>
        <w:tc>
          <w:tcPr>
            <w:tcW w:type="dxa" w:w="1255"/>
          </w:tcPr>
          <w:p>
            <w:r>
              <w:rPr>
                <w:rFonts w:ascii="Times New Roman" w:hAnsi="Times New Roman"/>
                <w:sz w:val="15"/>
              </w:rPr>
              <w:t>H.E.3: El IRE reduce quiebres de stock en al menos 40 %.</w:t>
            </w:r>
          </w:p>
        </w:tc>
        <w:tc>
          <w:tcPr>
            <w:tcW w:type="dxa" w:w="1255"/>
          </w:tcPr>
          <w:p>
            <w:r>
              <w:rPr>
                <w:rFonts w:ascii="Times New Roman" w:hAnsi="Times New Roman"/>
                <w:sz w:val="15"/>
              </w:rPr>
            </w:r>
          </w:p>
        </w:tc>
        <w:tc>
          <w:tcPr>
            <w:tcW w:type="dxa" w:w="1255"/>
          </w:tcPr>
          <w:p>
            <w:r>
              <w:rPr>
                <w:rFonts w:ascii="Times New Roman" w:hAnsi="Times New Roman"/>
                <w:sz w:val="15"/>
              </w:rPr>
            </w:r>
          </w:p>
        </w:tc>
        <w:tc>
          <w:tcPr>
            <w:tcW w:type="dxa" w:w="1255"/>
          </w:tcPr>
          <w:p>
            <w:r>
              <w:rPr>
                <w:rFonts w:ascii="Times New Roman" w:hAnsi="Times New Roman"/>
                <w:sz w:val="15"/>
              </w:rPr>
            </w:r>
          </w:p>
        </w:tc>
        <w:tc>
          <w:tcPr>
            <w:tcW w:type="dxa" w:w="1255"/>
          </w:tcPr>
          <w:p>
            <w:r>
              <w:rPr>
                <w:rFonts w:ascii="Times New Roman" w:hAnsi="Times New Roman"/>
                <w:sz w:val="15"/>
              </w:rPr>
            </w:r>
          </w:p>
        </w:tc>
      </w:tr>
    </w:tbl>
    <w:p>
      <w:r>
        <w:br w:type="page"/>
      </w:r>
    </w:p>
    <w:p>
      <w:pPr>
        <w:spacing w:before="0" w:after="240"/>
        <w:jc w:val="center"/>
      </w:pPr>
      <w:r>
        <w:rPr>
          <w:rFonts w:ascii="Times New Roman" w:hAnsi="Times New Roman"/>
          <w:b/>
          <w:color w:val="000000"/>
          <w:sz w:val="24"/>
        </w:rPr>
        <w:t>Anexo 02. Matriz de Operacionalización de Variables</w:t>
      </w:r>
    </w:p>
    <w:p>
      <w:pPr>
        <w:spacing w:before="0" w:after="160" w:line="360" w:lineRule="auto"/>
        <w:ind w:firstLine="709"/>
        <w:jc w:val="both"/>
      </w:pPr>
      <w:r>
        <w:rPr>
          <w:rFonts w:ascii="Times New Roman" w:hAnsi="Times New Roman"/>
          <w:sz w:val="24"/>
        </w:rPr>
        <w:t>La matriz de operacionalización de variables presenta las dimensiones, indicadores, escala de medición e instrumentos para las variables VI y VD de la investigación. La tabla está estructurada de forma simétrica: 4 dimensiones para la VI y 4 dimensiones para la VD, con 6 indicadores por dimensión. La tabla completa con celdas fusionadas se encuentra en el documento "Tabla_General_Estado_Arte_v4.docx" generado como parte de esta investigación.</w:t>
      </w:r>
    </w:p>
    <w:p>
      <w:pPr>
        <w:spacing w:before="0" w:after="160" w:line="360" w:lineRule="auto"/>
        <w:ind w:firstLine="709"/>
        <w:jc w:val="both"/>
      </w:pPr>
      <w:r>
        <w:rPr>
          <w:rFonts w:ascii="Times New Roman" w:hAnsi="Times New Roman"/>
          <w:sz w:val="24"/>
        </w:rPr>
        <w:t>Resumen de la operacionalización: VI — Sistema web de comercio electrónico con modelo de IA (escala razón, medición cuantitativa mediante métricas de sistema y ML). VD — Predicción del riesgo empresarial / IRE (escala razón para el IRE [0,1], escala de intervalo para los errores de pronóstico MAE/RMSE y escala ordinal para la percepción de riesgo en encuesta Likert 1-5).</w:t>
      </w:r>
    </w:p>
    <w:p>
      <w:r>
        <w:br w:type="page"/>
      </w:r>
    </w:p>
    <w:p>
      <w:pPr>
        <w:spacing w:before="0" w:after="240"/>
        <w:jc w:val="center"/>
      </w:pPr>
      <w:r>
        <w:rPr>
          <w:rFonts w:ascii="Times New Roman" w:hAnsi="Times New Roman"/>
          <w:b/>
          <w:color w:val="000000"/>
          <w:sz w:val="24"/>
        </w:rPr>
        <w:t>Anexo 03. Matriz de Operacionalización del Instrumento</w:t>
      </w:r>
    </w:p>
    <w:p>
      <w:pPr>
        <w:spacing w:before="0" w:after="160" w:line="360" w:lineRule="auto"/>
        <w:ind w:firstLine="709"/>
        <w:jc w:val="both"/>
      </w:pPr>
      <w:r>
        <w:rPr>
          <w:rFonts w:ascii="Times New Roman" w:hAnsi="Times New Roman"/>
          <w:sz w:val="24"/>
        </w:rPr>
        <w:t>La matriz de operacionalización del instrumento relaciona cada dimensión e indicador de las variables con los ítems específicos del cuestionario Likert de 5 puntos aplicado al personal de Calzatura Vilchez (n=15). El instrumento consta de 24 ítems totales, distribuidos en 4 dimensiones × 6 ítems por dimensión para la variable dependiente. Los ítems miden la percepción del personal sobre el impacto del sistema en la predicción del riesgo empresarial antes (preprueba) y después (posprueba) de la implementación. La validez de contenido se verifica mediante juicio de tres expertos en Ingeniería de Sistemas y la confiabilidad mediante el coeficiente alfa de Cronbach (criterio: alfa &gt;= 0.70).</w:t>
      </w:r>
    </w:p>
    <w:p>
      <w:r>
        <w:br w:type="page"/>
      </w:r>
    </w:p>
    <w:p>
      <w:pPr>
        <w:spacing w:before="0" w:after="240"/>
        <w:jc w:val="center"/>
      </w:pPr>
      <w:r>
        <w:rPr>
          <w:rFonts w:ascii="Times New Roman" w:hAnsi="Times New Roman"/>
          <w:b/>
          <w:color w:val="000000"/>
          <w:sz w:val="24"/>
        </w:rPr>
        <w:t>Anexo 04. Instrumento de Investigación</w:t>
      </w:r>
    </w:p>
    <w:p>
      <w:pPr>
        <w:spacing w:before="0" w:after="160"/>
        <w:jc w:val="center"/>
      </w:pPr>
      <w:r>
        <w:rPr>
          <w:rFonts w:ascii="Times New Roman" w:hAnsi="Times New Roman"/>
          <w:b w:val="0"/>
          <w:color w:val="000000"/>
          <w:sz w:val="22"/>
        </w:rPr>
        <w:t>Cuestionario de percepción del riesgo empresarial y utilidad del sistema</w:t>
      </w:r>
    </w:p>
    <w:p>
      <w:pPr>
        <w:spacing w:before="0" w:after="160" w:line="360" w:lineRule="auto"/>
        <w:ind w:left="709"/>
        <w:jc w:val="both"/>
      </w:pPr>
      <w:r>
        <w:rPr>
          <w:rFonts w:ascii="Times New Roman" w:hAnsi="Times New Roman"/>
          <w:i/>
          <w:sz w:val="22"/>
        </w:rPr>
        <w:t>Instrucciones: Estimado colaborador, a continuación se presentan 24 afirmaciones sobre la gestión del riesgo empresarial y el uso de herramientas tecnológicas en Calzatura Vilchez. Por favor, marque con una X la alternativa que mejor refleje su percepción, siendo: 1=Totalmente en desacuerdo, 2=En desacuerdo, 3=Ni de acuerdo ni en desacuerdo, 4=De acuerdo, 5=Totalmente de acuerdo.</w:t>
      </w:r>
    </w:p>
    <w:p>
      <w:pPr>
        <w:spacing w:before="120" w:after="40"/>
        <w:jc w:val="left"/>
      </w:pPr>
      <w:r>
        <w:rPr>
          <w:rFonts w:ascii="Times New Roman" w:hAnsi="Times New Roman"/>
          <w:b/>
          <w:i/>
          <w:sz w:val="24"/>
        </w:rPr>
        <w:t>D1 — Modelos de predicción del riesgo</w:t>
      </w:r>
    </w:p>
    <w:p>
      <w:pPr>
        <w:spacing w:before="0" w:after="80"/>
        <w:jc w:val="both"/>
      </w:pPr>
      <w:r>
        <w:rPr>
          <w:rFonts w:ascii="Times New Roman" w:hAnsi="Times New Roman"/>
          <w:sz w:val="20"/>
        </w:rPr>
        <w:t>1. Considero que la empresa necesita herramientas tecnológicas para predecir el riesgo empresarial.  [1] [2] [3] [4] [5]</w:t>
      </w:r>
    </w:p>
    <w:p>
      <w:pPr>
        <w:spacing w:before="0" w:after="80"/>
        <w:jc w:val="both"/>
      </w:pPr>
      <w:r>
        <w:rPr>
          <w:rFonts w:ascii="Times New Roman" w:hAnsi="Times New Roman"/>
          <w:sz w:val="20"/>
        </w:rPr>
        <w:t>2. El sistema web permite identificar riesgos operativos antes de que ocurran.  [1] [2] [3] [4] [5]</w:t>
      </w:r>
    </w:p>
    <w:p>
      <w:pPr>
        <w:spacing w:before="0" w:after="80"/>
        <w:jc w:val="both"/>
      </w:pPr>
      <w:r>
        <w:rPr>
          <w:rFonts w:ascii="Times New Roman" w:hAnsi="Times New Roman"/>
          <w:sz w:val="20"/>
        </w:rPr>
        <w:t>3. Los modelos de predicción del sistema son confiables para la toma de decisiones.  [1] [2] [3] [4] [5]</w:t>
      </w:r>
    </w:p>
    <w:p>
      <w:pPr>
        <w:spacing w:before="0" w:after="80"/>
        <w:jc w:val="both"/>
      </w:pPr>
      <w:r>
        <w:rPr>
          <w:rFonts w:ascii="Times New Roman" w:hAnsi="Times New Roman"/>
          <w:sz w:val="20"/>
        </w:rPr>
        <w:t>4. La implementación de IA ha mejorado la calidad de la información disponible para la gerencia.  [1] [2] [3] [4] [5]</w:t>
      </w:r>
    </w:p>
    <w:p>
      <w:pPr>
        <w:spacing w:before="0" w:after="80"/>
        <w:jc w:val="both"/>
      </w:pPr>
      <w:r>
        <w:rPr>
          <w:rFonts w:ascii="Times New Roman" w:hAnsi="Times New Roman"/>
          <w:sz w:val="20"/>
        </w:rPr>
        <w:t>5. El sistema procesa y analiza los datos de ventas de forma rápida y precisa.  [1] [2] [3] [4] [5]</w:t>
      </w:r>
    </w:p>
    <w:p>
      <w:pPr>
        <w:spacing w:before="0" w:after="80"/>
        <w:jc w:val="both"/>
      </w:pPr>
      <w:r>
        <w:rPr>
          <w:rFonts w:ascii="Times New Roman" w:hAnsi="Times New Roman"/>
          <w:sz w:val="20"/>
        </w:rPr>
        <w:t>6. Estoy satisfecho/a con la exactitud de las predicciones de riesgo que genera el sistema.  [1] [2] [3] [4] [5]</w:t>
      </w:r>
    </w:p>
    <w:p>
      <w:pPr>
        <w:spacing w:before="120" w:after="40"/>
        <w:jc w:val="left"/>
      </w:pPr>
      <w:r>
        <w:rPr>
          <w:rFonts w:ascii="Times New Roman" w:hAnsi="Times New Roman"/>
          <w:b/>
          <w:i/>
          <w:sz w:val="24"/>
        </w:rPr>
        <w:t>D2 — Exactitud y validación del modelo del IRE</w:t>
      </w:r>
    </w:p>
    <w:p>
      <w:pPr>
        <w:spacing w:before="0" w:after="80"/>
        <w:jc w:val="both"/>
      </w:pPr>
      <w:r>
        <w:rPr>
          <w:rFonts w:ascii="Times New Roman" w:hAnsi="Times New Roman"/>
          <w:sz w:val="20"/>
        </w:rPr>
        <w:t>1. El IRE que calcula el sistema refleja de forma fiel la situación de riesgo real de la empresa.  [1] [2] [3] [4] [5]</w:t>
      </w:r>
    </w:p>
    <w:p>
      <w:pPr>
        <w:spacing w:before="0" w:after="80"/>
        <w:jc w:val="both"/>
      </w:pPr>
      <w:r>
        <w:rPr>
          <w:rFonts w:ascii="Times New Roman" w:hAnsi="Times New Roman"/>
          <w:sz w:val="20"/>
        </w:rPr>
        <w:t>2. Confío en los valores del IRE para anticipar situaciones críticas de inventario o ingresos.  [1] [2] [3] [4] [5]</w:t>
      </w:r>
    </w:p>
    <w:p>
      <w:pPr>
        <w:spacing w:before="0" w:after="80"/>
        <w:jc w:val="both"/>
      </w:pPr>
      <w:r>
        <w:rPr>
          <w:rFonts w:ascii="Times New Roman" w:hAnsi="Times New Roman"/>
          <w:sz w:val="20"/>
        </w:rPr>
        <w:t>3. El sistema me informa oportunamente cuando el nivel de riesgo supera el umbral de alerta (IRE &gt; 0.70).  [1] [2] [3] [4] [5]</w:t>
      </w:r>
    </w:p>
    <w:p>
      <w:pPr>
        <w:spacing w:before="0" w:after="80"/>
        <w:jc w:val="both"/>
      </w:pPr>
      <w:r>
        <w:rPr>
          <w:rFonts w:ascii="Times New Roman" w:hAnsi="Times New Roman"/>
          <w:sz w:val="20"/>
        </w:rPr>
        <w:t>4. Las alertas del sistema permiten tomar acciones preventivas con suficiente anticipación.  [1] [2] [3] [4] [5]</w:t>
      </w:r>
    </w:p>
    <w:p>
      <w:pPr>
        <w:spacing w:before="0" w:after="80"/>
        <w:jc w:val="both"/>
      </w:pPr>
      <w:r>
        <w:rPr>
          <w:rFonts w:ascii="Times New Roman" w:hAnsi="Times New Roman"/>
          <w:sz w:val="20"/>
        </w:rPr>
        <w:t>5. Los errores del pronóstico de demanda son aceptables para la gestión del inventario.  [1] [2] [3] [4] [5]</w:t>
      </w:r>
    </w:p>
    <w:p>
      <w:pPr>
        <w:spacing w:before="0" w:after="80"/>
        <w:jc w:val="both"/>
      </w:pPr>
      <w:r>
        <w:rPr>
          <w:rFonts w:ascii="Times New Roman" w:hAnsi="Times New Roman"/>
          <w:sz w:val="20"/>
        </w:rPr>
        <w:t>6. La exactitud del sistema ha mejorado respecto a los métodos utilizados antes de su implementación.  [1] [2] [3] [4] [5]</w:t>
      </w:r>
    </w:p>
    <w:p>
      <w:pPr>
        <w:spacing w:before="120" w:after="40"/>
        <w:jc w:val="left"/>
      </w:pPr>
      <w:r>
        <w:rPr>
          <w:rFonts w:ascii="Times New Roman" w:hAnsi="Times New Roman"/>
          <w:b/>
          <w:i/>
          <w:sz w:val="24"/>
        </w:rPr>
        <w:t>D3 — Componentes del IRE</w:t>
      </w:r>
    </w:p>
    <w:p>
      <w:pPr>
        <w:spacing w:before="0" w:after="80"/>
        <w:jc w:val="both"/>
      </w:pPr>
      <w:r>
        <w:rPr>
          <w:rFonts w:ascii="Times New Roman" w:hAnsi="Times New Roman"/>
          <w:sz w:val="20"/>
        </w:rPr>
        <w:t>1. El componente de riesgo de stock del IRE refleja con precisión los problemas de inventario.  [1] [2] [3] [4] [5]</w:t>
      </w:r>
    </w:p>
    <w:p>
      <w:pPr>
        <w:spacing w:before="0" w:after="80"/>
        <w:jc w:val="both"/>
      </w:pPr>
      <w:r>
        <w:rPr>
          <w:rFonts w:ascii="Times New Roman" w:hAnsi="Times New Roman"/>
          <w:sz w:val="20"/>
        </w:rPr>
        <w:t>2. El componente de riesgo de ingresos del IRE me ayuda a gestionar mejor el flujo de caja.  [1] [2] [3] [4] [5]</w:t>
      </w:r>
    </w:p>
    <w:p>
      <w:pPr>
        <w:spacing w:before="0" w:after="80"/>
        <w:jc w:val="both"/>
      </w:pPr>
      <w:r>
        <w:rPr>
          <w:rFonts w:ascii="Times New Roman" w:hAnsi="Times New Roman"/>
          <w:sz w:val="20"/>
        </w:rPr>
        <w:t>3. El componente de riesgo de demanda del IRE es útil para planificar las compras de calzado.  [1] [2] [3] [4] [5]</w:t>
      </w:r>
    </w:p>
    <w:p>
      <w:pPr>
        <w:spacing w:before="0" w:after="80"/>
        <w:jc w:val="both"/>
      </w:pPr>
      <w:r>
        <w:rPr>
          <w:rFonts w:ascii="Times New Roman" w:hAnsi="Times New Roman"/>
          <w:sz w:val="20"/>
        </w:rPr>
        <w:t>4. La ponderación de los componentes del IRE (stock: 40%, ingresos: 35%, demanda: 25%) es adecuada.  [1] [2] [3] [4] [5]</w:t>
      </w:r>
    </w:p>
    <w:p>
      <w:pPr>
        <w:spacing w:before="0" w:after="80"/>
        <w:jc w:val="both"/>
      </w:pPr>
      <w:r>
        <w:rPr>
          <w:rFonts w:ascii="Times New Roman" w:hAnsi="Times New Roman"/>
          <w:sz w:val="20"/>
        </w:rPr>
        <w:t>5. El dashboard del sistema muestra el IRE y sus componentes de forma clara e intuitiva.  [1] [2] [3] [4] [5]</w:t>
      </w:r>
    </w:p>
    <w:p>
      <w:pPr>
        <w:spacing w:before="0" w:after="80"/>
        <w:jc w:val="both"/>
      </w:pPr>
      <w:r>
        <w:rPr>
          <w:rFonts w:ascii="Times New Roman" w:hAnsi="Times New Roman"/>
          <w:sz w:val="20"/>
        </w:rPr>
        <w:t>6. La actualización diaria del IRE es suficiente para la gestión operativa de la empresa.  [1] [2] [3] [4] [5]</w:t>
      </w:r>
    </w:p>
    <w:p>
      <w:pPr>
        <w:spacing w:before="120" w:after="40"/>
        <w:jc w:val="left"/>
      </w:pPr>
      <w:r>
        <w:rPr>
          <w:rFonts w:ascii="Times New Roman" w:hAnsi="Times New Roman"/>
          <w:b/>
          <w:i/>
          <w:sz w:val="24"/>
        </w:rPr>
        <w:t>D4 — Impacto en la gestión operativa</w:t>
      </w:r>
    </w:p>
    <w:p>
      <w:pPr>
        <w:spacing w:before="0" w:after="80"/>
        <w:jc w:val="both"/>
      </w:pPr>
      <w:r>
        <w:rPr>
          <w:rFonts w:ascii="Times New Roman" w:hAnsi="Times New Roman"/>
          <w:sz w:val="20"/>
        </w:rPr>
        <w:t>1. El sistema web ha reducido el número de quiebres de stock en la empresa.  [1] [2] [3] [4] [5]</w:t>
      </w:r>
    </w:p>
    <w:p>
      <w:pPr>
        <w:spacing w:before="0" w:after="80"/>
        <w:jc w:val="both"/>
      </w:pPr>
      <w:r>
        <w:rPr>
          <w:rFonts w:ascii="Times New Roman" w:hAnsi="Times New Roman"/>
          <w:sz w:val="20"/>
        </w:rPr>
        <w:t>2. El sistema ha mejorado la planificación de los pedidos de calzado a los proveedores.  [1] [2] [3] [4] [5]</w:t>
      </w:r>
    </w:p>
    <w:p>
      <w:pPr>
        <w:spacing w:before="0" w:after="80"/>
        <w:jc w:val="both"/>
      </w:pPr>
      <w:r>
        <w:rPr>
          <w:rFonts w:ascii="Times New Roman" w:hAnsi="Times New Roman"/>
          <w:sz w:val="20"/>
        </w:rPr>
        <w:t>3. La digitalización de los procesos de venta mediante el sistema web ha mejorado la eficiencia.  [1] [2] [3] [4] [5]</w:t>
      </w:r>
    </w:p>
    <w:p>
      <w:pPr>
        <w:spacing w:before="0" w:after="80"/>
        <w:jc w:val="both"/>
      </w:pPr>
      <w:r>
        <w:rPr>
          <w:rFonts w:ascii="Times New Roman" w:hAnsi="Times New Roman"/>
          <w:sz w:val="20"/>
        </w:rPr>
        <w:t>4. El sistema ha contribuido a reducir el capital inmovilizado en inventario obsoleto.  [1] [2] [3] [4] [5]</w:t>
      </w:r>
    </w:p>
    <w:p>
      <w:pPr>
        <w:spacing w:before="0" w:after="80"/>
        <w:jc w:val="both"/>
      </w:pPr>
      <w:r>
        <w:rPr>
          <w:rFonts w:ascii="Times New Roman" w:hAnsi="Times New Roman"/>
          <w:sz w:val="20"/>
        </w:rPr>
        <w:t>5. El uso del sistema web ha incrementado la satisfacción de los clientes de Calzatura Vilchez.  [1] [2] [3] [4] [5]</w:t>
      </w:r>
    </w:p>
    <w:p>
      <w:pPr>
        <w:spacing w:before="0" w:after="80"/>
        <w:jc w:val="both"/>
      </w:pPr>
      <w:r>
        <w:rPr>
          <w:rFonts w:ascii="Times New Roman" w:hAnsi="Times New Roman"/>
          <w:sz w:val="20"/>
        </w:rPr>
        <w:t>6. En general, el sistema web con modelo de IA ha mejorado la gestión del riesgo empresarial.  [1] [2] [3] [4] [5]</w:t>
      </w:r>
    </w:p>
    <w:p>
      <w:r>
        <w:br w:type="page"/>
      </w:r>
    </w:p>
    <w:p>
      <w:pPr>
        <w:spacing w:before="0" w:after="240"/>
        <w:jc w:val="center"/>
      </w:pPr>
      <w:r>
        <w:rPr>
          <w:rFonts w:ascii="Times New Roman" w:hAnsi="Times New Roman"/>
          <w:b/>
          <w:color w:val="000000"/>
          <w:sz w:val="24"/>
        </w:rPr>
        <w:t>Anexo 05. Carta de Aceptación de la Organización</w:t>
      </w:r>
    </w:p>
    <w:p>
      <w:pPr>
        <w:spacing w:before="0" w:after="160" w:line="360" w:lineRule="auto"/>
        <w:ind w:firstLine="709"/>
        <w:jc w:val="both"/>
      </w:pPr>
      <w:r>
        <w:rPr>
          <w:rFonts w:ascii="Times New Roman" w:hAnsi="Times New Roman"/>
          <w:sz w:val="24"/>
        </w:rPr>
        <w:t>[Se adjuntará la carta de aceptación firmada por el representante legal de la empresa Calzatura Vilchez, autorizando el acceso a sus instalaciones, datos históricos de ventas e inventario, y el apoyo al investigador durante el desarrollo del proyecto de investigación. La carta debe incluir: nombre y cargo del representante, RUC de la empresa, período de la investigación autorizado y firma con sello de la empresa.]</w:t>
      </w:r>
    </w:p>
    <w:p>
      <w:r>
        <w:br w:type="page"/>
      </w:r>
    </w:p>
    <w:p>
      <w:pPr>
        <w:spacing w:before="0" w:after="240"/>
        <w:jc w:val="center"/>
      </w:pPr>
      <w:r>
        <w:rPr>
          <w:rFonts w:ascii="Times New Roman" w:hAnsi="Times New Roman"/>
          <w:b/>
          <w:color w:val="000000"/>
          <w:sz w:val="24"/>
        </w:rPr>
        <w:t>Anexo 06. Estado del Arte de Artículos Revisados</w:t>
      </w:r>
    </w:p>
    <w:p>
      <w:pPr>
        <w:spacing w:before="0" w:after="160" w:line="360" w:lineRule="auto"/>
        <w:ind w:firstLine="709"/>
        <w:jc w:val="both"/>
      </w:pPr>
      <w:r>
        <w:rPr>
          <w:rFonts w:ascii="Times New Roman" w:hAnsi="Times New Roman"/>
          <w:sz w:val="24"/>
        </w:rPr>
        <w:t>El estado del arte completo de la investigación se presenta en los documentos auxiliares generados como parte del proceso de revisión de literatura:</w:t>
      </w:r>
    </w:p>
    <w:p>
      <w:pPr>
        <w:spacing w:before="0" w:after="120" w:line="360" w:lineRule="auto"/>
        <w:ind w:left="709" w:hanging="340"/>
        <w:jc w:val="both"/>
      </w:pPr>
      <w:r>
        <w:rPr>
          <w:rFonts w:ascii="Times New Roman" w:hAnsi="Times New Roman"/>
          <w:sz w:val="24"/>
        </w:rPr>
        <w:t>1. "Estado_del_Arte_42_Tablas_v2.docx": Contiene las 42 tablas individuales del estado del arte (una por artículo Q1), con la estructura: Variables — Dimensiones — Indicadores — Instrumentos, organizadas por eje temático (Ejes 1 al 5).</w:t>
      </w:r>
    </w:p>
    <w:p>
      <w:pPr>
        <w:spacing w:before="0" w:after="120" w:line="360" w:lineRule="auto"/>
        <w:ind w:left="709" w:hanging="340"/>
        <w:jc w:val="both"/>
      </w:pPr>
      <w:r>
        <w:rPr>
          <w:rFonts w:ascii="Times New Roman" w:hAnsi="Times New Roman"/>
          <w:sz w:val="24"/>
        </w:rPr>
        <w:t>2. "Tabla_General_Estado_Arte_v4.docx": Contiene la Tabla General del Estado del Arte que consolida los 42 artículos Q1 en la estructura de 4 dimensiones por variable (VI y VD), alineada con el título y las variables de la presente tesis.</w:t>
      </w:r>
    </w:p>
    <w:p>
      <w:pPr>
        <w:spacing w:before="0" w:after="120" w:line="360" w:lineRule="auto"/>
        <w:ind w:left="709" w:hanging="340"/>
        <w:jc w:val="both"/>
      </w:pPr>
      <w:r>
        <w:rPr>
          <w:rFonts w:ascii="Times New Roman" w:hAnsi="Times New Roman"/>
          <w:sz w:val="24"/>
        </w:rPr>
        <w:t>3. "Revision_Academica_v4_42Q1_PDFs_Verificados.docx": Contiene la ficha técnica completa de cada uno de los 42 artículos Q1, incluyendo referencia ISO 690-2, abstract en español, aporte específico a la tesis, métricas de calidad (JIF, SJR, cuartil) y enlaces verificados al PDF y DOI.</w:t>
      </w:r>
    </w:p>
    <w:p>
      <w:pPr>
        <w:spacing w:before="0" w:after="160" w:line="360" w:lineRule="auto"/>
        <w:ind w:firstLine="709"/>
        <w:jc w:val="both"/>
      </w:pPr>
      <w:r>
        <w:rPr>
          <w:rFonts w:ascii="Times New Roman" w:hAnsi="Times New Roman"/>
          <w:sz w:val="24"/>
        </w:rPr>
        <w:t>Los 42 artículos científicos revisados corresponden a revistas Q1 según el Scimago Journal Rankings (SJR) y/o el Journal Citation Reports (JCR), verificados al 23 de mayo de 2026. Los artículos están organizados en cinco ejes temáticos: Eje 1 — E-Commerce y Transformación Digital (8 artículos), Eje 2 — IA y Big Data en Gestión Empresarial (9 artículos), Eje 3 — Predicción de Riesgo Empresarial con Machine Learning (10 artículos), Eje 4 — Arquitectura de Software, APIs y Despliegue de Modelos ML (7 artículos) y Eje 5 — Metodología de Desarrollo y Ciclo de Vida ML (8 artículos).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