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36"/>
          <w:szCs w:val="36"/>
        </w:rPr>
        <w:t xml:space="preserve">UNIVERSIDAD CONTINENTAL</w:t>
      </w:r>
    </w:p>
    <w:p>
      <w:pPr>
        <w:spacing w:after="80"/>
        <w:jc w:val="center"/>
      </w:pPr>
      <w:r>
        <w:rPr>
          <w:rFonts w:ascii="Arial" w:cs="Arial" w:eastAsia="Arial" w:hAnsi="Arial"/>
          <w:i/>
          <w:iCs/>
          <w:color w:val="2E75B6"/>
          <w:sz w:val="22"/>
          <w:szCs w:val="22"/>
        </w:rPr>
        <w:t xml:space="preserve">Escuela de Ingeniería de Sistemas</w:t>
      </w:r>
    </w:p>
    <w:p>
      <w:pPr>
        <w:pBdr>
          <w:bottom w:val="single" w:color="2E75B6" w:sz="6" w:space="1"/>
        </w:pBdr>
        <w:spacing w:after="60" w:before="60"/>
      </w:pPr>
    </w:p>
    <w:p>
      <w:pPr>
        <w:spacing w:after="200" w:before="500"/>
        <w:jc w:val="center"/>
      </w:pPr>
      <w:r>
        <w:rPr>
          <w:rFonts w:ascii="Arial" w:cs="Arial" w:eastAsia="Arial" w:hAnsi="Arial"/>
          <w:b/>
          <w:bCs/>
          <w:color w:val="1F3864"/>
          <w:sz w:val="30"/>
          <w:szCs w:val="30"/>
        </w:rPr>
        <w:t xml:space="preserve">ASESORÍA METODOLÓGICA Y REVISIÓN ACADÉMICA DE TESIS</w:t>
      </w:r>
    </w:p>
    <w:p>
      <w:pPr>
        <w:spacing w:after="120"/>
        <w:jc w:val="center"/>
      </w:pPr>
      <w:r>
        <w:rPr>
          <w:rFonts w:ascii="Arial" w:cs="Arial" w:eastAsia="Arial" w:hAnsi="Arial"/>
          <w:i/>
          <w:iCs/>
          <w:color w:val="555555"/>
          <w:sz w:val="22"/>
          <w:szCs w:val="22"/>
        </w:rPr>
        <w:t xml:space="preserve">Revisión crítica de citas y propuesta de artículos científicos Q1</w:t>
      </w:r>
    </w:p>
    <w:p>
      <w:pPr>
        <w:spacing w:after="160"/>
      </w:pPr>
      <w:r>
        <w:rPr>
          <w:rFonts w:ascii="Arial" w:cs="Arial" w:eastAsia="Arial" w:hAnsi="Arial"/>
          <w:color w:val="000000"/>
          <w:sz w:val="18"/>
          <w:szCs w:val="18"/>
        </w:rPr>
        <w:t xml:space="preserve"/>
      </w:r>
    </w:p>
    <w:p>
      <w:pPr>
        <w:pBdr>
          <w:left w:val="single" w:color="2E75B6" w:sz="12" w:space="8"/>
        </w:pBdr>
        <w:spacing w:after="200"/>
        <w:ind w:left="400"/>
        <w:jc w:val="both"/>
      </w:pPr>
      <w:r>
        <w:rPr>
          <w:rFonts w:ascii="Arial" w:cs="Arial" w:eastAsia="Arial" w:hAnsi="Arial"/>
          <w:b/>
          <w:bCs/>
          <w:color w:val="1F3864"/>
          <w:sz w:val="24"/>
          <w:szCs w:val="24"/>
        </w:rPr>
        <w:t xml:space="preserve">"Sistema web de comercio electrónico con modelo de Inteligencia Artificial para la predicción del riesgo empresarial en la empresa Calzatura Vilchez"</w:t>
      </w:r>
    </w:p>
    <w:p>
      <w:pPr>
        <w:pBdr>
          <w:bottom w:val="single" w:color="2E75B6" w:sz="6" w:space="1"/>
        </w:pBdr>
        <w:spacing w:after="60" w:before="60"/>
      </w:pPr>
    </w:p>
    <w:p>
      <w:pPr>
        <w:spacing w:after="80" w:before="300"/>
        <w:jc w:val="center"/>
      </w:pPr>
      <w:r>
        <w:rPr>
          <w:rFonts w:ascii="Arial" w:cs="Arial" w:eastAsia="Arial" w:hAnsi="Arial"/>
          <w:color w:val="000000"/>
          <w:sz w:val="20"/>
          <w:szCs w:val="20"/>
        </w:rPr>
        <w:t xml:space="preserve">Alumno: Piero  |  Docente asesor: Dr. Maglioni Arana Caparachin</w:t>
      </w:r>
    </w:p>
    <w:p>
      <w:pPr>
        <w:spacing w:after="80"/>
        <w:jc w:val="center"/>
      </w:pPr>
      <w:r>
        <w:rPr>
          <w:rFonts w:ascii="Arial" w:cs="Arial" w:eastAsia="Arial" w:hAnsi="Arial"/>
          <w:color w:val="000000"/>
          <w:sz w:val="20"/>
          <w:szCs w:val="20"/>
        </w:rPr>
        <w:t xml:space="preserve">Universidad Continental — Ingeniería de Sistemas — Mayo 2026</w:t>
      </w:r>
    </w:p>
    <w:p>
      <w:r>
        <w:br w:type="page"/>
      </w:r>
    </w:p>
    <w:p>
      <w:pPr>
        <w:pStyle w:val="Heading1"/>
        <w:spacing w:after="180" w:before="360"/>
      </w:pPr>
      <w:r>
        <w:rPr>
          <w:rFonts w:ascii="Arial" w:cs="Arial" w:eastAsia="Arial" w:hAnsi="Arial"/>
          <w:b/>
          <w:bCs/>
          <w:color w:val="1F3864"/>
          <w:sz w:val="32"/>
          <w:szCs w:val="32"/>
        </w:rPr>
        <w:t xml:space="preserve">SECCIÓN 1 — DIAGNÓSTICO DE LAS CITAS ACTUALES DEL PROYECTO</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Se realizó una revisión exhaustiva de los archivos del proyecto Calzatura Vilchez (documentos /docs/06-ia/modelo-ia.md y documentos relacionados). Se identificaron 9 fuentes académicas actualmente en uso. A continuación se evalúa cada una con criterio académico de nivel de tesis universitaria, considerando: pertinencia temática, cuartil de la revista, rango de publicación y aporte real al sistema.</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1.1 Tabla de diagnóstico de citas existentes</w:t>
      </w:r>
    </w:p>
    <w:p>
      <w:pPr>
        <w:spacing w:after="160"/>
      </w:pPr>
      <w:r>
        <w:rPr>
          <w:rFonts w:ascii="Arial" w:cs="Arial" w:eastAsia="Arial" w:hAnsi="Arial"/>
          <w:color w:val="000000"/>
          <w:sz w:val="18"/>
          <w:szCs w:val="18"/>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
        <w:gridCol w:w="900"/>
        <w:gridCol w:w="900"/>
        <w:gridCol w:w="680"/>
        <w:gridCol w:w="1300"/>
        <w:gridCol w:w="900"/>
        <w:gridCol w:w="1100"/>
      </w:tblGrid>
      <w:tr>
        <w:trPr>
          <w:tblHeader/>
        </w:trPr>
        <w:tc>
          <w:tcPr>
            <w:tcW w:type="dxa" w:w="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Cita actual</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Tema que sustenta</w:t>
            </w:r>
          </w:p>
        </w:tc>
        <w:tc>
          <w:tcPr>
            <w:tcW w:type="dxa" w:w="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Nivel relación</w:t>
            </w:r>
          </w:p>
        </w:tc>
        <w:tc>
          <w:tcPr>
            <w:tcW w:type="dxa" w:w="1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Problema encontrado</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Decisión</w:t>
            </w:r>
          </w:p>
        </w:tc>
        <w:tc>
          <w:tcPr>
            <w:tcW w:type="dxa" w:w="1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Justificación</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Altman (1968)
J. Finance 23(4):589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Predicción riesgo financiero</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4"/>
                <w:szCs w:val="14"/>
              </w:rPr>
              <w:t xml:space="preserve">MUY ALTA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Publicado en 1968. Clásico fundacional fuera del rango 2019-2026.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Base teórica del IRE (Z-score). Imprescindible en toda tesis sobre riesgo empresarial.</w:t>
            </w:r>
          </w:p>
        </w:tc>
      </w:tr>
      <w:tr>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Beaver (1966)
J. Accounting Res. 4:71</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Predicción riesgo financiero</w:t>
            </w:r>
          </w:p>
        </w:tc>
        <w:tc>
          <w:tcPr>
            <w:tcW w:type="dxa" w:w="6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4"/>
                <w:szCs w:val="14"/>
              </w:rPr>
              <w:t xml:space="preserve">MUY ALTA</w:t>
            </w:r>
          </w:p>
        </w:tc>
        <w:tc>
          <w:tcPr>
            <w:tcW w:type="dxa" w:w="1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Publicado en 1966. Precede a Altman. Clásico seminales.</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Primer estudio que demostró el poder predictivo de ratios financieros. Antecedente histórico obligatorio del IRE.</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Breiman (2001)
Machine Learning 45(1):5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Modelos de Machine Learning</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4"/>
                <w:szCs w:val="14"/>
              </w:rPr>
              <w:t xml:space="preserve">ALTA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Publicado en 2001. Fuera del rango 2019-2026.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Artículo fundacional del Random Forest, algoritmo principal del sistema de IA. Cita obligatoria.</w:t>
            </w:r>
          </w:p>
        </w:tc>
      </w:tr>
      <w:tr>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Makridakis et al. (2018)
PLOS ONE</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Predicción y forecasting</w:t>
            </w:r>
          </w:p>
        </w:tc>
        <w:tc>
          <w:tcPr>
            <w:tcW w:type="dxa" w:w="6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4"/>
                <w:szCs w:val="14"/>
              </w:rPr>
              <w:t xml:space="preserve">MUY ALTA</w:t>
            </w:r>
          </w:p>
        </w:tc>
        <w:tc>
          <w:tcPr>
            <w:tcW w:type="dxa" w:w="1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Año 2018, levemente fuera del rango. Q1 verificado.</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Justifica el modelo híbrido para series cortas y las métricas sMAPE. Artículo ancla del sistema de IA.</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Fildes, Ma &amp; Kolassa (2022)
Int. J. Forecasting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Forecasting retail</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4"/>
                <w:szCs w:val="14"/>
              </w:rPr>
              <w:t xml:space="preserve">MUY ALTA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Cumple todos los criterios: Q1, Scopus, 2022, directamente relacionado.</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covariables del modelo, métricas de evaluación y limitación por historial corto en PYMEs.</w:t>
            </w:r>
          </w:p>
        </w:tc>
      </w:tr>
      <w:tr>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Ozbayoglu et al. (2020)
Applied Soft Computing</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IA aplicada a finanzas</w:t>
            </w:r>
          </w:p>
        </w:tc>
        <w:tc>
          <w:tcPr>
            <w:tcW w:type="dxa" w:w="6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2E75B6"/>
                <w:sz w:val="14"/>
                <w:szCs w:val="14"/>
              </w:rPr>
              <w:t xml:space="preserve">ALTA</w:t>
            </w:r>
          </w:p>
        </w:tc>
        <w:tc>
          <w:tcPr>
            <w:tcW w:type="dxa" w:w="1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Q1, Scopus, 2020. Directamente relacionado con predicción de riesgo.</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1a6b1a"/>
                <w:sz w:val="14"/>
                <w:szCs w:val="14"/>
              </w:rPr>
              <w:t xml:space="preserve">CONSERVAR</w:t>
            </w:r>
          </w:p>
        </w:tc>
        <w:tc>
          <w:tcPr>
            <w:tcW w:type="dxa" w:w="11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Valida el umbral AUC&gt;=0.80 del IRE y el uso de ML para riesgo financiero.</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Fischer &amp; Krauss (2018)
Eur. J. Oper. Research</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ML para predicción financiera</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b87a00"/>
                <w:sz w:val="14"/>
                <w:szCs w:val="14"/>
              </w:rPr>
              <w:t xml:space="preserve">MEDIA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Año 2018. Solo referenciado en el roadmap de mejoras futuras (LSTM).</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CONSERVAR solo en roadmap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Relevante únicamente como mejora futura. No sustenta la implementacion actual.</w:t>
            </w:r>
          </w:p>
        </w:tc>
      </w:tr>
      <w:tr>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Tian et al. (2015)</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Selección de variables (LASSO)</w:t>
            </w:r>
          </w:p>
        </w:tc>
        <w:tc>
          <w:tcPr>
            <w:tcW w:type="dxa" w:w="6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cc0000"/>
                <w:sz w:val="14"/>
                <w:szCs w:val="14"/>
              </w:rPr>
              <w:t xml:space="preserve">BAJA</w:t>
            </w:r>
          </w:p>
        </w:tc>
        <w:tc>
          <w:tcPr>
            <w:tcW w:type="dxa" w:w="1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Año 2015. Solo en roadmap especulativo de mejoras futuras.</w:t>
            </w:r>
          </w:p>
        </w:tc>
        <w:tc>
          <w:tcPr>
            <w:tcW w:type="dxa" w:w="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b87a00"/>
                <w:sz w:val="14"/>
                <w:szCs w:val="14"/>
              </w:rPr>
              <w:t xml:space="preserve">REEMPLAZAR</w:t>
            </w:r>
          </w:p>
        </w:tc>
        <w:tc>
          <w:tcPr>
            <w:tcW w:type="dxa" w:w="11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No sustenta ningún componente actual. Reemplazar por artículo post-2019 sobre selección de variables en ML.</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Liang &amp; Turban (2011)
Dec. Support Systems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Análisis de sentimientos</w:t>
            </w:r>
          </w:p>
        </w:tc>
        <w:tc>
          <w:tcPr>
            <w:tcW w:type="dxa" w:w="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14"/>
                <w:szCs w:val="14"/>
              </w:rPr>
              <w:t xml:space="preserve">BAJA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Publicado en 2011. Solo en ideas especulativas de mejoras futuras.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cc0000"/>
                <w:sz w:val="14"/>
                <w:szCs w:val="14"/>
              </w:rPr>
              <w:t xml:space="preserve">ELIMINAR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No aporta al sistema actual. Si se mantiene sentimientos en roadmap, citar artículo post-2020 sobre NLP/e-commerce.</w:t>
            </w:r>
          </w:p>
        </w:tc>
      </w:tr>
    </w:tbl>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1.2 Síntesis del diagnóstico</w:t>
      </w:r>
    </w:p>
    <w:p>
      <w:pPr>
        <w:pStyle w:val="ListParagraph"/>
        <w:numPr>
          <w:ilvl w:val="0"/>
          <w:numId w:val="2"/>
        </w:numPr>
        <w:spacing w:after="80"/>
      </w:pPr>
      <w:r>
        <w:rPr>
          <w:rFonts w:ascii="Arial" w:cs="Arial" w:eastAsia="Arial" w:hAnsi="Arial"/>
          <w:b/>
          <w:bCs/>
          <w:color w:val="000000"/>
          <w:sz w:val="18"/>
          <w:szCs w:val="18"/>
        </w:rPr>
        <w:t xml:space="preserve">6 citas deben conservarse: </w:t>
      </w:r>
      <w:r>
        <w:rPr>
          <w:rFonts w:ascii="Arial" w:cs="Arial" w:eastAsia="Arial" w:hAnsi="Arial"/>
          <w:color w:val="000000"/>
          <w:sz w:val="18"/>
          <w:szCs w:val="18"/>
        </w:rPr>
        <w:t xml:space="preserve">Altman (1968), Beaver (1966), Breiman (2001), Makridakis et al. (2018), Fildes et al. (2022) y Ozbayoglu et al. (2020). Forman el núcleo científico del sistema de IA.</w:t>
      </w:r>
    </w:p>
    <w:p>
      <w:pPr>
        <w:pStyle w:val="ListParagraph"/>
        <w:numPr>
          <w:ilvl w:val="0"/>
          <w:numId w:val="2"/>
        </w:numPr>
        <w:spacing w:after="80"/>
      </w:pPr>
      <w:r>
        <w:rPr>
          <w:rFonts w:ascii="Arial" w:cs="Arial" w:eastAsia="Arial" w:hAnsi="Arial"/>
          <w:b/>
          <w:bCs/>
          <w:color w:val="000000"/>
          <w:sz w:val="18"/>
          <w:szCs w:val="18"/>
        </w:rPr>
        <w:t xml:space="preserve">1 cita solo en mejoras futuras: </w:t>
      </w:r>
      <w:r>
        <w:rPr>
          <w:rFonts w:ascii="Arial" w:cs="Arial" w:eastAsia="Arial" w:hAnsi="Arial"/>
          <w:color w:val="000000"/>
          <w:sz w:val="18"/>
          <w:szCs w:val="18"/>
        </w:rPr>
        <w:t xml:space="preserve">Fischer &amp; Krauss (2018) — válida únicamente para el roadmap LSTM.</w:t>
      </w:r>
    </w:p>
    <w:p>
      <w:pPr>
        <w:pStyle w:val="ListParagraph"/>
        <w:numPr>
          <w:ilvl w:val="0"/>
          <w:numId w:val="2"/>
        </w:numPr>
        <w:spacing w:after="80"/>
      </w:pPr>
      <w:r>
        <w:rPr>
          <w:rFonts w:ascii="Arial" w:cs="Arial" w:eastAsia="Arial" w:hAnsi="Arial"/>
          <w:b/>
          <w:bCs/>
          <w:color w:val="000000"/>
          <w:sz w:val="18"/>
          <w:szCs w:val="18"/>
        </w:rPr>
        <w:t xml:space="preserve">1 cita debe reemplazarse: </w:t>
      </w:r>
      <w:r>
        <w:rPr>
          <w:rFonts w:ascii="Arial" w:cs="Arial" w:eastAsia="Arial" w:hAnsi="Arial"/>
          <w:color w:val="000000"/>
          <w:sz w:val="18"/>
          <w:szCs w:val="18"/>
        </w:rPr>
        <w:t xml:space="preserve">Tian et al. (2015) — año fuera del rango, solo en roadmap especulativo.</w:t>
      </w:r>
    </w:p>
    <w:p>
      <w:pPr>
        <w:pStyle w:val="ListParagraph"/>
        <w:numPr>
          <w:ilvl w:val="0"/>
          <w:numId w:val="2"/>
        </w:numPr>
        <w:spacing w:after="80"/>
      </w:pPr>
      <w:r>
        <w:rPr>
          <w:rFonts w:ascii="Arial" w:cs="Arial" w:eastAsia="Arial" w:hAnsi="Arial"/>
          <w:b/>
          <w:bCs/>
          <w:color w:val="000000"/>
          <w:sz w:val="18"/>
          <w:szCs w:val="18"/>
        </w:rPr>
        <w:t xml:space="preserve">1 cita debe eliminarse: </w:t>
      </w:r>
      <w:r>
        <w:rPr>
          <w:rFonts w:ascii="Arial" w:cs="Arial" w:eastAsia="Arial" w:hAnsi="Arial"/>
          <w:color w:val="000000"/>
          <w:sz w:val="18"/>
          <w:szCs w:val="18"/>
        </w:rPr>
        <w:t xml:space="preserve">Liang &amp; Turban (2011) — no sustenta ningún componente actual del sistema.</w:t>
      </w: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ALERTA CRÍTICA: El proyecto CARECE de fuentes para los ejes de Comercio Electrónico, Transformación Digital, Desarrollo de Sistemas Web y Metodología de Desarrollo. Estos vacíos se subsanan con los artículos propuestos en la Sección 4.</w:t>
      </w:r>
    </w:p>
    <w:p>
      <w:r>
        <w:br w:type="page"/>
      </w:r>
    </w:p>
    <w:p>
      <w:pPr>
        <w:pStyle w:val="Heading1"/>
        <w:spacing w:after="180" w:before="360"/>
      </w:pPr>
      <w:r>
        <w:rPr>
          <w:rFonts w:ascii="Arial" w:cs="Arial" w:eastAsia="Arial" w:hAnsi="Arial"/>
          <w:b/>
          <w:bCs/>
          <w:color w:val="1F3864"/>
          <w:sz w:val="32"/>
          <w:szCs w:val="32"/>
        </w:rPr>
        <w:t xml:space="preserve">SECCIÓN 2 — CITAS QUE DEBEN CONSERVARSE</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Las siguientes 6 citas tienen alta pertinencia temática, fundamento científico sólido y aportan directamente al marco teórico, la justificación tecnológica y la evaluación del sistema de IA:</w:t>
      </w:r>
    </w:p>
    <w:p>
      <w:pPr>
        <w:spacing w:after="160"/>
      </w:pPr>
      <w:r>
        <w:rPr>
          <w:rFonts w:ascii="Arial" w:cs="Arial" w:eastAsia="Arial" w:hAnsi="Arial"/>
          <w:color w:val="000000"/>
          <w:sz w:val="18"/>
          <w:szCs w:val="18"/>
        </w:rPr>
        <w:t xml:space="preserve"/>
      </w:r>
    </w:p>
    <w:p>
      <w:pPr>
        <w:pBdr>
          <w:left w:val="single" w:color="2E75B6" w:sz="8" w:space="8"/>
        </w:pBdr>
        <w:spacing w:after="60" w:before="160"/>
      </w:pPr>
      <w:r>
        <w:rPr>
          <w:rFonts w:ascii="Arial" w:cs="Arial" w:eastAsia="Arial" w:hAnsi="Arial"/>
          <w:b/>
          <w:bCs/>
          <w:color w:val="000000"/>
          <w:sz w:val="18"/>
          <w:szCs w:val="18"/>
        </w:rPr>
        <w:t xml:space="preserve">Altman (1968) — Journal of Finance</w:t>
      </w:r>
    </w:p>
    <w:p>
      <w:pPr>
        <w:spacing w:after="120" w:before="40"/>
        <w:ind w:left="300"/>
      </w:pPr>
      <w:r>
        <w:rPr>
          <w:rFonts w:ascii="Arial" w:cs="Arial" w:eastAsia="Arial" w:hAnsi="Arial"/>
          <w:color w:val="000000"/>
          <w:sz w:val="17"/>
          <w:szCs w:val="17"/>
        </w:rPr>
        <w:t xml:space="preserve">Base del modelo Z-score. Justifica la estructura del IRE y los umbrales de clasificación de riesgo (bajo/moderado/alto/crítico). Obligatoria en el marco teórico de predicción de riesgo empresarial.</w:t>
      </w:r>
    </w:p>
    <w:p>
      <w:pPr>
        <w:pBdr>
          <w:left w:val="single" w:color="2E75B6" w:sz="8" w:space="8"/>
        </w:pBdr>
        <w:spacing w:after="60" w:before="160"/>
      </w:pPr>
      <w:r>
        <w:rPr>
          <w:rFonts w:ascii="Arial" w:cs="Arial" w:eastAsia="Arial" w:hAnsi="Arial"/>
          <w:b/>
          <w:bCs/>
          <w:color w:val="000000"/>
          <w:sz w:val="18"/>
          <w:szCs w:val="18"/>
        </w:rPr>
        <w:t xml:space="preserve">Beaver (1966) — Journal of Accounting Research</w:t>
      </w:r>
    </w:p>
    <w:p>
      <w:pPr>
        <w:spacing w:after="120" w:before="40"/>
        <w:ind w:left="300"/>
      </w:pPr>
      <w:r>
        <w:rPr>
          <w:rFonts w:ascii="Arial" w:cs="Arial" w:eastAsia="Arial" w:hAnsi="Arial"/>
          <w:color w:val="000000"/>
          <w:sz w:val="17"/>
          <w:szCs w:val="17"/>
        </w:rPr>
        <w:t xml:space="preserve">Primer antecedente de predicción de insolvencia con ratios financieros. Fundamento histórico del componente de riesgo de ingresos del IRE.</w:t>
      </w:r>
    </w:p>
    <w:p>
      <w:pPr>
        <w:pBdr>
          <w:left w:val="single" w:color="2E75B6" w:sz="8" w:space="8"/>
        </w:pBdr>
        <w:spacing w:after="60" w:before="160"/>
      </w:pPr>
      <w:r>
        <w:rPr>
          <w:rFonts w:ascii="Arial" w:cs="Arial" w:eastAsia="Arial" w:hAnsi="Arial"/>
          <w:b/>
          <w:bCs/>
          <w:color w:val="000000"/>
          <w:sz w:val="18"/>
          <w:szCs w:val="18"/>
        </w:rPr>
        <w:t xml:space="preserve">Breiman (2001) — Machine Learning</w:t>
      </w:r>
    </w:p>
    <w:p>
      <w:pPr>
        <w:spacing w:after="120" w:before="40"/>
        <w:ind w:left="300"/>
      </w:pPr>
      <w:r>
        <w:rPr>
          <w:rFonts w:ascii="Arial" w:cs="Arial" w:eastAsia="Arial" w:hAnsi="Arial"/>
          <w:color w:val="000000"/>
          <w:sz w:val="17"/>
          <w:szCs w:val="17"/>
        </w:rPr>
        <w:t xml:space="preserve">Artículo fundacional del Random Forest. Justifica la elección del algoritmo principal del modelo de IA de la tesis.</w:t>
      </w:r>
    </w:p>
    <w:p>
      <w:pPr>
        <w:pBdr>
          <w:left w:val="single" w:color="2E75B6" w:sz="8" w:space="8"/>
        </w:pBdr>
        <w:spacing w:after="60" w:before="160"/>
      </w:pPr>
      <w:r>
        <w:rPr>
          <w:rFonts w:ascii="Arial" w:cs="Arial" w:eastAsia="Arial" w:hAnsi="Arial"/>
          <w:b/>
          <w:bCs/>
          <w:color w:val="000000"/>
          <w:sz w:val="18"/>
          <w:szCs w:val="18"/>
        </w:rPr>
        <w:t xml:space="preserve">Makridakis, Spiliotis &amp; Assimakopoulos (2018) — PLOS ONE</w:t>
      </w:r>
    </w:p>
    <w:p>
      <w:pPr>
        <w:spacing w:after="120" w:before="40"/>
        <w:ind w:left="300"/>
      </w:pPr>
      <w:r>
        <w:rPr>
          <w:rFonts w:ascii="Arial" w:cs="Arial" w:eastAsia="Arial" w:hAnsi="Arial"/>
          <w:color w:val="000000"/>
          <w:sz w:val="17"/>
          <w:szCs w:val="17"/>
        </w:rPr>
        <w:t xml:space="preserve">Justifica el modelo híbrido para series temporales cortas y las métricas de evaluación sMAPE. Artículo ancla del sistema de IA.</w:t>
      </w:r>
    </w:p>
    <w:p>
      <w:pPr>
        <w:pBdr>
          <w:left w:val="single" w:color="2E75B6" w:sz="8" w:space="8"/>
        </w:pBdr>
        <w:spacing w:after="60" w:before="160"/>
      </w:pPr>
      <w:r>
        <w:rPr>
          <w:rFonts w:ascii="Arial" w:cs="Arial" w:eastAsia="Arial" w:hAnsi="Arial"/>
          <w:b/>
          <w:bCs/>
          <w:color w:val="000000"/>
          <w:sz w:val="18"/>
          <w:szCs w:val="18"/>
        </w:rPr>
        <w:t xml:space="preserve">Fildes, Ma &amp; Kolassa (2022) — Int. J. Forecasting Q1</w:t>
      </w:r>
    </w:p>
    <w:p>
      <w:pPr>
        <w:spacing w:after="120" w:before="40"/>
        <w:ind w:left="300"/>
      </w:pPr>
      <w:r>
        <w:rPr>
          <w:rFonts w:ascii="Arial" w:cs="Arial" w:eastAsia="Arial" w:hAnsi="Arial"/>
          <w:color w:val="000000"/>
          <w:sz w:val="17"/>
          <w:szCs w:val="17"/>
        </w:rPr>
        <w:t xml:space="preserve">Sustenta las covariables del modelo, las métricas de evaluación y la limitación por historial corto en PYMEs. Artículo de referencia central del sistema.</w:t>
      </w:r>
    </w:p>
    <w:p>
      <w:pPr>
        <w:pBdr>
          <w:left w:val="single" w:color="2E75B6" w:sz="8" w:space="8"/>
        </w:pBdr>
        <w:spacing w:after="60" w:before="160"/>
      </w:pPr>
      <w:r>
        <w:rPr>
          <w:rFonts w:ascii="Arial" w:cs="Arial" w:eastAsia="Arial" w:hAnsi="Arial"/>
          <w:b/>
          <w:bCs/>
          <w:color w:val="000000"/>
          <w:sz w:val="18"/>
          <w:szCs w:val="18"/>
        </w:rPr>
        <w:t xml:space="preserve">Ozbayoglu, Gudelek &amp; Sezer (2020) — Applied Soft Computing Q1</w:t>
      </w:r>
    </w:p>
    <w:p>
      <w:pPr>
        <w:spacing w:after="120" w:before="40"/>
        <w:ind w:left="300"/>
      </w:pPr>
      <w:r>
        <w:rPr>
          <w:rFonts w:ascii="Arial" w:cs="Arial" w:eastAsia="Arial" w:hAnsi="Arial"/>
          <w:color w:val="000000"/>
          <w:sz w:val="17"/>
          <w:szCs w:val="17"/>
        </w:rPr>
        <w:t xml:space="preserve">Valida el umbral AUC&gt;=0.80 del IRE y sustenta el uso de ML para riesgo financiero en el estado del arte.</w:t>
      </w:r>
    </w:p>
    <w:p>
      <w:r>
        <w:br w:type="page"/>
      </w:r>
    </w:p>
    <w:p>
      <w:pPr>
        <w:pStyle w:val="Heading1"/>
        <w:spacing w:after="180" w:before="360"/>
      </w:pPr>
      <w:r>
        <w:rPr>
          <w:rFonts w:ascii="Arial" w:cs="Arial" w:eastAsia="Arial" w:hAnsi="Arial"/>
          <w:b/>
          <w:bCs/>
          <w:color w:val="1F3864"/>
          <w:sz w:val="32"/>
          <w:szCs w:val="32"/>
        </w:rPr>
        <w:t xml:space="preserve">SECCIÓN 3 — CITAS A ELIMINAR O REEMPLAZAR</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3.1 Cita a reemplazar: Tian et al. (2015)</w:t>
      </w:r>
    </w:p>
    <w:p>
      <w:pPr>
        <w:pBdr>
          <w:left w:val="single" w:color="b87a00" w:sz="8" w:space="8"/>
        </w:pBdr>
        <w:spacing w:after="60" w:before="120"/>
      </w:pPr>
      <w:r>
        <w:rPr>
          <w:rFonts w:ascii="Arial" w:cs="Arial" w:eastAsia="Arial" w:hAnsi="Arial"/>
          <w:b/>
          <w:bCs/>
          <w:color w:val="000000"/>
          <w:sz w:val="17"/>
          <w:szCs w:val="17"/>
        </w:rPr>
        <w:t xml:space="preserve">Motivo: </w:t>
      </w:r>
      <w:r>
        <w:rPr>
          <w:rFonts w:ascii="Arial" w:cs="Arial" w:eastAsia="Arial" w:hAnsi="Arial"/>
          <w:color w:val="000000"/>
          <w:sz w:val="17"/>
          <w:szCs w:val="17"/>
        </w:rPr>
        <w:t xml:space="preserve">Publicado en 2015, fuera del rango preferente 2019-2026. Solo aparece en el roadmap especulativo de mejoras futuras (selección de variables LASSO).</w:t>
      </w:r>
    </w:p>
    <w:p>
      <w:pPr>
        <w:spacing w:after="120"/>
        <w:ind w:left="300"/>
      </w:pPr>
      <w:r>
        <w:rPr>
          <w:rFonts w:ascii="Arial" w:cs="Arial" w:eastAsia="Arial" w:hAnsi="Arial"/>
          <w:b/>
          <w:bCs/>
          <w:color w:val="000000"/>
          <w:sz w:val="17"/>
          <w:szCs w:val="17"/>
        </w:rPr>
        <w:t xml:space="preserve">Reemplazo sugerido: </w:t>
      </w:r>
      <w:r>
        <w:rPr>
          <w:rFonts w:ascii="Arial" w:cs="Arial" w:eastAsia="Arial" w:hAnsi="Arial"/>
          <w:color w:val="000000"/>
          <w:sz w:val="17"/>
          <w:szCs w:val="17"/>
        </w:rPr>
        <w:t xml:space="preserve">Citar Tibshirani et al. (2021) en Annals of Statistics (Q1) o cualquier artículo post-2019 sobre regularización y selección de variables en ML para finanzas.</w:t>
      </w:r>
    </w:p>
    <w:p>
      <w:pPr>
        <w:pStyle w:val="Heading2"/>
        <w:spacing w:after="140" w:before="280"/>
      </w:pPr>
      <w:r>
        <w:rPr>
          <w:rFonts w:ascii="Arial" w:cs="Arial" w:eastAsia="Arial" w:hAnsi="Arial"/>
          <w:b/>
          <w:bCs/>
          <w:color w:val="2E75B6"/>
          <w:sz w:val="26"/>
          <w:szCs w:val="26"/>
        </w:rPr>
        <w:t xml:space="preserve">3.2 Cita a eliminar: Liang &amp; Turban (2011)</w:t>
      </w:r>
    </w:p>
    <w:p>
      <w:pPr>
        <w:pBdr>
          <w:left w:val="single" w:color="cc0000" w:sz="8" w:space="8"/>
        </w:pBdr>
        <w:spacing w:after="60" w:before="120"/>
      </w:pPr>
      <w:r>
        <w:rPr>
          <w:rFonts w:ascii="Arial" w:cs="Arial" w:eastAsia="Arial" w:hAnsi="Arial"/>
          <w:b/>
          <w:bCs/>
          <w:color w:val="000000"/>
          <w:sz w:val="17"/>
          <w:szCs w:val="17"/>
        </w:rPr>
        <w:t xml:space="preserve">Motivo: </w:t>
      </w:r>
      <w:r>
        <w:rPr>
          <w:rFonts w:ascii="Arial" w:cs="Arial" w:eastAsia="Arial" w:hAnsi="Arial"/>
          <w:color w:val="000000"/>
          <w:sz w:val="17"/>
          <w:szCs w:val="17"/>
        </w:rPr>
        <w:t xml:space="preserve">Publicado en 2011 (15 años atrás). Solo aparece como idea especulativa en mejoras futuras sin implementación ni plan concreto. No aporta al fundamento de ningún componente actual del sistema.</w:t>
      </w:r>
    </w:p>
    <w:p>
      <w:pPr>
        <w:spacing w:after="120"/>
        <w:ind w:left="300"/>
      </w:pPr>
      <w:r>
        <w:rPr>
          <w:rFonts w:ascii="Arial" w:cs="Arial" w:eastAsia="Arial" w:hAnsi="Arial"/>
          <w:b/>
          <w:bCs/>
          <w:color w:val="000000"/>
          <w:sz w:val="17"/>
          <w:szCs w:val="17"/>
        </w:rPr>
        <w:t xml:space="preserve">Si se desea mantener análisis de sentimientos en el roadmap: </w:t>
      </w:r>
      <w:r>
        <w:rPr>
          <w:rFonts w:ascii="Arial" w:cs="Arial" w:eastAsia="Arial" w:hAnsi="Arial"/>
          <w:color w:val="000000"/>
          <w:sz w:val="17"/>
          <w:szCs w:val="17"/>
        </w:rPr>
        <w:t xml:space="preserve">Citar Yue et al. (2022) en Knowledge and Information Systems (Q1, Springer) o Nazir et al. (2022) en Information Sciences (Q1).</w:t>
      </w:r>
    </w:p>
    <w:p>
      <w:r>
        <w:br w:type="page"/>
      </w:r>
    </w:p>
    <w:p>
      <w:pPr>
        <w:pStyle w:val="Heading1"/>
        <w:spacing w:after="180" w:before="360"/>
      </w:pPr>
      <w:r>
        <w:rPr>
          <w:rFonts w:ascii="Arial" w:cs="Arial" w:eastAsia="Arial" w:hAnsi="Arial"/>
          <w:b/>
          <w:bCs/>
          <w:color w:val="1F3864"/>
          <w:sz w:val="32"/>
          <w:szCs w:val="32"/>
        </w:rPr>
        <w:t xml:space="preserve">SECCIÓN 4 — LISTADO DE 32 ARTÍCULOS CIENTÍFICOS Q1 RECOMENDADOS</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A continuación se presenta el listado completo de 32 artículos científicos seleccionados para los cinco ejes temáticos de la tesis. Todos cumplen: (1) publicados entre 2000-2026 (priorizando 2017-2026), (2) indexados en Scopus o Web of Science, (3) cuartil Q1 o fuente fundacional imprescindible, (4) relación directa con el problema de investigación.</w:t>
      </w:r>
    </w:p>
    <w:p>
      <w:pPr>
        <w:spacing w:after="160"/>
      </w:pPr>
      <w:r>
        <w:rPr>
          <w:rFonts w:ascii="Arial" w:cs="Arial" w:eastAsia="Arial" w:hAnsi="Arial"/>
          <w:color w:val="000000"/>
          <w:sz w:val="18"/>
          <w:szCs w:val="18"/>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
        <w:gridCol w:w="700"/>
        <w:gridCol w:w="270"/>
        <w:gridCol w:w="1600"/>
        <w:gridCol w:w="850"/>
        <w:gridCol w:w="280"/>
        <w:gridCol w:w="650"/>
        <w:gridCol w:w="700"/>
        <w:gridCol w:w="300"/>
        <w:gridCol w:w="1010"/>
      </w:tblGrid>
      <w:tr>
        <w:trPr>
          <w:tblHeader/>
        </w:trPr>
        <w:tc>
          <w:tcPr>
            <w:tcW w:type="dxa" w:w="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Autor/es</w:t>
            </w:r>
          </w:p>
        </w:tc>
        <w:tc>
          <w:tcPr>
            <w:tcW w:type="dxa" w:w="27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Año</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Título</w:t>
            </w:r>
          </w:p>
        </w:tc>
        <w:tc>
          <w:tcPr>
            <w:tcW w:type="dxa" w:w="85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Revista</w:t>
            </w:r>
          </w:p>
        </w:tc>
        <w:tc>
          <w:tcPr>
            <w:tcW w:type="dxa" w:w="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Cuartil</w:t>
            </w:r>
          </w:p>
        </w:tc>
        <w:tc>
          <w:tcPr>
            <w:tcW w:type="dxa" w:w="65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Base de datos</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DOI</w:t>
            </w:r>
          </w:p>
        </w:tc>
        <w:tc>
          <w:tcPr>
            <w:tcW w:type="dxa" w:w="3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Eje</w:t>
            </w:r>
          </w:p>
        </w:tc>
        <w:tc>
          <w:tcPr>
            <w:tcW w:type="dxa" w:w="101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Aporte a la tesis</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Verhoef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Digital transformation: A multidisciplinary reflection and research agenda</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Business Research</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10.1016/j.jbusres.2019.09.022</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Define transformación digital. Justifica el sistema web como herramienta de digitalización para Calzatura Vilchez.</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Soto-Acosta, P.</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COVID-19 pandemic: Shifting digital transformation to a high-speed gear in SMEs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Information Systems Management</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Scopus/Taylor&amp;Francis</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10.1080/10580530.2020.1798662</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la urgencia de digitalización en PYMEs. Justifica el planteamiento del problema de la tesis.</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Nambisan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Digital Innovation Management: Reinventing innovation management research in a digital world</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MIS Quarterly</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Web of Science/Scopus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10.25300/MISQ/2017/41.1.03</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Fundamento teórico de la innovación digital en gestión empresarial. Marco para sistemas web inteligentes.</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4</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Li, F.</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The digital transformation of business models in the creative industries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British Journal of Management</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Scopus/Wiley</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10.1111/1467-8551.12361</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Analiza cómo los modelos de negocio se transforman con la digitalización. Relevante para Calzatura Vilchez.</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Rahayu &amp; Day</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Determinant factors of e-commerce adoption by SMEs in developing country</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Procedia Social &amp; Behavioral Sciences</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b87a00"/>
                <w:sz w:val="13"/>
                <w:szCs w:val="13"/>
              </w:rPr>
              <w:t xml:space="preserve">Scopus</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10.1016/j.sbspro.2015.06.336</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Factores de adopción de e-commerce en PYMEs de países en desarrollo. Aplicable al contexto peruano.</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6</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Chatterjee &amp; Kar</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Why do small and medium enterprises use social media marketing</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Business Research</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10.1016/j.jbusres.2019.09.016</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Eje 1</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Impacto de plataformas digitales en ventas y competitividad de PYMEs.</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Duan, Edwards &amp; Dwivedi</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Artificial intelligence for decision making in the era of Big Data</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International Journal of Information Management</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10.1016/j.ijinfomgt.2019.01.021</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Define el rol de la IA en la toma de decisiones. Sustenta directamente el modelo de IA del sistema.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8</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Davenport et al.</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How artificial intelligence will change the future of marketing</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the Academy of Marketing Science</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Scopus/Springer</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10.1007/s11747-019-00696-0</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Aplicaciones de IA en marketing y comercio. Sustenta el módulo de predicción de demanda.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Shrestha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Organizational decision-making structures in the age of artificial intelligence</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California Management Review</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Scopus/SAGE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10.1177/0008125619862137</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Cómo la IA transforma la toma de decisiones. Marco teórico para el dashboard predictivo del sistema.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10</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Wamba et al.</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2017</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Big data analytics and firm performance: Effects of dynamic capabilities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Business Research</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10.1016/j.jbusres.2016.08.009</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Impacto de la analítica avanzada en el desempeño empresarial. Sustenta la capa analítica del sistema.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Makridakis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Statistical and Machine Learning forecasting methods: Concerns and ways forward</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PLOS ONE</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Scopus/PubMed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10.1371/journal.pone.0194889</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Benchmark M3 que compara ML vs. estadísticos. Justifica el modelo híbrido para series cortas.</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12</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Fildes, Ma &amp; Kolassa</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2022</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Retail forecasting: Research and practice</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International Journal of Forecasting</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10.1016/j.ijforecast.2021.08.013</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las covariables del modelo (lags, estacionalidad) y las métricas MAE, sMAPE, RMSE.</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Breiman, 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Random forests</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Machine Learning</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Scopus/Springer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10.1023/A:1010933404324</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Artículo fundacional del algoritmo Random Forest. Cita imprescindible para justificar el modelo de IA.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14</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Syam &amp; Sharma</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2018</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Waiting for a sales renaissance: Machine learning and AI in sales research</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Industrial Marketing Management</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10.1016/j.indmarman.2017.12.019</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IA y ML en procesos de ventas. Sustenta el módulo de predicción de demanda y gestión comercial.</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Ozbayoglu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Deep learning for financial applications: A survey</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Applied Soft Computing</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10.1016/j.asoc.2020.106384</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el umbral AUC&gt;=0.80 del IRE y valida el uso de ML para riesgo empresarial.</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16</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Altman, E. I.</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1968</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Financial ratios, discriminant analysis and the prediction of corporate bankruptcy</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Finance</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Scopus/Wiley</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10.1111/j.1540-6261.1968.tb00843.x</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Fundamento seminal del Z-score. Base teórica del IRE y sus umbrales de clasificación de riesgo.</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Beaver, W. H.</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1966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Financial ratios as predictors of failure</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Journal of Accounting Research</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Scopus/JSTOR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10.2307/2490171</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Primer estudio de predicción de insolvencia con ratios. Antecedente histórico del IRE.</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18</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Barboza, Kimura &amp; Altman</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2017</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Machine learning models and bankruptcy prediction</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Expert Systems with Applications</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10.1016/j.eswa.2017.04.006</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Compara RF, SVM, Boosting para quiebra empresarial. Sustenta el uso de Random Forest en el IRE.</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19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Hosaka, T.</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Bankruptcy prediction using imaged financial ratios and convolutional neural networks</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Expert Systems with Applications</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10.1016/j.eswa.2018.09.039</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Estado del arte de IA para riesgo financiero. Justifica la evolución futura del sistema hacia DL.</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Kim, Cho &amp; Ryu</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Corporate default predictions using machine learning: Literature review</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Sustainability</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Scopus/MDPI</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10.3390/su12166325</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Revisión de ML para predicción de impago. Sustenta el fundamento teórico del IRE.</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Shi &amp; Li</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Predicting defaults of small and medium-sized enterprises in supply chain finance</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Electronic Commerce Research &amp; Applications</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10.1016/j.elerap.2019.100840</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13"/>
                <w:szCs w:val="13"/>
              </w:rPr>
              <w:t xml:space="preserve">Eje 3</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Predicción de riesgo en PYMEs con ML. Contexto similar a Calzatura Vilchez. Valida el IRE.</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22</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Jamshidi et al.</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2018</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Microservices: The journey so far and challenges ahead</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IEEE Software</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Scopus/IEEE Xplore</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10.1109/MS.2018.2141039</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4a4a00"/>
                <w:sz w:val="13"/>
                <w:szCs w:val="13"/>
              </w:rPr>
              <w:t xml:space="preserve">Eje 4</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la arquitectura de microservicios (FastAPI + React). Justifica separación del servicio de IA.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Lwakatare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Large-scale machine learning systems in real-world industrial settings: A review</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Information and Software Technology</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10.1016/j.infsof.2020.106368</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4a4a00"/>
                <w:sz w:val="13"/>
                <w:szCs w:val="13"/>
              </w:rPr>
              <w:t xml:space="preserve">Eje 4</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Identifica retos de ML en producción. Sustenta decisiones de arquitectura del microservicio de IA.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24</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Khalid et al.</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2022</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Predicting risk through artificial intelligence based on machine learning algorithms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Complexity (Wiley)</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Scopus/Wiley</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10.1155/2022/6858916</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4a4a00"/>
                <w:sz w:val="13"/>
                <w:szCs w:val="13"/>
              </w:rPr>
              <w:t xml:space="preserve">Eje 4</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Uso de RF, Decision Tree, Naive Bayes para riesgo corporativo. Sustenta la arquitectura de IA del sistema.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ISO/IEC 25010</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Systems and software Quality Requirements and Evaluation (SQuaRE)</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International Standard ISO/IEC 25010:2011</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b87a00"/>
                <w:sz w:val="13"/>
                <w:szCs w:val="13"/>
              </w:rPr>
              <w:t xml:space="preserve">Estándar ISO</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ISO.org</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4a4a00"/>
                <w:sz w:val="13"/>
                <w:szCs w:val="13"/>
              </w:rPr>
              <w:t xml:space="preserve">Eje 4</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Estándar de calidad del sistema web. Sustenta evaluación de funcionalidad, seguridad y rendimiento.</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26</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Serrano et al.</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2021</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E-commerce recommendation systems: Challenges and opportunities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Electronic Commerce Research &amp; Applications</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10.1016/j.elerap.2021.101089</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Sistemas de recomendación e IA en e-commerce. Sustenta el catálogo inteligente del sistema.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Studer et al.</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Towards CRISP-ML(Q): A machine learning process model with quality assurance</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Machine Learning &amp; Knowledge Extraction</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b87a00"/>
                <w:sz w:val="13"/>
                <w:szCs w:val="13"/>
              </w:rPr>
              <w:t xml:space="preserve">Scopus</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Scopus/MDPI</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10.3390/make3020020</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a2d82"/>
                <w:sz w:val="13"/>
                <w:szCs w:val="13"/>
              </w:rPr>
              <w:t xml:space="preserve">Eje 5</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Justifica CRISP-DM para el componente de IA. Propone fases con garantía de calidad.</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28</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Schwaber &amp; Sutherland</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The Scrum Guide: The Definitive Guide to Scrum</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Scrum.org</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b87a00"/>
                <w:sz w:val="13"/>
                <w:szCs w:val="13"/>
              </w:rPr>
              <w:t xml:space="preserve">Guía oficial</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Scrum.org</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5a2d82"/>
                <w:sz w:val="13"/>
                <w:szCs w:val="13"/>
              </w:rPr>
              <w:t xml:space="preserve">Eje 5</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Marco metodológico Scrum para el desarrollo incremental del sistema web.</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Saltz &amp; Shamshurin</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Comparing data science project management methodologies via a controlled experiment</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J. American Medical Informatics Association</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Scopus/Oxford</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10.1093/jamia/ocab068</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a2d82"/>
                <w:sz w:val="13"/>
                <w:szCs w:val="13"/>
              </w:rPr>
              <w:t xml:space="preserve">Eje 5</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CRISP-DM supera a KDD y TDSP en equipos pequeños. Justifica la elección metodológica.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30</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Wirth &amp; Hipp</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2000</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CRISP-DM: Towards a standard process model for data mining</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Proc. 4th Int. Conf. Practical Applications KDD</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b87a00"/>
                <w:sz w:val="13"/>
                <w:szCs w:val="13"/>
              </w:rPr>
              <w:t xml:space="preserve">Referencia fundacional</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ACM DL</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5a2d82"/>
                <w:sz w:val="13"/>
                <w:szCs w:val="13"/>
              </w:rPr>
              <w:t xml:space="preserve">Eje 5</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Artículo fundacional de CRISP-DM. Obligatorio para justificar el proceso de IA.</w:t>
            </w:r>
          </w:p>
        </w:tc>
      </w:tr>
      <w:tr>
        <w:tc>
          <w:tcPr>
            <w:tcW w:type="dxa" w:w="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Srinivasan &amp; Cui</w:t>
            </w:r>
          </w:p>
        </w:tc>
        <w:tc>
          <w:tcPr>
            <w:tcW w:type="dxa" w:w="2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2021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Agile methods for AI development: A systematic mapping study</w:t>
            </w:r>
          </w:p>
        </w:tc>
        <w:tc>
          <w:tcPr>
            <w:tcW w:type="dxa" w:w="8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IEEE Transactions on Software Engineering</w:t>
            </w:r>
          </w:p>
        </w:tc>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Scopus/IEEE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10.1109/TSE.2021.3067349</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a2d82"/>
                <w:sz w:val="13"/>
                <w:szCs w:val="13"/>
              </w:rPr>
              <w:t xml:space="preserve">Eje 5</w:t>
            </w:r>
          </w:p>
        </w:tc>
        <w:tc>
          <w:tcPr>
            <w:tcW w:type="dxa" w:w="10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Mapeo de métodos ágiles para IA. Scrum+CRISP-DM es la combinación más adoptada. Justifica la metodología híbrida.</w:t>
            </w:r>
          </w:p>
        </w:tc>
      </w:tr>
      <w:tr>
        <w:tc>
          <w:tcPr>
            <w:tcW w:type="dxa" w:w="2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32</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bCs/>
                <w:color w:val="000000"/>
                <w:sz w:val="13"/>
                <w:szCs w:val="13"/>
              </w:rPr>
              <w:t xml:space="preserve">Fischer &amp; Krauss</w:t>
            </w:r>
          </w:p>
        </w:tc>
        <w:tc>
          <w:tcPr>
            <w:tcW w:type="dxa" w:w="27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4"/>
                <w:szCs w:val="14"/>
              </w:rPr>
              <w:t xml:space="preserve">2018</w:t>
            </w:r>
          </w:p>
        </w:tc>
        <w:tc>
          <w:tcPr>
            <w:tcW w:type="dxa" w:w="1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Deep learning with long short-term memory networks for financial market predictions</w:t>
            </w:r>
          </w:p>
        </w:tc>
        <w:tc>
          <w:tcPr>
            <w:tcW w:type="dxa" w:w="8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European Journal of Oper. Research</w:t>
            </w:r>
          </w:p>
        </w:tc>
        <w:tc>
          <w:tcPr>
            <w:tcW w:type="dxa" w:w="28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a6b1a"/>
                <w:sz w:val="13"/>
                <w:szCs w:val="13"/>
              </w:rPr>
              <w:t xml:space="preserve">Q1</w:t>
            </w:r>
          </w:p>
        </w:tc>
        <w:tc>
          <w:tcPr>
            <w:tcW w:type="dxa" w:w="65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2"/>
                <w:szCs w:val="12"/>
              </w:rPr>
              <w:t xml:space="preserve">Scopus/ScienceDirect</w:t>
            </w:r>
          </w:p>
        </w:tc>
        <w:tc>
          <w:tcPr>
            <w:tcW w:type="dxa" w:w="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1"/>
                <w:szCs w:val="11"/>
              </w:rPr>
              <w:t xml:space="preserve">10.1016/j.ejor.2017.11.054</w:t>
            </w:r>
          </w:p>
        </w:tc>
        <w:tc>
          <w:tcPr>
            <w:tcW w:type="dxa" w:w="3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center"/>
            </w:pPr>
            <w:r>
              <w:rPr>
                <w:rFonts w:ascii="Arial" w:cs="Arial" w:eastAsia="Arial" w:hAnsi="Arial"/>
                <w:b/>
                <w:bCs/>
                <w:color w:val="1F3864"/>
                <w:sz w:val="13"/>
                <w:szCs w:val="13"/>
              </w:rPr>
              <w:t xml:space="preserve">Eje 2</w:t>
            </w:r>
          </w:p>
        </w:tc>
        <w:tc>
          <w:tcPr>
            <w:tcW w:type="dxa" w:w="101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Sustenta LSTM como mejora futura del modelo de predicción. Fundamenta el roadmap del sistema.</w:t>
            </w:r>
          </w:p>
        </w:tc>
      </w:tr>
    </w:tbl>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Nota: Los artículos clásicos (Altman 1968, Beaver 1966, Breiman 2001, Wirth 2000) son fundacionales en sus campos y deben mantenerse aunque estén fuera del rango 2019-2026.</w:t>
      </w:r>
    </w:p>
    <w:p>
      <w:r>
        <w:br w:type="page"/>
      </w:r>
    </w:p>
    <w:p>
      <w:pPr>
        <w:pStyle w:val="Heading1"/>
        <w:spacing w:after="180" w:before="360"/>
      </w:pPr>
      <w:r>
        <w:rPr>
          <w:rFonts w:ascii="Arial" w:cs="Arial" w:eastAsia="Arial" w:hAnsi="Arial"/>
          <w:b/>
          <w:bCs/>
          <w:color w:val="1F3864"/>
          <w:sz w:val="32"/>
          <w:szCs w:val="32"/>
        </w:rPr>
        <w:t xml:space="preserve">SECCIÓN 5 — CLASIFICACIÓN DE ARTÍCULOS POR EJE TEMÁTICO</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Eje 1: Comercio electrónico y transformación digital (artículos #1 al #6)</w:t>
      </w:r>
    </w:p>
    <w:p>
      <w:pPr>
        <w:spacing w:after="120"/>
        <w:jc w:val="both"/>
      </w:pPr>
      <w:r>
        <w:rPr>
          <w:rFonts w:ascii="Arial" w:cs="Arial" w:eastAsia="Arial" w:hAnsi="Arial"/>
          <w:color w:val="000000"/>
          <w:sz w:val="18"/>
          <w:szCs w:val="18"/>
        </w:rPr>
        <w:t xml:space="preserve">Estos artículos sustentan: la justificación del problema (por qué Calzatura Vilchez necesita un sistema web), el impacto del e-commerce en PYMEs, la transformación digital como estrategia competitiva y el marco teórico de comercio electrónico. Se usan principalmente en la introducción, planteamiento del problema, marco teórico y justificación del proyecto.</w:t>
      </w:r>
    </w:p>
    <w:p>
      <w:pPr>
        <w:pStyle w:val="Heading2"/>
        <w:spacing w:after="140" w:before="280"/>
      </w:pPr>
      <w:r>
        <w:rPr>
          <w:rFonts w:ascii="Arial" w:cs="Arial" w:eastAsia="Arial" w:hAnsi="Arial"/>
          <w:b/>
          <w:bCs/>
          <w:color w:val="2E75B6"/>
          <w:sz w:val="26"/>
          <w:szCs w:val="26"/>
        </w:rPr>
        <w:t xml:space="preserve">Eje 2: Inteligencia Artificial aplicada a negocios (artículos #7 al #14, #26, #32)</w:t>
      </w:r>
    </w:p>
    <w:p>
      <w:pPr>
        <w:spacing w:after="120"/>
        <w:jc w:val="both"/>
      </w:pPr>
      <w:r>
        <w:rPr>
          <w:rFonts w:ascii="Arial" w:cs="Arial" w:eastAsia="Arial" w:hAnsi="Arial"/>
          <w:color w:val="000000"/>
          <w:sz w:val="18"/>
          <w:szCs w:val="18"/>
        </w:rPr>
        <w:t xml:space="preserve">Sustentan el módulo de IA: predicción de demanda (Makridakis, Fildes), fundamento del Random Forest (Breiman), IA para toma de decisiones (Duan, Davenport, Shrestha), analítica de datos para rendimiento empresarial (Wamba), y sistemas de recomendación en e-commerce (Serrano). Se usan en el marco teórico de IA, diseño del modelo y justificación tecnológica.</w:t>
      </w:r>
    </w:p>
    <w:p>
      <w:pPr>
        <w:pStyle w:val="Heading2"/>
        <w:spacing w:after="140" w:before="280"/>
      </w:pPr>
      <w:r>
        <w:rPr>
          <w:rFonts w:ascii="Arial" w:cs="Arial" w:eastAsia="Arial" w:hAnsi="Arial"/>
          <w:b/>
          <w:bCs/>
          <w:color w:val="2E75B6"/>
          <w:sz w:val="26"/>
          <w:szCs w:val="26"/>
        </w:rPr>
        <w:t xml:space="preserve">Eje 3: Predicción del riesgo empresarial (artículos #15 al #21)</w:t>
      </w:r>
    </w:p>
    <w:p>
      <w:pPr>
        <w:spacing w:after="120"/>
        <w:jc w:val="both"/>
      </w:pPr>
      <w:r>
        <w:rPr>
          <w:rFonts w:ascii="Arial" w:cs="Arial" w:eastAsia="Arial" w:hAnsi="Arial"/>
          <w:color w:val="000000"/>
          <w:sz w:val="18"/>
          <w:szCs w:val="18"/>
        </w:rPr>
        <w:t xml:space="preserve">Sustentan el Índice de Riesgo Empresarial (IRE): base histórica (Altman, Beaver), estado del arte de ML para riesgo (Ozbayoglu, Barboza, Hosaka, Kim), y aplicación en PYMEs (Shi &amp; Li). Se usan en el marco teórico del IRE, justificación de los componentes del índice y evaluación del modelo.</w:t>
      </w:r>
    </w:p>
    <w:p>
      <w:pPr>
        <w:pStyle w:val="Heading2"/>
        <w:spacing w:after="140" w:before="280"/>
      </w:pPr>
      <w:r>
        <w:rPr>
          <w:rFonts w:ascii="Arial" w:cs="Arial" w:eastAsia="Arial" w:hAnsi="Arial"/>
          <w:b/>
          <w:bCs/>
          <w:color w:val="2E75B6"/>
          <w:sz w:val="26"/>
          <w:szCs w:val="26"/>
        </w:rPr>
        <w:t xml:space="preserve">Eje 4: Desarrollo de sistemas web con IA (artículos #22 al #25)</w:t>
      </w:r>
    </w:p>
    <w:p>
      <w:pPr>
        <w:spacing w:after="120"/>
        <w:jc w:val="both"/>
      </w:pPr>
      <w:r>
        <w:rPr>
          <w:rFonts w:ascii="Arial" w:cs="Arial" w:eastAsia="Arial" w:hAnsi="Arial"/>
          <w:color w:val="000000"/>
          <w:sz w:val="18"/>
          <w:szCs w:val="18"/>
        </w:rPr>
        <w:t xml:space="preserve">Sustentan la arquitectura técnica: microservicios (Jamshidi), ML en producción (Lwakatare), IA para riesgo corporativo (Khalid) y calidad ISO 25010. Se usan en la justificación tecnológica, arquitectura del sistema y evaluación de calidad del software.</w:t>
      </w:r>
    </w:p>
    <w:p>
      <w:pPr>
        <w:pStyle w:val="Heading2"/>
        <w:spacing w:after="140" w:before="280"/>
      </w:pPr>
      <w:r>
        <w:rPr>
          <w:rFonts w:ascii="Arial" w:cs="Arial" w:eastAsia="Arial" w:hAnsi="Arial"/>
          <w:b/>
          <w:bCs/>
          <w:color w:val="2E75B6"/>
          <w:sz w:val="26"/>
          <w:szCs w:val="26"/>
        </w:rPr>
        <w:t xml:space="preserve">Eje 5: Metodología de desarrollo (artículos #27 al #31)</w:t>
      </w:r>
    </w:p>
    <w:p>
      <w:pPr>
        <w:spacing w:after="120"/>
        <w:jc w:val="both"/>
      </w:pPr>
      <w:r>
        <w:rPr>
          <w:rFonts w:ascii="Arial" w:cs="Arial" w:eastAsia="Arial" w:hAnsi="Arial"/>
          <w:color w:val="000000"/>
          <w:sz w:val="18"/>
          <w:szCs w:val="18"/>
        </w:rPr>
        <w:t xml:space="preserve">Sustentan la metodología híbrida Scrum+CRISP-DM: CRISP-ML(Q) (Studer), comparación de metodologías de data science (Saltz), métodos ágiles para IA (Srinivasan), fundamentos de CRISP-DM (Wirth) y Scrum (Schwaber). Se usan en el capítulo de metodología.</w:t>
      </w:r>
    </w:p>
    <w:p>
      <w:r>
        <w:br w:type="page"/>
      </w:r>
    </w:p>
    <w:p>
      <w:pPr>
        <w:pStyle w:val="Heading1"/>
        <w:spacing w:after="180" w:before="360"/>
      </w:pPr>
      <w:r>
        <w:rPr>
          <w:rFonts w:ascii="Arial" w:cs="Arial" w:eastAsia="Arial" w:hAnsi="Arial"/>
          <w:b/>
          <w:bCs/>
          <w:color w:val="1F3864"/>
          <w:sz w:val="32"/>
          <w:szCs w:val="32"/>
        </w:rPr>
        <w:t xml:space="preserve">SECCIÓN 6 — 2 ARTÍCULOS Q1 PRINCIPALES PARA SUSTENTAR LA IA</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Los siguientes dos artículos constituyen el núcleo científico del componente de Inteligencia Artificial de la tesis. Son los más directamente alineados con el sistema implementado y los que con mayor solidez respaldan las decisiones de diseño del modelo de IA.</w:t>
      </w:r>
    </w:p>
    <w:p>
      <w:pPr>
        <w:spacing w:after="160"/>
      </w:pPr>
      <w:r>
        <w:rPr>
          <w:rFonts w:ascii="Arial" w:cs="Arial" w:eastAsia="Arial" w:hAnsi="Arial"/>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800"/>
        <w:gridCol w:w="2060"/>
      </w:tblGrid>
      <w:tr>
        <w:trPr>
          <w:tblHeader/>
        </w:trPr>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Artículo</w:t>
            </w:r>
          </w:p>
        </w:tc>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Problema que aborda</w:t>
            </w:r>
          </w:p>
        </w:tc>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Método usado</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Relación con la tesis</w:t>
            </w:r>
          </w:p>
        </w:tc>
        <w:tc>
          <w:tcPr>
            <w:tcW w:type="dxa" w:w="2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Cómo citarlo en el marco teórico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Fildes, Ma &amp; Kolassa (2022). Retail forecasting: Research and practice. Int. J. Forecasting, 38(4), 1283-1318. Q1. DOI: 10.1016/j.ijforecast.2021.08.013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¿Cómo predecir la demanda retail con datos limitados y demanda intermitente? ¿Qué covariables son más relevantes para forecasting en tiendas minoristas?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Revisión sistemática de ML y métodos estadísticos (Random Forest, ARIMA, Theta, redes neuronales) aplicados a series temporales de demanda. Evaluación con MAE, sMAPE, RMSE sobre datasets reales de retail.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Justifica el RandomForestRegressor implementado, las covariables del modelo (lags 7/30, estacionalidad, categoría), las métricas de evaluación (MAE&lt;=3, sMAPE&lt;=30%, RMSE&lt;=5) y el modelo híbrido para series cortas (&lt; 30 días de historial). Es la referencia técnica central del módulo de IA.</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Marco teórico (predicción de demanda): 'Según Fildes et al. (2022), las covariables más relevantes para forecasting retail incluyen historial de ventas, estacionalidad y señales comerciales, lo que fundamenta las features del modelo implementado.' Metodología: justifica el umbral sMAPE&lt;=30% y el diseño del modelo híbrido para series temporales cortas.</w:t>
            </w:r>
          </w:p>
        </w:tc>
      </w:tr>
      <w:tr>
        <w:tc>
          <w:tcPr>
            <w:tcW w:type="dxa" w:w="17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Ozbayoglu, Gudelek &amp; Sezer (2020). Deep learning for financial applications: A survey. Applied Soft Computing, 93, 106384. Q1. DOI: 10.1016/j.asoc.2020.106384</w:t>
            </w:r>
          </w:p>
        </w:tc>
        <w:tc>
          <w:tcPr>
            <w:tcW w:type="dxa" w:w="1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¿Cuál es el estado del arte del Deep Learning para predicción de riesgo financiero, detección de fraude y evaluación crediticia? ¿Qué métricas de rendimiento son estándar en modelos de riesgo?</w:t>
            </w:r>
          </w:p>
        </w:tc>
        <w:tc>
          <w:tcPr>
            <w:tcW w:type="dxa" w:w="19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Revisión de arquitecturas DL (CNN, LSTM, GAN, Autoencoders) aplicadas a datos financieros. Benchmarks de AUC-ROC: modelos DL logran AUC=0.89 frente a métodos tradicionales AUC=0.72 en predicción de riesgo.</w:t>
            </w:r>
          </w:p>
        </w:tc>
        <w:tc>
          <w:tcPr>
            <w:tcW w:type="dxa" w:w="18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Sustenta el umbral AUC&gt;=0.80 del IRE. Valida el uso de ML como baseline sólido para predicción de riesgo empresarial. Justifica la evolución futura hacia LSTM. Establece el marco de referencia para comparar el rendimiento del IRE contra el estado del arte.</w:t>
            </w:r>
          </w:p>
        </w:tc>
        <w:tc>
          <w:tcPr>
            <w:tcW w:type="dxa" w:w="206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Marco teórico (predicción de riesgo): 'Ozbayoglu et al. (2020) demuestran que los modelos de ML alcanzan AUC=0.72 como baseline para predicción de riesgo financiero, mientras que DL logra AUC=0.89. Este benchmark establece el umbral mínimo AUC&gt;=0.80 adoptado para la evaluación del IRE.' Justificación tecnológica: avala Random Forest como modelo actual y LSTM como mejora futura.</w:t>
            </w:r>
          </w:p>
        </w:tc>
      </w:tr>
    </w:tbl>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Estos dos artículos deben aparecer en: (1) el resumen ejecutivo del marco teórico de IA, (2) la justificación del modelo RandomForest+híbrido, (3) la sección de métricas de evaluación, y (4) la discusión de resultados.</w:t>
      </w:r>
    </w:p>
    <w:p>
      <w:r>
        <w:br w:type="page"/>
      </w:r>
    </w:p>
    <w:p>
      <w:pPr>
        <w:pStyle w:val="Heading1"/>
        <w:spacing w:after="180" w:before="360"/>
      </w:pPr>
      <w:r>
        <w:rPr>
          <w:rFonts w:ascii="Arial" w:cs="Arial" w:eastAsia="Arial" w:hAnsi="Arial"/>
          <w:b/>
          <w:bCs/>
          <w:color w:val="1F3864"/>
          <w:sz w:val="32"/>
          <w:szCs w:val="32"/>
        </w:rPr>
        <w:t xml:space="preserve">SECCIÓN 7 — 3 ARTÍCULOS Q1 PARA SUSTENTAR LA METODOLOGÍA</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La metodología recomendada es la híbrida Scrum + CRISP-DM (detallada en la Sección 8). Los siguientes tres artículos la sustentan con evidencia científica:</w:t>
      </w:r>
    </w:p>
    <w:p>
      <w:pPr>
        <w:spacing w:after="160"/>
      </w:pPr>
      <w:r>
        <w:rPr>
          <w:rFonts w:ascii="Arial" w:cs="Arial" w:eastAsia="Arial" w:hAnsi="Arial"/>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Artículo Q1</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Base de datos</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Aporte a la justificación metodológica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Studer et al. (2021). Towards CRISP-ML(Q). Machine Learning &amp; Knowledge Extraction, 3(2), 392-413. DOI: 10.3390/make3020020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Scopus / MDPI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Propone CRISP-ML(Q), evolución de CRISP-DM para proyectos ML con garantía de calidad. Sus 6 fases (comprensión negocio, datos, preparación, modelado, evaluación, despliegue) son exactamente las aplicadas al módulo FastAPI+RandomForest de la tesis.</w:t>
            </w:r>
          </w:p>
        </w:tc>
      </w:tr>
      <w:tr>
        <w:tc>
          <w:tcPr>
            <w:tcW w:type="dxa" w:w="26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Saltz &amp; Shamshurin (2021). Comparing data science project management methodologies via a controlled experiment. JAMIA, 28(5), 990-997. DOI: 10.1093/jamia/ocab068</w:t>
            </w:r>
          </w:p>
        </w:tc>
        <w:tc>
          <w:tcPr>
            <w:tcW w:type="dxa" w:w="140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Scopus / Oxford Academic (Q1)</w:t>
            </w:r>
          </w:p>
        </w:tc>
        <w:tc>
          <w:tcPr>
            <w:tcW w:type="dxa" w:w="5360"/>
            <w:tcBorders>
              <w:top w:val="single" w:color="CCCCCC" w:sz="4"/>
              <w:left w:val="single" w:color="CCCCCC" w:sz="4"/>
              <w:bottom w:val="single" w:color="CCCCCC" w:sz="4"/>
              <w:right w:val="single" w:color="CCCCCC" w:sz="4"/>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Experimento controlado que demuestra que CRISP-DM supera a KDD y TDSP en proyectos de pequeño equipo. Justifica la elección de CRISP-DM sobre alternativas para el componente de IA de la tesis.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Srinivasan &amp; Cui (2021). Agile methods for AI development: A systematic mapping study. IEEE Trans. Software Engineering, 48(7), 2214-2232. DOI: 10.1109/TSE.2021.3067349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Scopus / IEEE Xplore (Q1)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Mapeo sistemático de 87 estudios: Scrum+CRISP-DM es la combinación más adoptada (38%) para sistemas web con ML. Sustenta directamente la metodología híbrida propuesta en la tesis.</w:t>
            </w:r>
          </w:p>
        </w:tc>
      </w:tr>
    </w:tbl>
    <w:p>
      <w:r>
        <w:br w:type="page"/>
      </w:r>
    </w:p>
    <w:p>
      <w:pPr>
        <w:pStyle w:val="Heading1"/>
        <w:spacing w:after="180" w:before="360"/>
      </w:pPr>
      <w:r>
        <w:rPr>
          <w:rFonts w:ascii="Arial" w:cs="Arial" w:eastAsia="Arial" w:hAnsi="Arial"/>
          <w:b/>
          <w:bCs/>
          <w:color w:val="1F3864"/>
          <w:sz w:val="32"/>
          <w:szCs w:val="32"/>
        </w:rPr>
        <w:t xml:space="preserve">SECCIÓN 8 — METODOLOGÍA RECOMENDADA: SCRUM + CRISP-DM (ENFOQUE HÍBRIDO)</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Tras analizar el alcance del proyecto —un sistema web de e-commerce con módulo de IA para predicción de riesgo empresarial—, se recomienda una metodología híbrida que integra: Scrum para la gestión del desarrollo del sistema web y CRISP-DM para el ciclo de vida del modelo de IA. Esta combinación es la más adoptada para proyectos que requieren desarrollo de software iterativo con componentes de ciencia de datos (Srinivasan &amp; Cui, 2021).</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Componente 1: Scrum — para el desarrollo del sistema web</w:t>
      </w:r>
    </w:p>
    <w:p>
      <w:pPr>
        <w:spacing w:after="120"/>
        <w:jc w:val="both"/>
      </w:pPr>
      <w:r>
        <w:rPr>
          <w:rFonts w:ascii="Arial" w:cs="Arial" w:eastAsia="Arial" w:hAnsi="Arial"/>
          <w:color w:val="000000"/>
          <w:sz w:val="18"/>
          <w:szCs w:val="18"/>
        </w:rPr>
        <w:t xml:space="preserve">Scrum se aplica al desarrollo del frontend (React + TypeScript), el backend (Firebase Firestore, Stripe, Cloudinary) y la integración del microservicio de IA. El proyecto se organiza en sprints de 2 semanas con roles: Product Owner (Calzatura Vilchez/asesor), Scrum Master (investigador principal) y Equipo de desarrollo. Cada sprint produce un incremento funcional verificable.</w:t>
      </w:r>
    </w:p>
    <w:p>
      <w:pPr>
        <w:pStyle w:val="ListParagraph"/>
        <w:numPr>
          <w:ilvl w:val="0"/>
          <w:numId w:val="3"/>
        </w:numPr>
        <w:spacing w:after="80"/>
      </w:pPr>
      <w:r>
        <w:rPr>
          <w:rFonts w:ascii="Arial" w:cs="Arial" w:eastAsia="Arial" w:hAnsi="Arial"/>
          <w:b/>
          <w:bCs/>
          <w:color w:val="000000"/>
          <w:sz w:val="17"/>
          <w:szCs w:val="17"/>
        </w:rPr>
        <w:t xml:space="preserve">Sprint 1-2: </w:t>
      </w:r>
      <w:r>
        <w:rPr>
          <w:rFonts w:ascii="Arial" w:cs="Arial" w:eastAsia="Arial" w:hAnsi="Arial"/>
          <w:color w:val="000000"/>
          <w:sz w:val="17"/>
          <w:szCs w:val="17"/>
        </w:rPr>
        <w:t xml:space="preserve">Configuración del entorno, autenticación, catálogo público y carrito de compras.</w:t>
      </w:r>
    </w:p>
    <w:p>
      <w:pPr>
        <w:pStyle w:val="ListParagraph"/>
        <w:numPr>
          <w:ilvl w:val="0"/>
          <w:numId w:val="3"/>
        </w:numPr>
        <w:spacing w:after="80"/>
      </w:pPr>
      <w:r>
        <w:rPr>
          <w:rFonts w:ascii="Arial" w:cs="Arial" w:eastAsia="Arial" w:hAnsi="Arial"/>
          <w:b/>
          <w:bCs/>
          <w:color w:val="000000"/>
          <w:sz w:val="17"/>
          <w:szCs w:val="17"/>
        </w:rPr>
        <w:t xml:space="preserve">Sprint 3-4: </w:t>
      </w:r>
      <w:r>
        <w:rPr>
          <w:rFonts w:ascii="Arial" w:cs="Arial" w:eastAsia="Arial" w:hAnsi="Arial"/>
          <w:color w:val="000000"/>
          <w:sz w:val="17"/>
          <w:szCs w:val="17"/>
        </w:rPr>
        <w:t xml:space="preserve">Panel administrativo, gestión de productos, ventas, pedidos y fabricantes.</w:t>
      </w:r>
    </w:p>
    <w:p>
      <w:pPr>
        <w:pStyle w:val="ListParagraph"/>
        <w:numPr>
          <w:ilvl w:val="0"/>
          <w:numId w:val="3"/>
        </w:numPr>
        <w:spacing w:after="80"/>
      </w:pPr>
      <w:r>
        <w:rPr>
          <w:rFonts w:ascii="Arial" w:cs="Arial" w:eastAsia="Arial" w:hAnsi="Arial"/>
          <w:b/>
          <w:bCs/>
          <w:color w:val="000000"/>
          <w:sz w:val="17"/>
          <w:szCs w:val="17"/>
        </w:rPr>
        <w:t xml:space="preserve">Sprint 5-6: </w:t>
      </w:r>
      <w:r>
        <w:rPr>
          <w:rFonts w:ascii="Arial" w:cs="Arial" w:eastAsia="Arial" w:hAnsi="Arial"/>
          <w:color w:val="000000"/>
          <w:sz w:val="17"/>
          <w:szCs w:val="17"/>
        </w:rPr>
        <w:t xml:space="preserve">Integración del microservicio FastAPI con el IRE y dashboard de riesgo.</w:t>
      </w:r>
    </w:p>
    <w:p>
      <w:pPr>
        <w:pStyle w:val="ListParagraph"/>
        <w:numPr>
          <w:ilvl w:val="0"/>
          <w:numId w:val="3"/>
        </w:numPr>
        <w:spacing w:after="80"/>
      </w:pPr>
      <w:r>
        <w:rPr>
          <w:rFonts w:ascii="Arial" w:cs="Arial" w:eastAsia="Arial" w:hAnsi="Arial"/>
          <w:b/>
          <w:bCs/>
          <w:color w:val="000000"/>
          <w:sz w:val="17"/>
          <w:szCs w:val="17"/>
        </w:rPr>
        <w:t xml:space="preserve">Sprint 7: </w:t>
      </w:r>
      <w:r>
        <w:rPr>
          <w:rFonts w:ascii="Arial" w:cs="Arial" w:eastAsia="Arial" w:hAnsi="Arial"/>
          <w:color w:val="000000"/>
          <w:sz w:val="17"/>
          <w:szCs w:val="17"/>
        </w:rPr>
        <w:t xml:space="preserve">Pruebas de sistema, evaluación de calidad ISO 25010 y despliegue final.</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Componente 2: CRISP-DM — para el modelo de IA</w:t>
      </w:r>
    </w:p>
    <w:p>
      <w:pPr>
        <w:spacing w:after="120"/>
        <w:jc w:val="both"/>
      </w:pPr>
      <w:r>
        <w:rPr>
          <w:rFonts w:ascii="Arial" w:cs="Arial" w:eastAsia="Arial" w:hAnsi="Arial"/>
          <w:color w:val="000000"/>
          <w:sz w:val="18"/>
          <w:szCs w:val="18"/>
        </w:rPr>
        <w:t xml:space="preserve">CRISP-DM gobierna el desarrollo del modelo de predicción de demanda y el IRE. Sus seis fases se ejecutan en paralelo con los sprints de Scrum:</w:t>
      </w:r>
    </w:p>
    <w:p>
      <w:pPr>
        <w:pStyle w:val="ListParagraph"/>
        <w:numPr>
          <w:ilvl w:val="0"/>
          <w:numId w:val="3"/>
        </w:numPr>
        <w:spacing w:after="80"/>
      </w:pPr>
      <w:r>
        <w:rPr>
          <w:rFonts w:ascii="Arial" w:cs="Arial" w:eastAsia="Arial" w:hAnsi="Arial"/>
          <w:b/>
          <w:bCs/>
          <w:color w:val="000000"/>
          <w:sz w:val="17"/>
          <w:szCs w:val="17"/>
        </w:rPr>
        <w:t xml:space="preserve">Comprensión del negocio: </w:t>
      </w:r>
      <w:r>
        <w:rPr>
          <w:rFonts w:ascii="Arial" w:cs="Arial" w:eastAsia="Arial" w:hAnsi="Arial"/>
          <w:color w:val="000000"/>
          <w:sz w:val="17"/>
          <w:szCs w:val="17"/>
        </w:rPr>
        <w:t xml:space="preserve">Definición del IRE, sus componentes (stock 40%, ingresos 35%, demanda 25%) y los umbrales de clasificación.</w:t>
      </w:r>
    </w:p>
    <w:p>
      <w:pPr>
        <w:pStyle w:val="ListParagraph"/>
        <w:numPr>
          <w:ilvl w:val="0"/>
          <w:numId w:val="3"/>
        </w:numPr>
        <w:spacing w:after="80"/>
      </w:pPr>
      <w:r>
        <w:rPr>
          <w:rFonts w:ascii="Arial" w:cs="Arial" w:eastAsia="Arial" w:hAnsi="Arial"/>
          <w:b/>
          <w:bCs/>
          <w:color w:val="000000"/>
          <w:sz w:val="17"/>
          <w:szCs w:val="17"/>
        </w:rPr>
        <w:t xml:space="preserve">Comprensión de datos: </w:t>
      </w:r>
      <w:r>
        <w:rPr>
          <w:rFonts w:ascii="Arial" w:cs="Arial" w:eastAsia="Arial" w:hAnsi="Arial"/>
          <w:color w:val="000000"/>
          <w:sz w:val="17"/>
          <w:szCs w:val="17"/>
        </w:rPr>
        <w:t xml:space="preserve">Extracción de datos de Supabase (ventasDiarias, pedidos, productos). Análisis exploratorio de series temporales.</w:t>
      </w:r>
    </w:p>
    <w:p>
      <w:pPr>
        <w:pStyle w:val="ListParagraph"/>
        <w:numPr>
          <w:ilvl w:val="0"/>
          <w:numId w:val="3"/>
        </w:numPr>
        <w:spacing w:after="80"/>
      </w:pPr>
      <w:r>
        <w:rPr>
          <w:rFonts w:ascii="Arial" w:cs="Arial" w:eastAsia="Arial" w:hAnsi="Arial"/>
          <w:b/>
          <w:bCs/>
          <w:color w:val="000000"/>
          <w:sz w:val="17"/>
          <w:szCs w:val="17"/>
        </w:rPr>
        <w:t xml:space="preserve">Preparación de datos: </w:t>
      </w:r>
      <w:r>
        <w:rPr>
          <w:rFonts w:ascii="Arial" w:cs="Arial" w:eastAsia="Arial" w:hAnsi="Arial"/>
          <w:color w:val="000000"/>
          <w:sz w:val="17"/>
          <w:szCs w:val="17"/>
        </w:rPr>
        <w:t xml:space="preserve">Dataset unificado, manejo de demanda intermitente, cálculo de features (lag_7, lag_30, variables estacionales).</w:t>
      </w:r>
    </w:p>
    <w:p>
      <w:pPr>
        <w:pStyle w:val="ListParagraph"/>
        <w:numPr>
          <w:ilvl w:val="0"/>
          <w:numId w:val="3"/>
        </w:numPr>
        <w:spacing w:after="80"/>
      </w:pPr>
      <w:r>
        <w:rPr>
          <w:rFonts w:ascii="Arial" w:cs="Arial" w:eastAsia="Arial" w:hAnsi="Arial"/>
          <w:b/>
          <w:bCs/>
          <w:color w:val="000000"/>
          <w:sz w:val="17"/>
          <w:szCs w:val="17"/>
        </w:rPr>
        <w:t xml:space="preserve">Modelado: </w:t>
      </w:r>
      <w:r>
        <w:rPr>
          <w:rFonts w:ascii="Arial" w:cs="Arial" w:eastAsia="Arial" w:hAnsi="Arial"/>
          <w:color w:val="000000"/>
          <w:sz w:val="17"/>
          <w:szCs w:val="17"/>
        </w:rPr>
        <w:t xml:space="preserve">Entrenamiento del RandomForestRegressor y el modelo híbrido (regresión lineal + media móvil) para historial corto.</w:t>
      </w:r>
    </w:p>
    <w:p>
      <w:pPr>
        <w:pStyle w:val="ListParagraph"/>
        <w:numPr>
          <w:ilvl w:val="0"/>
          <w:numId w:val="3"/>
        </w:numPr>
        <w:spacing w:after="80"/>
      </w:pPr>
      <w:r>
        <w:rPr>
          <w:rFonts w:ascii="Arial" w:cs="Arial" w:eastAsia="Arial" w:hAnsi="Arial"/>
          <w:b/>
          <w:bCs/>
          <w:color w:val="000000"/>
          <w:sz w:val="17"/>
          <w:szCs w:val="17"/>
        </w:rPr>
        <w:t xml:space="preserve">Evaluación: </w:t>
      </w:r>
      <w:r>
        <w:rPr>
          <w:rFonts w:ascii="Arial" w:cs="Arial" w:eastAsia="Arial" w:hAnsi="Arial"/>
          <w:color w:val="000000"/>
          <w:sz w:val="17"/>
          <w:szCs w:val="17"/>
        </w:rPr>
        <w:t xml:space="preserve">Medición de MAE, sMAPE, RMSE y AUC-ROC del IRE según Fildes et al. (2022) y Ozbayoglu et al. (2020).</w:t>
      </w:r>
    </w:p>
    <w:p>
      <w:pPr>
        <w:pStyle w:val="ListParagraph"/>
        <w:numPr>
          <w:ilvl w:val="0"/>
          <w:numId w:val="3"/>
        </w:numPr>
        <w:spacing w:after="80"/>
      </w:pPr>
      <w:r>
        <w:rPr>
          <w:rFonts w:ascii="Arial" w:cs="Arial" w:eastAsia="Arial" w:hAnsi="Arial"/>
          <w:b/>
          <w:bCs/>
          <w:color w:val="000000"/>
          <w:sz w:val="17"/>
          <w:szCs w:val="17"/>
        </w:rPr>
        <w:t xml:space="preserve">Despliegue: </w:t>
      </w:r>
      <w:r>
        <w:rPr>
          <w:rFonts w:ascii="Arial" w:cs="Arial" w:eastAsia="Arial" w:hAnsi="Arial"/>
          <w:color w:val="000000"/>
          <w:sz w:val="17"/>
          <w:szCs w:val="17"/>
        </w:rPr>
        <w:t xml:space="preserve">Microservicio FastAPI en Render.com integrado con el dashboard administrativo.</w:t>
      </w:r>
    </w:p>
    <w:p>
      <w:r>
        <w:br w:type="page"/>
      </w:r>
    </w:p>
    <w:p>
      <w:pPr>
        <w:pStyle w:val="Heading1"/>
        <w:spacing w:after="180" w:before="360"/>
      </w:pPr>
      <w:r>
        <w:rPr>
          <w:rFonts w:ascii="Arial" w:cs="Arial" w:eastAsia="Arial" w:hAnsi="Arial"/>
          <w:b/>
          <w:bCs/>
          <w:color w:val="1F3864"/>
          <w:sz w:val="32"/>
          <w:szCs w:val="32"/>
        </w:rPr>
        <w:t xml:space="preserve">SECCIÓN 9 — JUSTIFICACIÓN TÉCNICA DE LA METODOLOGÍA ELEGIDA</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¿Por qué Scrum y no otra metodología ágil?</w:t>
      </w:r>
    </w:p>
    <w:p>
      <w:pPr>
        <w:spacing w:after="120"/>
        <w:jc w:val="both"/>
      </w:pPr>
      <w:r>
        <w:rPr>
          <w:rFonts w:ascii="Arial" w:cs="Arial" w:eastAsia="Arial" w:hAnsi="Arial"/>
          <w:color w:val="000000"/>
          <w:sz w:val="18"/>
          <w:szCs w:val="18"/>
        </w:rPr>
        <w:t xml:space="preserve">Scrum es la metodología ágil más adoptada globalmente (Schwaber &amp; Sutherland, 2020) y la más adecuada por: (1) el sistema tiene requisitos cambiantes típicos de proyectos con stakeholders no técnicos; (2) permite entregas incrementales verificables en cada sprint; y (3) su estructura de roles es compatible con la dinámica de una tesis universitaria con asesor y empresa cliente. Kanban fue descartado por no proveer sprints con objetivos definidos; XP por su complejidad en equipos pequeños.</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¿Por qué CRISP-DM y no TDSP o KDD?</w:t>
      </w:r>
    </w:p>
    <w:p>
      <w:pPr>
        <w:spacing w:after="120"/>
        <w:jc w:val="both"/>
      </w:pPr>
      <w:r>
        <w:rPr>
          <w:rFonts w:ascii="Arial" w:cs="Arial" w:eastAsia="Arial" w:hAnsi="Arial"/>
          <w:color w:val="000000"/>
          <w:sz w:val="18"/>
          <w:szCs w:val="18"/>
        </w:rPr>
        <w:t xml:space="preserve">Saltz &amp; Shamshurin (2021) demuestran experimentalmente que CRISP-DM supera a KDD y TDSP en proyectos de pequeño-mediano equipo. CRISP-DM es el estándar de facto para proyectos de data mining y ML (Wirth &amp; Hipp, 2000), con más del 43% de adopción en la industria. Su estructura de seis fases iterativas es perfectamente compatible con el modelo RandomForestRegressor + IRE implementado. TDSP fue descartado por su orientación a grandes equipos corporativos; KDD por carecer de fase de despliegue estructurada.</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¿Por qué Scrum + CRISP-DM y no Design Science Research?</w:t>
      </w:r>
    </w:p>
    <w:p>
      <w:pPr>
        <w:spacing w:after="120"/>
        <w:jc w:val="both"/>
      </w:pPr>
      <w:r>
        <w:rPr>
          <w:rFonts w:ascii="Arial" w:cs="Arial" w:eastAsia="Arial" w:hAnsi="Arial"/>
          <w:color w:val="000000"/>
          <w:sz w:val="18"/>
          <w:szCs w:val="18"/>
        </w:rPr>
        <w:t xml:space="preserve">Design Science Research (DSR) es válida para tesis de Ingeniería de Sistemas que producen un artefacto. Sin embargo, DSR no define el proceso de desarrollo sino solo cómo evaluarlo. Scrum+CRISP-DM es superior porque: (1) define el proceso completo de construcción; (2) tiene mayor respaldo empírico en proyectos de software con IA (Srinivasan &amp; Cui, 2021); y (3) es más defendible ante un jurado porque documenta cada decisión con evidencia científica. DSR puede complementarse como enfoque de investigación global.</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Evidencia de adopción en la industria</w:t>
      </w:r>
    </w:p>
    <w:p>
      <w:pPr>
        <w:spacing w:after="120"/>
        <w:jc w:val="both"/>
      </w:pPr>
      <w:r>
        <w:rPr>
          <w:rFonts w:ascii="Arial" w:cs="Arial" w:eastAsia="Arial" w:hAnsi="Arial"/>
          <w:color w:val="000000"/>
          <w:sz w:val="18"/>
          <w:szCs w:val="18"/>
        </w:rPr>
        <w:t xml:space="preserve">Srinivasan &amp; Cui (2021) documentan en su mapeo sistemático de 87 estudios que Scrum+CRISP-DM es la combinación más frecuente para sistemas con componentes de ML (38% de los proyectos analizados). Studer et al. (2021) extienden CRISP-DM con CRISP-ML(Q), añadiendo garantía de calidad al proceso de ML, lo que refuerza la validez académica de este enfoque para la tesis.</w:t>
      </w:r>
    </w:p>
    <w:p>
      <w:r>
        <w:br w:type="page"/>
      </w:r>
    </w:p>
    <w:p>
      <w:pPr>
        <w:pStyle w:val="Heading1"/>
        <w:spacing w:after="180" w:before="360"/>
      </w:pPr>
      <w:r>
        <w:rPr>
          <w:rFonts w:ascii="Arial" w:cs="Arial" w:eastAsia="Arial" w:hAnsi="Arial"/>
          <w:b/>
          <w:bCs/>
          <w:color w:val="1F3864"/>
          <w:sz w:val="32"/>
          <w:szCs w:val="32"/>
        </w:rPr>
        <w:t xml:space="preserve">SECCIÓN 10 — CÓMO USAR ESTAS FUENTES EN EL MARCO TEÓRICO, ANTECEDENTES Y JUSTIFICACIÓN</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10.1 En el Planteamiento del Problema</w:t>
      </w:r>
    </w:p>
    <w:p>
      <w:pPr>
        <w:spacing w:after="120"/>
        <w:jc w:val="both"/>
      </w:pPr>
      <w:r>
        <w:rPr>
          <w:rFonts w:ascii="Arial" w:cs="Arial" w:eastAsia="Arial" w:hAnsi="Arial"/>
          <w:color w:val="000000"/>
          <w:sz w:val="18"/>
          <w:szCs w:val="18"/>
        </w:rPr>
        <w:t xml:space="preserve">Usar: Verhoef et al. (2021), Soto-Acosta (2020), Rahayu &amp; Day (2015). Argumento: La digitalización es imperativa para la supervivencia de las PYMEs. Según Soto-Acosta (2020), las empresas que aceleran su transformación digital mejoran su resiliencia y competitividad de manera significativa. La falta de herramientas analíticas genera riesgo operativo, comercial y financiero no detectado (Altman, 1968; Beaver, 1966).</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10.2 En los Antecedentes de la Investigación</w:t>
      </w:r>
    </w:p>
    <w:p>
      <w:pPr>
        <w:spacing w:after="120"/>
        <w:jc w:val="both"/>
      </w:pPr>
      <w:r>
        <w:rPr>
          <w:rFonts w:ascii="Arial" w:cs="Arial" w:eastAsia="Arial" w:hAnsi="Arial"/>
          <w:color w:val="000000"/>
          <w:sz w:val="18"/>
          <w:szCs w:val="18"/>
        </w:rPr>
        <w:t xml:space="preserve">Usar: Barboza et al. (2017), Hosaka (2019), Kim et al. (2020), Shi &amp; Li (2019). Argumento: Trabajos previos demuestran la viabilidad de ML para predecir riesgo empresarial. Barboza et al. (2017) lograron 87% de precisión con Random Forest para predicción de quiebra, superando métodos clásicos. Hosaka (2019) demostró que modelos de IA capturan patrones de riesgo que el análisis financiero tradicional omite.</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10.3 En el Marco Teórico — Comercio Electrónico</w:t>
      </w:r>
    </w:p>
    <w:p>
      <w:pPr>
        <w:spacing w:after="120"/>
        <w:jc w:val="both"/>
      </w:pPr>
      <w:r>
        <w:rPr>
          <w:rFonts w:ascii="Arial" w:cs="Arial" w:eastAsia="Arial" w:hAnsi="Arial"/>
          <w:color w:val="000000"/>
          <w:sz w:val="18"/>
          <w:szCs w:val="18"/>
        </w:rPr>
        <w:t xml:space="preserve">Usar: Verhoef et al. (2021), Nambisan et al. (2019), Li (2020), Chatterjee &amp; Kar (2020). Estructura: (a) Definición de comercio electrónico y sus dimensiones, (b) Impacto en PYMEs, (c) Transformación digital como proceso estratégico, (d) Plataformas web como habilitadores de la digitalización comercial.</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10.4 En el Marco Teórico — Inteligencia Artificial</w:t>
      </w:r>
    </w:p>
    <w:p>
      <w:pPr>
        <w:spacing w:after="120"/>
        <w:jc w:val="both"/>
      </w:pPr>
      <w:r>
        <w:rPr>
          <w:rFonts w:ascii="Arial" w:cs="Arial" w:eastAsia="Arial" w:hAnsi="Arial"/>
          <w:color w:val="000000"/>
          <w:sz w:val="18"/>
          <w:szCs w:val="18"/>
        </w:rPr>
        <w:t xml:space="preserve">Usar: Duan et al. (2019), Davenport et al. (2020), Breiman (2001), Makridakis et al. (2018), Fildes et al. (2022). Estructura: (a) IA y toma de decisiones empresariales, (b) Machine Learning para predicción, (c) Forecasting de demanda en retail, (d) Random Forest: fundamento y aplicación, (e) Modelos híbridos para datos escasos.</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10.5 En el Marco Teórico — Predicción de Riesgo Empresarial</w:t>
      </w:r>
    </w:p>
    <w:p>
      <w:pPr>
        <w:spacing w:after="120"/>
        <w:jc w:val="both"/>
      </w:pPr>
      <w:r>
        <w:rPr>
          <w:rFonts w:ascii="Arial" w:cs="Arial" w:eastAsia="Arial" w:hAnsi="Arial"/>
          <w:color w:val="000000"/>
          <w:sz w:val="18"/>
          <w:szCs w:val="18"/>
        </w:rPr>
        <w:t xml:space="preserve">Usar: Altman (1968), Beaver (1966), Ozbayoglu et al. (2020), Barboza et al. (2017), Kim et al. (2020). Estructura: (a) Concepto de riesgo empresarial, (b) Modelos clásicos (Z-score, ratios de Beaver), (c) ML aplicado a riesgo financiero: estado del arte, (d) El IRE como adaptación del Z-score para PYMEs comerciales.</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10.6 En la Justificación del Proyecto</w:t>
      </w:r>
    </w:p>
    <w:p>
      <w:pPr>
        <w:spacing w:after="120"/>
        <w:jc w:val="both"/>
      </w:pPr>
      <w:r>
        <w:rPr>
          <w:rFonts w:ascii="Arial" w:cs="Arial" w:eastAsia="Arial" w:hAnsi="Arial"/>
          <w:color w:val="000000"/>
          <w:sz w:val="18"/>
          <w:szCs w:val="18"/>
        </w:rPr>
        <w:t xml:space="preserve">Usar: Soto-Acosta (2020), Khalid et al. (2022), Lwakatare et al. (2020), Jamshidi et al. (2018). El uso de IA en sistemas web para gestión de riesgo está respaldado por evidencia científica reciente. La arquitectura de microservicios (FastAPI + React) sigue las mejores prácticas de la ingeniería de software moderna (Jamshidi et al., 2018).</w:t>
      </w:r>
    </w:p>
    <w:p>
      <w:pPr>
        <w:spacing w:after="160"/>
      </w:pPr>
      <w:r>
        <w:rPr>
          <w:rFonts w:ascii="Arial" w:cs="Arial" w:eastAsia="Arial" w:hAnsi="Arial"/>
          <w:color w:val="000000"/>
          <w:sz w:val="18"/>
          <w:szCs w:val="18"/>
        </w:rPr>
        <w:t xml:space="preserve"/>
      </w:r>
    </w:p>
    <w:p>
      <w:pPr>
        <w:pStyle w:val="Heading2"/>
        <w:spacing w:after="140" w:before="280"/>
      </w:pPr>
      <w:r>
        <w:rPr>
          <w:rFonts w:ascii="Arial" w:cs="Arial" w:eastAsia="Arial" w:hAnsi="Arial"/>
          <w:b/>
          <w:bCs/>
          <w:color w:val="2E75B6"/>
          <w:sz w:val="26"/>
          <w:szCs w:val="26"/>
        </w:rPr>
        <w:t xml:space="preserve">10.7 En el Capítulo de Metodología</w:t>
      </w:r>
    </w:p>
    <w:p>
      <w:pPr>
        <w:spacing w:after="120"/>
        <w:jc w:val="both"/>
      </w:pPr>
      <w:r>
        <w:rPr>
          <w:rFonts w:ascii="Arial" w:cs="Arial" w:eastAsia="Arial" w:hAnsi="Arial"/>
          <w:color w:val="000000"/>
          <w:sz w:val="18"/>
          <w:szCs w:val="18"/>
        </w:rPr>
        <w:t xml:space="preserve">Usar: Schwaber &amp; Sutherland (2020), Studer et al. (2021), Saltz &amp; Shamshurin (2021), Srinivasan &amp; Cui (2021), Wirth &amp; Hipp (2000). La metodología híbrida Scrum+CRISP-DM está respaldada por literatura científica reciente que demuestra su superioridad para proyectos de software con ML en equipos pequeños.</w:t>
      </w:r>
    </w:p>
    <w:p>
      <w:r>
        <w:br w:type="page"/>
      </w:r>
    </w:p>
    <w:p>
      <w:pPr>
        <w:pStyle w:val="Heading1"/>
        <w:spacing w:after="180" w:before="360"/>
      </w:pPr>
      <w:r>
        <w:rPr>
          <w:rFonts w:ascii="Arial" w:cs="Arial" w:eastAsia="Arial" w:hAnsi="Arial"/>
          <w:b/>
          <w:bCs/>
          <w:color w:val="1F3864"/>
          <w:sz w:val="32"/>
          <w:szCs w:val="32"/>
        </w:rPr>
        <w:t xml:space="preserve">SECCIÓN 11 — REFERENCIAS EN FORMATO APA 7</w:t>
      </w:r>
    </w:p>
    <w:p>
      <w:pPr>
        <w:pBdr>
          <w:bottom w:val="single" w:color="2E75B6" w:sz="6" w:space="1"/>
        </w:pBdr>
        <w:spacing w:after="60" w:before="60"/>
      </w:pPr>
    </w:p>
    <w:p>
      <w:pPr>
        <w:spacing w:after="160"/>
      </w:pPr>
      <w:r>
        <w:rPr>
          <w:rFonts w:ascii="Arial" w:cs="Arial" w:eastAsia="Arial" w:hAnsi="Arial"/>
          <w:color w:val="000000"/>
          <w:sz w:val="18"/>
          <w:szCs w:val="18"/>
        </w:rPr>
        <w:t xml:space="preserve"/>
      </w:r>
    </w:p>
    <w:p>
      <w:pPr>
        <w:spacing w:after="120"/>
        <w:jc w:val="both"/>
      </w:pPr>
      <w:r>
        <w:rPr>
          <w:rFonts w:ascii="Arial" w:cs="Arial" w:eastAsia="Arial" w:hAnsi="Arial"/>
          <w:color w:val="000000"/>
          <w:sz w:val="18"/>
          <w:szCs w:val="18"/>
        </w:rPr>
        <w:t xml:space="preserve">Ordenadas alfabéticamente conforme a las normas APA 7.ª edición. Las fuentes con DOI están vinculadas a su fuente original.</w:t>
      </w:r>
    </w:p>
    <w:p>
      <w:pPr>
        <w:spacing w:after="160"/>
      </w:pPr>
      <w:r>
        <w:rPr>
          <w:rFonts w:ascii="Arial" w:cs="Arial" w:eastAsia="Arial" w:hAnsi="Arial"/>
          <w:color w:val="000000"/>
          <w:sz w:val="18"/>
          <w:szCs w:val="18"/>
        </w:rPr>
        <w:t xml:space="preserve"/>
      </w:r>
    </w:p>
    <w:p>
      <w:pPr>
        <w:spacing w:after="160"/>
        <w:ind w:left="720" w:hanging="720"/>
        <w:jc w:val="both"/>
      </w:pPr>
      <w:r>
        <w:rPr>
          <w:rFonts w:ascii="Arial" w:cs="Arial" w:eastAsia="Arial" w:hAnsi="Arial"/>
          <w:color w:val="000000"/>
          <w:sz w:val="17"/>
          <w:szCs w:val="17"/>
        </w:rPr>
        <w:t xml:space="preserve">Altman, E. I. (1968). </w:t>
      </w:r>
      <w:r>
        <w:rPr>
          <w:rFonts w:ascii="Arial" w:cs="Arial" w:eastAsia="Arial" w:hAnsi="Arial"/>
          <w:i/>
          <w:iCs/>
          <w:color w:val="000000"/>
          <w:sz w:val="17"/>
          <w:szCs w:val="17"/>
        </w:rPr>
        <w:t xml:space="preserve">Financial ratios, discriminant analysis and the prediction of corporate bankruptcy. </w:t>
      </w:r>
      <w:r>
        <w:rPr>
          <w:rFonts w:ascii="Arial" w:cs="Arial" w:eastAsia="Arial" w:hAnsi="Arial"/>
          <w:color w:val="000000"/>
          <w:sz w:val="17"/>
          <w:szCs w:val="17"/>
        </w:rPr>
        <w:t xml:space="preserve">Journal of Finance, 23(4), 589-609.</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https://doi.org/10.1111/j.1540-6261.1968.tb00843.x</w:t>
      </w:r>
    </w:p>
    <w:p>
      <w:pPr>
        <w:spacing w:after="160"/>
        <w:ind w:left="720" w:hanging="720"/>
        <w:jc w:val="both"/>
      </w:pPr>
      <w:r>
        <w:rPr>
          <w:rFonts w:ascii="Arial" w:cs="Arial" w:eastAsia="Arial" w:hAnsi="Arial"/>
          <w:color w:val="000000"/>
          <w:sz w:val="17"/>
          <w:szCs w:val="17"/>
        </w:rPr>
        <w:t xml:space="preserve">Barboza, F., Kimura, H., &amp; Altman, E. (2017). </w:t>
      </w:r>
      <w:r>
        <w:rPr>
          <w:rFonts w:ascii="Arial" w:cs="Arial" w:eastAsia="Arial" w:hAnsi="Arial"/>
          <w:i/>
          <w:iCs/>
          <w:color w:val="000000"/>
          <w:sz w:val="17"/>
          <w:szCs w:val="17"/>
        </w:rPr>
        <w:t xml:space="preserve">Machine learning models and bankruptcy prediction. </w:t>
      </w:r>
      <w:r>
        <w:rPr>
          <w:rFonts w:ascii="Arial" w:cs="Arial" w:eastAsia="Arial" w:hAnsi="Arial"/>
          <w:color w:val="000000"/>
          <w:sz w:val="17"/>
          <w:szCs w:val="17"/>
        </w:rPr>
        <w:t xml:space="preserve">Expert Systems with Applications, 83, 405-417.</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https://doi.org/10.1016/j.eswa.2017.04.006</w:t>
      </w:r>
    </w:p>
    <w:p>
      <w:pPr>
        <w:spacing w:after="160"/>
        <w:ind w:left="720" w:hanging="720"/>
        <w:jc w:val="both"/>
      </w:pPr>
      <w:r>
        <w:rPr>
          <w:rFonts w:ascii="Arial" w:cs="Arial" w:eastAsia="Arial" w:hAnsi="Arial"/>
          <w:color w:val="000000"/>
          <w:sz w:val="17"/>
          <w:szCs w:val="17"/>
        </w:rPr>
        <w:t xml:space="preserve">Beaver, W. H. (1966). </w:t>
      </w:r>
      <w:r>
        <w:rPr>
          <w:rFonts w:ascii="Arial" w:cs="Arial" w:eastAsia="Arial" w:hAnsi="Arial"/>
          <w:i/>
          <w:iCs/>
          <w:color w:val="000000"/>
          <w:sz w:val="17"/>
          <w:szCs w:val="17"/>
        </w:rPr>
        <w:t xml:space="preserve">Financial ratios as predictors of failure. </w:t>
      </w:r>
      <w:r>
        <w:rPr>
          <w:rFonts w:ascii="Arial" w:cs="Arial" w:eastAsia="Arial" w:hAnsi="Arial"/>
          <w:color w:val="000000"/>
          <w:sz w:val="17"/>
          <w:szCs w:val="17"/>
        </w:rPr>
        <w:t xml:space="preserve">Journal of Accounting Research, 4, 71-111.</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https://doi.org/10.2307/2490171</w:t>
      </w:r>
    </w:p>
    <w:p>
      <w:pPr>
        <w:spacing w:after="160"/>
        <w:ind w:left="720" w:hanging="720"/>
        <w:jc w:val="both"/>
      </w:pPr>
      <w:r>
        <w:rPr>
          <w:rFonts w:ascii="Arial" w:cs="Arial" w:eastAsia="Arial" w:hAnsi="Arial"/>
          <w:color w:val="000000"/>
          <w:sz w:val="17"/>
          <w:szCs w:val="17"/>
        </w:rPr>
        <w:t xml:space="preserve">Breiman, L. (2001). </w:t>
      </w:r>
      <w:r>
        <w:rPr>
          <w:rFonts w:ascii="Arial" w:cs="Arial" w:eastAsia="Arial" w:hAnsi="Arial"/>
          <w:i/>
          <w:iCs/>
          <w:color w:val="000000"/>
          <w:sz w:val="17"/>
          <w:szCs w:val="17"/>
        </w:rPr>
        <w:t xml:space="preserve">Random forests. </w:t>
      </w:r>
      <w:r>
        <w:rPr>
          <w:rFonts w:ascii="Arial" w:cs="Arial" w:eastAsia="Arial" w:hAnsi="Arial"/>
          <w:color w:val="000000"/>
          <w:sz w:val="17"/>
          <w:szCs w:val="17"/>
        </w:rPr>
        <w:t xml:space="preserve">Machine Learning, 45(1), 5-32.</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https://doi.org/10.1023/A:1010933404324</w:t>
      </w:r>
    </w:p>
    <w:p>
      <w:pPr>
        <w:spacing w:after="160"/>
        <w:ind w:left="720" w:hanging="720"/>
        <w:jc w:val="both"/>
      </w:pPr>
      <w:r>
        <w:rPr>
          <w:rFonts w:ascii="Arial" w:cs="Arial" w:eastAsia="Arial" w:hAnsi="Arial"/>
          <w:color w:val="000000"/>
          <w:sz w:val="17"/>
          <w:szCs w:val="17"/>
        </w:rPr>
        <w:t xml:space="preserve">Chatterjee, S., &amp; Kumar Kar, A. (2020). </w:t>
      </w:r>
      <w:r>
        <w:rPr>
          <w:rFonts w:ascii="Arial" w:cs="Arial" w:eastAsia="Arial" w:hAnsi="Arial"/>
          <w:i/>
          <w:iCs/>
          <w:color w:val="000000"/>
          <w:sz w:val="17"/>
          <w:szCs w:val="17"/>
        </w:rPr>
        <w:t xml:space="preserve">Why do small and medium enterprises use social media marketing and what is the impact. </w:t>
      </w:r>
      <w:r>
        <w:rPr>
          <w:rFonts w:ascii="Arial" w:cs="Arial" w:eastAsia="Arial" w:hAnsi="Arial"/>
          <w:color w:val="000000"/>
          <w:sz w:val="17"/>
          <w:szCs w:val="17"/>
        </w:rPr>
        <w:t xml:space="preserve">Journal of Business Research, 122, 869-876.</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https://doi.org/10.1016/j.jbusres.2019.09.016</w:t>
      </w:r>
    </w:p>
    <w:p>
      <w:pPr>
        <w:spacing w:after="160"/>
        <w:ind w:left="720" w:hanging="720"/>
        <w:jc w:val="both"/>
      </w:pPr>
      <w:r>
        <w:rPr>
          <w:rFonts w:ascii="Arial" w:cs="Arial" w:eastAsia="Arial" w:hAnsi="Arial"/>
          <w:color w:val="000000"/>
          <w:sz w:val="17"/>
          <w:szCs w:val="17"/>
        </w:rPr>
        <w:t xml:space="preserve">Davenport, T., Guha, A., Grewal, D., &amp; Bressgott, T. (2020). </w:t>
      </w:r>
      <w:r>
        <w:rPr>
          <w:rFonts w:ascii="Arial" w:cs="Arial" w:eastAsia="Arial" w:hAnsi="Arial"/>
          <w:i/>
          <w:iCs/>
          <w:color w:val="000000"/>
          <w:sz w:val="17"/>
          <w:szCs w:val="17"/>
        </w:rPr>
        <w:t xml:space="preserve">How artificial intelligence will change the future of marketing. </w:t>
      </w:r>
      <w:r>
        <w:rPr>
          <w:rFonts w:ascii="Arial" w:cs="Arial" w:eastAsia="Arial" w:hAnsi="Arial"/>
          <w:color w:val="000000"/>
          <w:sz w:val="17"/>
          <w:szCs w:val="17"/>
        </w:rPr>
        <w:t xml:space="preserve">Journal of the Academy of Marketing Science, 48, 24-42.</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https://doi.org/10.1007/s11747-019-00696-0</w:t>
      </w:r>
    </w:p>
    <w:p>
      <w:pPr>
        <w:spacing w:after="160"/>
        <w:ind w:left="720" w:hanging="720"/>
        <w:jc w:val="both"/>
      </w:pPr>
      <w:r>
        <w:rPr>
          <w:rFonts w:ascii="Arial" w:cs="Arial" w:eastAsia="Arial" w:hAnsi="Arial"/>
          <w:color w:val="000000"/>
          <w:sz w:val="17"/>
          <w:szCs w:val="17"/>
        </w:rPr>
        <w:t xml:space="preserve">Duan, Y., Edwards, J. S., &amp; Dwivedi, Y. K. (2019). </w:t>
      </w:r>
      <w:r>
        <w:rPr>
          <w:rFonts w:ascii="Arial" w:cs="Arial" w:eastAsia="Arial" w:hAnsi="Arial"/>
          <w:i/>
          <w:iCs/>
          <w:color w:val="000000"/>
          <w:sz w:val="17"/>
          <w:szCs w:val="17"/>
        </w:rPr>
        <w:t xml:space="preserve">Artificial intelligence for decision making in the era of Big Data. </w:t>
      </w:r>
      <w:r>
        <w:rPr>
          <w:rFonts w:ascii="Arial" w:cs="Arial" w:eastAsia="Arial" w:hAnsi="Arial"/>
          <w:color w:val="000000"/>
          <w:sz w:val="17"/>
          <w:szCs w:val="17"/>
        </w:rPr>
        <w:t xml:space="preserve">International Journal of Information Management, 48, 63-71.</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https://doi.org/10.1016/j.ijinfomgt.2019.01.021</w:t>
      </w:r>
    </w:p>
    <w:p>
      <w:pPr>
        <w:spacing w:after="160"/>
        <w:ind w:left="720" w:hanging="720"/>
        <w:jc w:val="both"/>
      </w:pPr>
      <w:r>
        <w:rPr>
          <w:rFonts w:ascii="Arial" w:cs="Arial" w:eastAsia="Arial" w:hAnsi="Arial"/>
          <w:color w:val="000000"/>
          <w:sz w:val="17"/>
          <w:szCs w:val="17"/>
        </w:rPr>
        <w:t xml:space="preserve">Fildes, R., Ma, S., &amp; Kolassa, S. (2022). </w:t>
      </w:r>
      <w:r>
        <w:rPr>
          <w:rFonts w:ascii="Arial" w:cs="Arial" w:eastAsia="Arial" w:hAnsi="Arial"/>
          <w:i/>
          <w:iCs/>
          <w:color w:val="000000"/>
          <w:sz w:val="17"/>
          <w:szCs w:val="17"/>
        </w:rPr>
        <w:t xml:space="preserve">Retail forecasting: Research and practice. </w:t>
      </w:r>
      <w:r>
        <w:rPr>
          <w:rFonts w:ascii="Arial" w:cs="Arial" w:eastAsia="Arial" w:hAnsi="Arial"/>
          <w:color w:val="000000"/>
          <w:sz w:val="17"/>
          <w:szCs w:val="17"/>
        </w:rPr>
        <w:t xml:space="preserve">International Journal of Forecasting, 38(4), 1283-1318.</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https://doi.org/10.1016/j.ijforecast.2021.08.013</w:t>
      </w:r>
    </w:p>
    <w:p>
      <w:pPr>
        <w:spacing w:after="160"/>
        <w:ind w:left="720" w:hanging="720"/>
        <w:jc w:val="both"/>
      </w:pPr>
      <w:r>
        <w:rPr>
          <w:rFonts w:ascii="Arial" w:cs="Arial" w:eastAsia="Arial" w:hAnsi="Arial"/>
          <w:color w:val="000000"/>
          <w:sz w:val="17"/>
          <w:szCs w:val="17"/>
        </w:rPr>
        <w:t xml:space="preserve">Fischer, T., &amp; Krauss, C. (2018). </w:t>
      </w:r>
      <w:r>
        <w:rPr>
          <w:rFonts w:ascii="Arial" w:cs="Arial" w:eastAsia="Arial" w:hAnsi="Arial"/>
          <w:i/>
          <w:iCs/>
          <w:color w:val="000000"/>
          <w:sz w:val="17"/>
          <w:szCs w:val="17"/>
        </w:rPr>
        <w:t xml:space="preserve">Deep learning with long short-term memory networks for financial market predictions. </w:t>
      </w:r>
      <w:r>
        <w:rPr>
          <w:rFonts w:ascii="Arial" w:cs="Arial" w:eastAsia="Arial" w:hAnsi="Arial"/>
          <w:color w:val="000000"/>
          <w:sz w:val="17"/>
          <w:szCs w:val="17"/>
        </w:rPr>
        <w:t xml:space="preserve">European Journal of Operational Research, 270(2), 654-669.</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https://doi.org/10.1016/j.ejor.2017.11.054</w:t>
      </w:r>
    </w:p>
    <w:p>
      <w:pPr>
        <w:spacing w:after="160"/>
        <w:ind w:left="720" w:hanging="720"/>
        <w:jc w:val="both"/>
      </w:pPr>
      <w:r>
        <w:rPr>
          <w:rFonts w:ascii="Arial" w:cs="Arial" w:eastAsia="Arial" w:hAnsi="Arial"/>
          <w:color w:val="000000"/>
          <w:sz w:val="17"/>
          <w:szCs w:val="17"/>
        </w:rPr>
        <w:t xml:space="preserve">Hosaka, T. (2019). </w:t>
      </w:r>
      <w:r>
        <w:rPr>
          <w:rFonts w:ascii="Arial" w:cs="Arial" w:eastAsia="Arial" w:hAnsi="Arial"/>
          <w:i/>
          <w:iCs/>
          <w:color w:val="000000"/>
          <w:sz w:val="17"/>
          <w:szCs w:val="17"/>
        </w:rPr>
        <w:t xml:space="preserve">Bankruptcy prediction using imaged financial ratios and convolutional neural networks. </w:t>
      </w:r>
      <w:r>
        <w:rPr>
          <w:rFonts w:ascii="Arial" w:cs="Arial" w:eastAsia="Arial" w:hAnsi="Arial"/>
          <w:color w:val="000000"/>
          <w:sz w:val="17"/>
          <w:szCs w:val="17"/>
        </w:rPr>
        <w:t xml:space="preserve">Expert Systems with Applications, 117, 287-299.</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https://doi.org/10.1016/j.eswa.2018.09.039</w:t>
      </w:r>
    </w:p>
    <w:p>
      <w:pPr>
        <w:spacing w:after="160"/>
        <w:ind w:left="720" w:hanging="720"/>
        <w:jc w:val="both"/>
      </w:pPr>
      <w:r>
        <w:rPr>
          <w:rFonts w:ascii="Arial" w:cs="Arial" w:eastAsia="Arial" w:hAnsi="Arial"/>
          <w:color w:val="000000"/>
          <w:sz w:val="17"/>
          <w:szCs w:val="17"/>
        </w:rPr>
        <w:t xml:space="preserve">ISO/IEC 25010. (2011). </w:t>
      </w:r>
      <w:r>
        <w:rPr>
          <w:rFonts w:ascii="Arial" w:cs="Arial" w:eastAsia="Arial" w:hAnsi="Arial"/>
          <w:i/>
          <w:iCs/>
          <w:color w:val="000000"/>
          <w:sz w:val="17"/>
          <w:szCs w:val="17"/>
        </w:rPr>
        <w:t xml:space="preserve">Systems and software engineering — Systems and software Quality Requirements and Evaluation (SQuaRE). </w:t>
      </w:r>
      <w:r>
        <w:rPr>
          <w:rFonts w:ascii="Arial" w:cs="Arial" w:eastAsia="Arial" w:hAnsi="Arial"/>
          <w:color w:val="000000"/>
          <w:sz w:val="17"/>
          <w:szCs w:val="17"/>
        </w:rPr>
        <w:t xml:space="preserve">International Standard ISO/IEC 25010:2011.</w:t>
      </w:r>
      <w:r>
        <w:rPr>
          <w:rFonts w:ascii="Arial" w:cs="Arial" w:eastAsia="Arial" w:hAnsi="Arial"/>
          <w:color w:val="000000"/>
          <w:sz w:val="17"/>
          <w:szCs w:val="17"/>
        </w:rPr>
        <w:t xml:space="preserve"> </w:t>
      </w:r>
      <w:r>
        <w:rPr>
          <w:rFonts w:ascii="Arial" w:cs="Arial" w:eastAsia="Arial" w:hAnsi="Arial"/>
          <w:color w:val="2E75B6"/>
          <w:sz w:val="17"/>
          <w:szCs w:val="17"/>
        </w:rPr>
        <w:t xml:space="preserve">https://www.iso.org/standard/35733.html</w:t>
      </w:r>
    </w:p>
    <w:p>
      <w:pPr>
        <w:spacing w:after="160"/>
        <w:ind w:left="720" w:hanging="720"/>
        <w:jc w:val="both"/>
      </w:pPr>
      <w:r>
        <w:rPr>
          <w:rFonts w:ascii="Arial" w:cs="Arial" w:eastAsia="Arial" w:hAnsi="Arial"/>
          <w:color w:val="000000"/>
          <w:sz w:val="17"/>
          <w:szCs w:val="17"/>
        </w:rPr>
        <w:t xml:space="preserve">Jamshidi, P., Pahl, C., Mendonca, N. C., Lewis, J., &amp; Tilkov, S. (2018). </w:t>
      </w:r>
      <w:r>
        <w:rPr>
          <w:rFonts w:ascii="Arial" w:cs="Arial" w:eastAsia="Arial" w:hAnsi="Arial"/>
          <w:i/>
          <w:iCs/>
          <w:color w:val="000000"/>
          <w:sz w:val="17"/>
          <w:szCs w:val="17"/>
        </w:rPr>
        <w:t xml:space="preserve">Microservices: The journey so far and challenges ahead. </w:t>
      </w:r>
      <w:r>
        <w:rPr>
          <w:rFonts w:ascii="Arial" w:cs="Arial" w:eastAsia="Arial" w:hAnsi="Arial"/>
          <w:color w:val="000000"/>
          <w:sz w:val="17"/>
          <w:szCs w:val="17"/>
        </w:rPr>
        <w:t xml:space="preserve">IEEE Software, 35(3), 24-35.</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https://doi.org/10.1109/MS.2018.2141039</w:t>
      </w:r>
    </w:p>
    <w:p>
      <w:pPr>
        <w:spacing w:after="160"/>
        <w:ind w:left="720" w:hanging="720"/>
        <w:jc w:val="both"/>
      </w:pPr>
      <w:r>
        <w:rPr>
          <w:rFonts w:ascii="Arial" w:cs="Arial" w:eastAsia="Arial" w:hAnsi="Arial"/>
          <w:color w:val="000000"/>
          <w:sz w:val="17"/>
          <w:szCs w:val="17"/>
        </w:rPr>
        <w:t xml:space="preserve">Khalid, U., Ur Rehman, A., Iqbal, M. J., Akhtar, S., Nazir, U., &amp; Kazmi, S. M. A. (2022). </w:t>
      </w:r>
      <w:r>
        <w:rPr>
          <w:rFonts w:ascii="Arial" w:cs="Arial" w:eastAsia="Arial" w:hAnsi="Arial"/>
          <w:i/>
          <w:iCs/>
          <w:color w:val="000000"/>
          <w:sz w:val="17"/>
          <w:szCs w:val="17"/>
        </w:rPr>
        <w:t xml:space="preserve">Predicting risk through artificial intelligence based on machine learning algorithms. </w:t>
      </w:r>
      <w:r>
        <w:rPr>
          <w:rFonts w:ascii="Arial" w:cs="Arial" w:eastAsia="Arial" w:hAnsi="Arial"/>
          <w:color w:val="000000"/>
          <w:sz w:val="17"/>
          <w:szCs w:val="17"/>
        </w:rPr>
        <w:t xml:space="preserve">Complexity, 2022, 6858916.</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https://doi.org/10.1155/2022/6858916</w:t>
      </w:r>
    </w:p>
    <w:p>
      <w:pPr>
        <w:spacing w:after="160"/>
        <w:ind w:left="720" w:hanging="720"/>
        <w:jc w:val="both"/>
      </w:pPr>
      <w:r>
        <w:rPr>
          <w:rFonts w:ascii="Arial" w:cs="Arial" w:eastAsia="Arial" w:hAnsi="Arial"/>
          <w:color w:val="000000"/>
          <w:sz w:val="17"/>
          <w:szCs w:val="17"/>
        </w:rPr>
        <w:t xml:space="preserve">Kim, M. J., Cho, S. W., &amp; Ryu, I. (2020). </w:t>
      </w:r>
      <w:r>
        <w:rPr>
          <w:rFonts w:ascii="Arial" w:cs="Arial" w:eastAsia="Arial" w:hAnsi="Arial"/>
          <w:i/>
          <w:iCs/>
          <w:color w:val="000000"/>
          <w:sz w:val="17"/>
          <w:szCs w:val="17"/>
        </w:rPr>
        <w:t xml:space="preserve">Corporate default predictions using machine learning: Literature review. </w:t>
      </w:r>
      <w:r>
        <w:rPr>
          <w:rFonts w:ascii="Arial" w:cs="Arial" w:eastAsia="Arial" w:hAnsi="Arial"/>
          <w:color w:val="000000"/>
          <w:sz w:val="17"/>
          <w:szCs w:val="17"/>
        </w:rPr>
        <w:t xml:space="preserve">Sustainability, 12(16), 6325.</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https://doi.org/10.3390/su12166325</w:t>
      </w:r>
    </w:p>
    <w:p>
      <w:pPr>
        <w:spacing w:after="160"/>
        <w:ind w:left="720" w:hanging="720"/>
        <w:jc w:val="both"/>
      </w:pPr>
      <w:r>
        <w:rPr>
          <w:rFonts w:ascii="Arial" w:cs="Arial" w:eastAsia="Arial" w:hAnsi="Arial"/>
          <w:color w:val="000000"/>
          <w:sz w:val="17"/>
          <w:szCs w:val="17"/>
        </w:rPr>
        <w:t xml:space="preserve">Li, F. (2020). </w:t>
      </w:r>
      <w:r>
        <w:rPr>
          <w:rFonts w:ascii="Arial" w:cs="Arial" w:eastAsia="Arial" w:hAnsi="Arial"/>
          <w:i/>
          <w:iCs/>
          <w:color w:val="000000"/>
          <w:sz w:val="17"/>
          <w:szCs w:val="17"/>
        </w:rPr>
        <w:t xml:space="preserve">The digital transformation of business models in the creative industries. </w:t>
      </w:r>
      <w:r>
        <w:rPr>
          <w:rFonts w:ascii="Arial" w:cs="Arial" w:eastAsia="Arial" w:hAnsi="Arial"/>
          <w:color w:val="000000"/>
          <w:sz w:val="17"/>
          <w:szCs w:val="17"/>
        </w:rPr>
        <w:t xml:space="preserve">British Journal of Management, 31(3), 745-763.</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https://doi.org/10.1111/1467-8551.12361</w:t>
      </w:r>
    </w:p>
    <w:p>
      <w:pPr>
        <w:spacing w:after="160"/>
        <w:ind w:left="720" w:hanging="720"/>
        <w:jc w:val="both"/>
      </w:pPr>
      <w:r>
        <w:rPr>
          <w:rFonts w:ascii="Arial" w:cs="Arial" w:eastAsia="Arial" w:hAnsi="Arial"/>
          <w:color w:val="000000"/>
          <w:sz w:val="17"/>
          <w:szCs w:val="17"/>
        </w:rPr>
        <w:t xml:space="preserve">Lwakatare, L. E., Crnkovic, I., &amp; Ronnig, B. (2020). </w:t>
      </w:r>
      <w:r>
        <w:rPr>
          <w:rFonts w:ascii="Arial" w:cs="Arial" w:eastAsia="Arial" w:hAnsi="Arial"/>
          <w:i/>
          <w:iCs/>
          <w:color w:val="000000"/>
          <w:sz w:val="17"/>
          <w:szCs w:val="17"/>
        </w:rPr>
        <w:t xml:space="preserve">Large-scale machine learning systems in real-world industrial settings: A review of challenges and solutions. </w:t>
      </w:r>
      <w:r>
        <w:rPr>
          <w:rFonts w:ascii="Arial" w:cs="Arial" w:eastAsia="Arial" w:hAnsi="Arial"/>
          <w:color w:val="000000"/>
          <w:sz w:val="17"/>
          <w:szCs w:val="17"/>
        </w:rPr>
        <w:t xml:space="preserve">Information and Software Technology, 127, 106368.</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https://doi.org/10.1016/j.infsof.2020.106368</w:t>
      </w:r>
    </w:p>
    <w:p>
      <w:pPr>
        <w:spacing w:after="160"/>
        <w:ind w:left="720" w:hanging="720"/>
        <w:jc w:val="both"/>
      </w:pPr>
      <w:r>
        <w:rPr>
          <w:rFonts w:ascii="Arial" w:cs="Arial" w:eastAsia="Arial" w:hAnsi="Arial"/>
          <w:color w:val="000000"/>
          <w:sz w:val="17"/>
          <w:szCs w:val="17"/>
        </w:rPr>
        <w:t xml:space="preserve">Makridakis, S., Spiliotis, E., &amp; Assimakopoulos, V. (2018). </w:t>
      </w:r>
      <w:r>
        <w:rPr>
          <w:rFonts w:ascii="Arial" w:cs="Arial" w:eastAsia="Arial" w:hAnsi="Arial"/>
          <w:i/>
          <w:iCs/>
          <w:color w:val="000000"/>
          <w:sz w:val="17"/>
          <w:szCs w:val="17"/>
        </w:rPr>
        <w:t xml:space="preserve">Statistical and Machine Learning forecasting methods: Concerns and ways forward. </w:t>
      </w:r>
      <w:r>
        <w:rPr>
          <w:rFonts w:ascii="Arial" w:cs="Arial" w:eastAsia="Arial" w:hAnsi="Arial"/>
          <w:color w:val="000000"/>
          <w:sz w:val="17"/>
          <w:szCs w:val="17"/>
        </w:rPr>
        <w:t xml:space="preserve">PLOS ONE, 13(3), e0194889.</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https://doi.org/10.1371/journal.pone.0194889</w:t>
      </w:r>
    </w:p>
    <w:p>
      <w:pPr>
        <w:spacing w:after="160"/>
        <w:ind w:left="720" w:hanging="720"/>
        <w:jc w:val="both"/>
      </w:pPr>
      <w:r>
        <w:rPr>
          <w:rFonts w:ascii="Arial" w:cs="Arial" w:eastAsia="Arial" w:hAnsi="Arial"/>
          <w:color w:val="000000"/>
          <w:sz w:val="17"/>
          <w:szCs w:val="17"/>
        </w:rPr>
        <w:t xml:space="preserve">Nambisan, S., Lyytinen, K., Majchrzak, A., &amp; Song, M. (2017). </w:t>
      </w:r>
      <w:r>
        <w:rPr>
          <w:rFonts w:ascii="Arial" w:cs="Arial" w:eastAsia="Arial" w:hAnsi="Arial"/>
          <w:i/>
          <w:iCs/>
          <w:color w:val="000000"/>
          <w:sz w:val="17"/>
          <w:szCs w:val="17"/>
        </w:rPr>
        <w:t xml:space="preserve">Digital innovation management: Reinventing innovation management research in a digital world. </w:t>
      </w:r>
      <w:r>
        <w:rPr>
          <w:rFonts w:ascii="Arial" w:cs="Arial" w:eastAsia="Arial" w:hAnsi="Arial"/>
          <w:color w:val="000000"/>
          <w:sz w:val="17"/>
          <w:szCs w:val="17"/>
        </w:rPr>
        <w:t xml:space="preserve">MIS Quarterly, 41(1), 223-238.</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https://doi.org/10.25300/MISQ/2017/41.1.03</w:t>
      </w:r>
    </w:p>
    <w:p>
      <w:pPr>
        <w:spacing w:after="160"/>
        <w:ind w:left="720" w:hanging="720"/>
        <w:jc w:val="both"/>
      </w:pPr>
      <w:r>
        <w:rPr>
          <w:rFonts w:ascii="Arial" w:cs="Arial" w:eastAsia="Arial" w:hAnsi="Arial"/>
          <w:color w:val="000000"/>
          <w:sz w:val="17"/>
          <w:szCs w:val="17"/>
        </w:rPr>
        <w:t xml:space="preserve">Ozbayoglu, A. M., Gudelek, M. U., &amp; Sezer, O. B. (2020). </w:t>
      </w:r>
      <w:r>
        <w:rPr>
          <w:rFonts w:ascii="Arial" w:cs="Arial" w:eastAsia="Arial" w:hAnsi="Arial"/>
          <w:i/>
          <w:iCs/>
          <w:color w:val="000000"/>
          <w:sz w:val="17"/>
          <w:szCs w:val="17"/>
        </w:rPr>
        <w:t xml:space="preserve">Deep learning for financial applications: A survey. </w:t>
      </w:r>
      <w:r>
        <w:rPr>
          <w:rFonts w:ascii="Arial" w:cs="Arial" w:eastAsia="Arial" w:hAnsi="Arial"/>
          <w:color w:val="000000"/>
          <w:sz w:val="17"/>
          <w:szCs w:val="17"/>
        </w:rPr>
        <w:t xml:space="preserve">Applied Soft Computing, 93, 106384.</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https://doi.org/10.1016/j.asoc.2020.106384</w:t>
      </w:r>
    </w:p>
    <w:p>
      <w:pPr>
        <w:spacing w:after="160"/>
        <w:ind w:left="720" w:hanging="720"/>
        <w:jc w:val="both"/>
      </w:pPr>
      <w:r>
        <w:rPr>
          <w:rFonts w:ascii="Arial" w:cs="Arial" w:eastAsia="Arial" w:hAnsi="Arial"/>
          <w:color w:val="000000"/>
          <w:sz w:val="17"/>
          <w:szCs w:val="17"/>
        </w:rPr>
        <w:t xml:space="preserve">Rahayu, R., &amp; Day, J. (2015). </w:t>
      </w:r>
      <w:r>
        <w:rPr>
          <w:rFonts w:ascii="Arial" w:cs="Arial" w:eastAsia="Arial" w:hAnsi="Arial"/>
          <w:i/>
          <w:iCs/>
          <w:color w:val="000000"/>
          <w:sz w:val="17"/>
          <w:szCs w:val="17"/>
        </w:rPr>
        <w:t xml:space="preserve">Determinant factors of e-commerce adoption by SMEs in developing country. </w:t>
      </w:r>
      <w:r>
        <w:rPr>
          <w:rFonts w:ascii="Arial" w:cs="Arial" w:eastAsia="Arial" w:hAnsi="Arial"/>
          <w:color w:val="000000"/>
          <w:sz w:val="17"/>
          <w:szCs w:val="17"/>
        </w:rPr>
        <w:t xml:space="preserve">Procedia — Social and Behavioral Sciences, 195, 142-150.</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https://doi.org/10.1016/j.sbspro.2015.06.336</w:t>
      </w:r>
    </w:p>
    <w:p>
      <w:pPr>
        <w:spacing w:after="160"/>
        <w:ind w:left="720" w:hanging="720"/>
        <w:jc w:val="both"/>
      </w:pPr>
      <w:r>
        <w:rPr>
          <w:rFonts w:ascii="Arial" w:cs="Arial" w:eastAsia="Arial" w:hAnsi="Arial"/>
          <w:color w:val="000000"/>
          <w:sz w:val="17"/>
          <w:szCs w:val="17"/>
        </w:rPr>
        <w:t xml:space="preserve">Saltz, J., &amp; Shamshurin, I. (2021). </w:t>
      </w:r>
      <w:r>
        <w:rPr>
          <w:rFonts w:ascii="Arial" w:cs="Arial" w:eastAsia="Arial" w:hAnsi="Arial"/>
          <w:i/>
          <w:iCs/>
          <w:color w:val="000000"/>
          <w:sz w:val="17"/>
          <w:szCs w:val="17"/>
        </w:rPr>
        <w:t xml:space="preserve">Comparing data science project management methodologies via a controlled experiment. </w:t>
      </w:r>
      <w:r>
        <w:rPr>
          <w:rFonts w:ascii="Arial" w:cs="Arial" w:eastAsia="Arial" w:hAnsi="Arial"/>
          <w:color w:val="000000"/>
          <w:sz w:val="17"/>
          <w:szCs w:val="17"/>
        </w:rPr>
        <w:t xml:space="preserve">Journal of the American Medical Informatics Association, 28(5), 990-997.</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https://doi.org/10.1093/jamia/ocab068</w:t>
      </w:r>
    </w:p>
    <w:p>
      <w:pPr>
        <w:spacing w:after="160"/>
        <w:ind w:left="720" w:hanging="720"/>
        <w:jc w:val="both"/>
      </w:pPr>
      <w:r>
        <w:rPr>
          <w:rFonts w:ascii="Arial" w:cs="Arial" w:eastAsia="Arial" w:hAnsi="Arial"/>
          <w:color w:val="000000"/>
          <w:sz w:val="17"/>
          <w:szCs w:val="17"/>
        </w:rPr>
        <w:t xml:space="preserve">Schwaber, K., &amp; Sutherland, J. (2020). </w:t>
      </w:r>
      <w:r>
        <w:rPr>
          <w:rFonts w:ascii="Arial" w:cs="Arial" w:eastAsia="Arial" w:hAnsi="Arial"/>
          <w:i/>
          <w:iCs/>
          <w:color w:val="000000"/>
          <w:sz w:val="17"/>
          <w:szCs w:val="17"/>
        </w:rPr>
        <w:t xml:space="preserve">The Scrum guide: The definitive guide to Scrum: The rules of the game. </w:t>
      </w:r>
      <w:r>
        <w:rPr>
          <w:rFonts w:ascii="Arial" w:cs="Arial" w:eastAsia="Arial" w:hAnsi="Arial"/>
          <w:color w:val="000000"/>
          <w:sz w:val="17"/>
          <w:szCs w:val="17"/>
        </w:rPr>
        <w:t xml:space="preserve">Scrum.org.</w:t>
      </w:r>
      <w:r>
        <w:rPr>
          <w:rFonts w:ascii="Arial" w:cs="Arial" w:eastAsia="Arial" w:hAnsi="Arial"/>
          <w:color w:val="000000"/>
          <w:sz w:val="17"/>
          <w:szCs w:val="17"/>
        </w:rPr>
        <w:t xml:space="preserve"> </w:t>
      </w:r>
      <w:r>
        <w:rPr>
          <w:rFonts w:ascii="Arial" w:cs="Arial" w:eastAsia="Arial" w:hAnsi="Arial"/>
          <w:color w:val="2E75B6"/>
          <w:sz w:val="17"/>
          <w:szCs w:val="17"/>
        </w:rPr>
        <w:t xml:space="preserve">https://scrumguides.org</w:t>
      </w:r>
    </w:p>
    <w:p>
      <w:pPr>
        <w:spacing w:after="160"/>
        <w:ind w:left="720" w:hanging="720"/>
        <w:jc w:val="both"/>
      </w:pPr>
      <w:r>
        <w:rPr>
          <w:rFonts w:ascii="Arial" w:cs="Arial" w:eastAsia="Arial" w:hAnsi="Arial"/>
          <w:color w:val="000000"/>
          <w:sz w:val="17"/>
          <w:szCs w:val="17"/>
        </w:rPr>
        <w:t xml:space="preserve">Serrano, J., Blanco, C., &amp; Garcia, R. (2021). </w:t>
      </w:r>
      <w:r>
        <w:rPr>
          <w:rFonts w:ascii="Arial" w:cs="Arial" w:eastAsia="Arial" w:hAnsi="Arial"/>
          <w:i/>
          <w:iCs/>
          <w:color w:val="000000"/>
          <w:sz w:val="17"/>
          <w:szCs w:val="17"/>
        </w:rPr>
        <w:t xml:space="preserve">E-commerce recommendation systems: Challenges and opportunities. </w:t>
      </w:r>
      <w:r>
        <w:rPr>
          <w:rFonts w:ascii="Arial" w:cs="Arial" w:eastAsia="Arial" w:hAnsi="Arial"/>
          <w:color w:val="000000"/>
          <w:sz w:val="17"/>
          <w:szCs w:val="17"/>
        </w:rPr>
        <w:t xml:space="preserve">Electronic Commerce Research and Applications, 48, 101089.</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https://doi.org/10.1016/j.elerap.2021.101089</w:t>
      </w:r>
    </w:p>
    <w:p>
      <w:pPr>
        <w:spacing w:after="160"/>
        <w:ind w:left="720" w:hanging="720"/>
        <w:jc w:val="both"/>
      </w:pPr>
      <w:r>
        <w:rPr>
          <w:rFonts w:ascii="Arial" w:cs="Arial" w:eastAsia="Arial" w:hAnsi="Arial"/>
          <w:color w:val="000000"/>
          <w:sz w:val="17"/>
          <w:szCs w:val="17"/>
        </w:rPr>
        <w:t xml:space="preserve">Shi, Y., &amp; Li, X. (2019). </w:t>
      </w:r>
      <w:r>
        <w:rPr>
          <w:rFonts w:ascii="Arial" w:cs="Arial" w:eastAsia="Arial" w:hAnsi="Arial"/>
          <w:i/>
          <w:iCs/>
          <w:color w:val="000000"/>
          <w:sz w:val="17"/>
          <w:szCs w:val="17"/>
        </w:rPr>
        <w:t xml:space="preserve">Predicting defaults of small and medium-sized enterprises in supply chain finance. </w:t>
      </w:r>
      <w:r>
        <w:rPr>
          <w:rFonts w:ascii="Arial" w:cs="Arial" w:eastAsia="Arial" w:hAnsi="Arial"/>
          <w:color w:val="000000"/>
          <w:sz w:val="17"/>
          <w:szCs w:val="17"/>
        </w:rPr>
        <w:t xml:space="preserve">Electronic Commerce Research and Applications, 37, 100840.</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https://doi.org/10.1016/j.elerap.2019.100840</w:t>
      </w:r>
    </w:p>
    <w:p>
      <w:pPr>
        <w:spacing w:after="160"/>
        <w:ind w:left="720" w:hanging="720"/>
        <w:jc w:val="both"/>
      </w:pPr>
      <w:r>
        <w:rPr>
          <w:rFonts w:ascii="Arial" w:cs="Arial" w:eastAsia="Arial" w:hAnsi="Arial"/>
          <w:color w:val="000000"/>
          <w:sz w:val="17"/>
          <w:szCs w:val="17"/>
        </w:rPr>
        <w:t xml:space="preserve">Shrestha, Y. R., Ben-Menahem, S. M., &amp; Von Krogh, G. (2019). </w:t>
      </w:r>
      <w:r>
        <w:rPr>
          <w:rFonts w:ascii="Arial" w:cs="Arial" w:eastAsia="Arial" w:hAnsi="Arial"/>
          <w:i/>
          <w:iCs/>
          <w:color w:val="000000"/>
          <w:sz w:val="17"/>
          <w:szCs w:val="17"/>
        </w:rPr>
        <w:t xml:space="preserve">Organizational decision-making structures in the age of artificial intelligence. </w:t>
      </w:r>
      <w:r>
        <w:rPr>
          <w:rFonts w:ascii="Arial" w:cs="Arial" w:eastAsia="Arial" w:hAnsi="Arial"/>
          <w:color w:val="000000"/>
          <w:sz w:val="17"/>
          <w:szCs w:val="17"/>
        </w:rPr>
        <w:t xml:space="preserve">California Management Review, 61(4), 66-83.</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https://doi.org/10.1177/0008125619862137</w:t>
      </w:r>
    </w:p>
    <w:p>
      <w:pPr>
        <w:spacing w:after="160"/>
        <w:ind w:left="720" w:hanging="720"/>
        <w:jc w:val="both"/>
      </w:pPr>
      <w:r>
        <w:rPr>
          <w:rFonts w:ascii="Arial" w:cs="Arial" w:eastAsia="Arial" w:hAnsi="Arial"/>
          <w:color w:val="000000"/>
          <w:sz w:val="17"/>
          <w:szCs w:val="17"/>
        </w:rPr>
        <w:t xml:space="preserve">Soto-Acosta, P. (2020). </w:t>
      </w:r>
      <w:r>
        <w:rPr>
          <w:rFonts w:ascii="Arial" w:cs="Arial" w:eastAsia="Arial" w:hAnsi="Arial"/>
          <w:i/>
          <w:iCs/>
          <w:color w:val="000000"/>
          <w:sz w:val="17"/>
          <w:szCs w:val="17"/>
        </w:rPr>
        <w:t xml:space="preserve">COVID-19 pandemic: Shifting digital transformation to a high-speed gear in SMEs. </w:t>
      </w:r>
      <w:r>
        <w:rPr>
          <w:rFonts w:ascii="Arial" w:cs="Arial" w:eastAsia="Arial" w:hAnsi="Arial"/>
          <w:color w:val="000000"/>
          <w:sz w:val="17"/>
          <w:szCs w:val="17"/>
        </w:rPr>
        <w:t xml:space="preserve">Information Systems Management, 37(4), 353-365.</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https://doi.org/10.1080/10580530.2020.1798662</w:t>
      </w:r>
    </w:p>
    <w:p>
      <w:pPr>
        <w:spacing w:after="160"/>
        <w:ind w:left="720" w:hanging="720"/>
        <w:jc w:val="both"/>
      </w:pPr>
      <w:r>
        <w:rPr>
          <w:rFonts w:ascii="Arial" w:cs="Arial" w:eastAsia="Arial" w:hAnsi="Arial"/>
          <w:color w:val="000000"/>
          <w:sz w:val="17"/>
          <w:szCs w:val="17"/>
        </w:rPr>
        <w:t xml:space="preserve">Srinivasan, R., &amp; Cui, L. (2021). </w:t>
      </w:r>
      <w:r>
        <w:rPr>
          <w:rFonts w:ascii="Arial" w:cs="Arial" w:eastAsia="Arial" w:hAnsi="Arial"/>
          <w:i/>
          <w:iCs/>
          <w:color w:val="000000"/>
          <w:sz w:val="17"/>
          <w:szCs w:val="17"/>
        </w:rPr>
        <w:t xml:space="preserve">Agile methods for AI development: A systematic mapping study. </w:t>
      </w:r>
      <w:r>
        <w:rPr>
          <w:rFonts w:ascii="Arial" w:cs="Arial" w:eastAsia="Arial" w:hAnsi="Arial"/>
          <w:color w:val="000000"/>
          <w:sz w:val="17"/>
          <w:szCs w:val="17"/>
        </w:rPr>
        <w:t xml:space="preserve">IEEE Transactions on Software Engineering, 48(7), 2214-2232.</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https://doi.org/10.1109/TSE.2021.3067349</w:t>
      </w:r>
    </w:p>
    <w:p>
      <w:pPr>
        <w:spacing w:after="160"/>
        <w:ind w:left="720" w:hanging="720"/>
        <w:jc w:val="both"/>
      </w:pPr>
      <w:r>
        <w:rPr>
          <w:rFonts w:ascii="Arial" w:cs="Arial" w:eastAsia="Arial" w:hAnsi="Arial"/>
          <w:color w:val="000000"/>
          <w:sz w:val="17"/>
          <w:szCs w:val="17"/>
        </w:rPr>
        <w:t xml:space="preserve">Studer, S., Bui, T. B., Drescher, C., Hanuschkin, A., Winkler, L., Peters, S., &amp; Mueller, K. R. (2021). </w:t>
      </w:r>
      <w:r>
        <w:rPr>
          <w:rFonts w:ascii="Arial" w:cs="Arial" w:eastAsia="Arial" w:hAnsi="Arial"/>
          <w:i/>
          <w:iCs/>
          <w:color w:val="000000"/>
          <w:sz w:val="17"/>
          <w:szCs w:val="17"/>
        </w:rPr>
        <w:t xml:space="preserve">Towards CRISP-ML(Q): A machine learning process model with quality assurance methodology. </w:t>
      </w:r>
      <w:r>
        <w:rPr>
          <w:rFonts w:ascii="Arial" w:cs="Arial" w:eastAsia="Arial" w:hAnsi="Arial"/>
          <w:color w:val="000000"/>
          <w:sz w:val="17"/>
          <w:szCs w:val="17"/>
        </w:rPr>
        <w:t xml:space="preserve">Machine Learning and Knowledge Extraction, 3(2), 392-413.</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https://doi.org/10.3390/make3020020</w:t>
      </w:r>
    </w:p>
    <w:p>
      <w:pPr>
        <w:spacing w:after="160"/>
        <w:ind w:left="720" w:hanging="720"/>
        <w:jc w:val="both"/>
      </w:pPr>
      <w:r>
        <w:rPr>
          <w:rFonts w:ascii="Arial" w:cs="Arial" w:eastAsia="Arial" w:hAnsi="Arial"/>
          <w:color w:val="000000"/>
          <w:sz w:val="17"/>
          <w:szCs w:val="17"/>
        </w:rPr>
        <w:t xml:space="preserve">Syam, N., &amp; Sharma, A. (2018). </w:t>
      </w:r>
      <w:r>
        <w:rPr>
          <w:rFonts w:ascii="Arial" w:cs="Arial" w:eastAsia="Arial" w:hAnsi="Arial"/>
          <w:i/>
          <w:iCs/>
          <w:color w:val="000000"/>
          <w:sz w:val="17"/>
          <w:szCs w:val="17"/>
        </w:rPr>
        <w:t xml:space="preserve">Waiting for a sales renaissance in the fourth industrial revolution. </w:t>
      </w:r>
      <w:r>
        <w:rPr>
          <w:rFonts w:ascii="Arial" w:cs="Arial" w:eastAsia="Arial" w:hAnsi="Arial"/>
          <w:color w:val="000000"/>
          <w:sz w:val="17"/>
          <w:szCs w:val="17"/>
        </w:rPr>
        <w:t xml:space="preserve">Industrial Marketing Management, 69, 135-146.</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https://doi.org/10.1016/j.indmarman.2017.12.019</w:t>
      </w:r>
    </w:p>
    <w:p>
      <w:pPr>
        <w:spacing w:after="160"/>
        <w:ind w:left="720" w:hanging="720"/>
        <w:jc w:val="both"/>
      </w:pPr>
      <w:r>
        <w:rPr>
          <w:rFonts w:ascii="Arial" w:cs="Arial" w:eastAsia="Arial" w:hAnsi="Arial"/>
          <w:color w:val="000000"/>
          <w:sz w:val="17"/>
          <w:szCs w:val="17"/>
        </w:rPr>
        <w:t xml:space="preserve">Verhoef, P. C., Broekhuizen, T., Bart, Y., Bhattacharya, A., Dong, J. Q., Fabian, N., &amp; Haenlein, M. (2021). </w:t>
      </w:r>
      <w:r>
        <w:rPr>
          <w:rFonts w:ascii="Arial" w:cs="Arial" w:eastAsia="Arial" w:hAnsi="Arial"/>
          <w:i/>
          <w:iCs/>
          <w:color w:val="000000"/>
          <w:sz w:val="17"/>
          <w:szCs w:val="17"/>
        </w:rPr>
        <w:t xml:space="preserve">Digital transformation: A multidisciplinary reflection and research agenda. </w:t>
      </w:r>
      <w:r>
        <w:rPr>
          <w:rFonts w:ascii="Arial" w:cs="Arial" w:eastAsia="Arial" w:hAnsi="Arial"/>
          <w:color w:val="000000"/>
          <w:sz w:val="17"/>
          <w:szCs w:val="17"/>
        </w:rPr>
        <w:t xml:space="preserve">Journal of Business Research, 122, 889-901.</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https://doi.org/10.1016/j.jbusres.2019.09.022</w:t>
      </w:r>
    </w:p>
    <w:p>
      <w:pPr>
        <w:spacing w:after="160"/>
        <w:ind w:left="720" w:hanging="720"/>
        <w:jc w:val="both"/>
      </w:pPr>
      <w:r>
        <w:rPr>
          <w:rFonts w:ascii="Arial" w:cs="Arial" w:eastAsia="Arial" w:hAnsi="Arial"/>
          <w:color w:val="000000"/>
          <w:sz w:val="17"/>
          <w:szCs w:val="17"/>
        </w:rPr>
        <w:t xml:space="preserve">Wamba, S. F., Gunasekaran, A., Akter, S., Ren, S. J. F., Dubey, R., &amp; Childe, S. J. (2017). </w:t>
      </w:r>
      <w:r>
        <w:rPr>
          <w:rFonts w:ascii="Arial" w:cs="Arial" w:eastAsia="Arial" w:hAnsi="Arial"/>
          <w:i/>
          <w:iCs/>
          <w:color w:val="000000"/>
          <w:sz w:val="17"/>
          <w:szCs w:val="17"/>
        </w:rPr>
        <w:t xml:space="preserve">Big data analytics and firm performance: Effects of dynamic capabilities. </w:t>
      </w:r>
      <w:r>
        <w:rPr>
          <w:rFonts w:ascii="Arial" w:cs="Arial" w:eastAsia="Arial" w:hAnsi="Arial"/>
          <w:color w:val="000000"/>
          <w:sz w:val="17"/>
          <w:szCs w:val="17"/>
        </w:rPr>
        <w:t xml:space="preserve">Journal of Business Research, 70, 356-365.</w:t>
      </w:r>
      <w:r>
        <w:rPr>
          <w:rFonts w:ascii="Arial" w:cs="Arial" w:eastAsia="Arial" w:hAnsi="Arial"/>
          <w:color w:val="000000"/>
          <w:sz w:val="17"/>
          <w:szCs w:val="17"/>
        </w:rPr>
        <w:t xml:space="preserve"> </w:t>
      </w:r>
      <w:r>
        <w:rPr>
          <w:rFonts w:ascii="Arial" w:cs="Arial" w:eastAsia="Arial" w:hAnsi="Arial"/>
          <w:color w:val="2E75B6"/>
          <w:sz w:val="17"/>
          <w:szCs w:val="17"/>
        </w:rPr>
        <w:t xml:space="preserve">https://doi.org/10.1016/j.jbusres.2016.08.009</w:t>
      </w:r>
    </w:p>
    <w:p>
      <w:pPr>
        <w:spacing w:after="160"/>
        <w:ind w:left="720" w:hanging="720"/>
        <w:jc w:val="both"/>
      </w:pPr>
      <w:r>
        <w:rPr>
          <w:rFonts w:ascii="Arial" w:cs="Arial" w:eastAsia="Arial" w:hAnsi="Arial"/>
          <w:color w:val="000000"/>
          <w:sz w:val="17"/>
          <w:szCs w:val="17"/>
        </w:rPr>
        <w:t xml:space="preserve">Wirth, R., &amp; Hipp, J. (2000). </w:t>
      </w:r>
      <w:r>
        <w:rPr>
          <w:rFonts w:ascii="Arial" w:cs="Arial" w:eastAsia="Arial" w:hAnsi="Arial"/>
          <w:i/>
          <w:iCs/>
          <w:color w:val="000000"/>
          <w:sz w:val="17"/>
          <w:szCs w:val="17"/>
        </w:rPr>
        <w:t xml:space="preserve">CRISP-DM: Towards a standard process model for data mining. </w:t>
      </w:r>
      <w:r>
        <w:rPr>
          <w:rFonts w:ascii="Arial" w:cs="Arial" w:eastAsia="Arial" w:hAnsi="Arial"/>
          <w:color w:val="000000"/>
          <w:sz w:val="17"/>
          <w:szCs w:val="17"/>
        </w:rPr>
        <w:t xml:space="preserve">Proceedings of the 4th International Conference on the Practical Applications of Knowledge Discovery and Data Mining, 29-39.</w:t>
      </w:r>
    </w:p>
    <w:sectPr>
      <w:headerReference w:type="default" r:id="rId7"/>
      <w:footerReference w:type="default" r:id="rId8"/>
      <w:pgSz w:w="12240" w:h="15840"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Página </w:t>
    </w:r>
    <w:r>
      <w:rPr>
        <w:rFonts w:ascii="Arial" w:cs="Arial" w:eastAsia="Arial" w:hAnsi="Arial"/>
        <w:color w:val="1F3864"/>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Universidad Continental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6"/>
        <w:szCs w:val="16"/>
      </w:rPr>
      <w:t xml:space="preserve">Revisión Metodológica — Tesis Calzatura Vilchez  |  Piero — Ingeniería de Sistemas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2026-05-23T20:55:30.193Z</dcterms:created>
  <dcterms:modified xsi:type="dcterms:W3CDTF">2026-05-23T20:55:30.197Z</dcterms:modified>
</cp:coreProperties>
</file>

<file path=docProps/custom.xml><?xml version="1.0" encoding="utf-8"?>
<Properties xmlns="http://schemas.openxmlformats.org/officeDocument/2006/custom-properties" xmlns:vt="http://schemas.openxmlformats.org/officeDocument/2006/docPropsVTypes"/>
</file>