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i w:val="false"/>
          <w:iCs w:val="false"/>
          <w:color w:val="1F3864"/>
          <w:sz w:val="36"/>
          <w:szCs w:val="36"/>
        </w:rPr>
        <w:t xml:space="preserve">UNIVERSIDAD CONTINENTAL</w:t>
      </w:r>
    </w:p>
    <w:p>
      <w:pPr>
        <w:spacing w:after="80"/>
        <w:jc w:val="center"/>
      </w:pPr>
      <w:r>
        <w:rPr>
          <w:rFonts w:ascii="Arial" w:cs="Arial" w:eastAsia="Arial" w:hAnsi="Arial"/>
          <w:b w:val="false"/>
          <w:bCs w:val="false"/>
          <w:i/>
          <w:iCs/>
          <w:color w:val="2E75B6"/>
          <w:sz w:val="22"/>
          <w:szCs w:val="22"/>
        </w:rPr>
        <w:t xml:space="preserve">Escuela de Ingeniería de Sistemas</w:t>
      </w:r>
    </w:p>
    <w:p>
      <w:pPr>
        <w:pBdr>
          <w:bottom w:val="single" w:color="2E75B6" w:sz="6" w:space="1"/>
        </w:pBdr>
        <w:spacing w:after="60" w:before="60"/>
      </w:pPr>
    </w:p>
    <w:p>
      <w:pPr>
        <w:spacing w:after="200" w:before="500"/>
        <w:jc w:val="center"/>
      </w:pPr>
      <w:r>
        <w:rPr>
          <w:rFonts w:ascii="Arial" w:cs="Arial" w:eastAsia="Arial" w:hAnsi="Arial"/>
          <w:b/>
          <w:bCs/>
          <w:i w:val="false"/>
          <w:iCs w:val="false"/>
          <w:color w:val="1F3864"/>
          <w:sz w:val="30"/>
          <w:szCs w:val="30"/>
        </w:rPr>
        <w:t xml:space="preserve">REVISIÓN ACADÉMICA CORREGIDA — VERSIÓN 2.0</w:t>
      </w:r>
    </w:p>
    <w:p>
      <w:pPr>
        <w:spacing w:after="120"/>
        <w:jc w:val="center"/>
      </w:pPr>
      <w:r>
        <w:rPr>
          <w:rFonts w:ascii="Arial" w:cs="Arial" w:eastAsia="Arial" w:hAnsi="Arial"/>
          <w:b w:val="false"/>
          <w:bCs w:val="false"/>
          <w:i/>
          <w:iCs/>
          <w:color w:val="555555"/>
          <w:sz w:val="20"/>
          <w:szCs w:val="20"/>
        </w:rPr>
        <w:t xml:space="preserve">Verificación de referencias, corrección de errores y análisis del valor agregado</w:t>
      </w:r>
    </w:p>
    <w:p>
      <w:pPr>
        <w:spacing w:after="160"/>
      </w:pPr>
      <w:r>
        <w:rPr>
          <w:rFonts w:ascii="Arial" w:cs="Arial" w:eastAsia="Arial" w:hAnsi="Arial"/>
          <w:b w:val="false"/>
          <w:bCs w:val="false"/>
          <w:i w:val="false"/>
          <w:iCs w:val="false"/>
          <w:color w:val="000000"/>
          <w:sz w:val="18"/>
          <w:szCs w:val="18"/>
        </w:rPr>
        <w:t xml:space="preserve"/>
      </w:r>
    </w:p>
    <w:p>
      <w:pPr>
        <w:pBdr>
          <w:left w:val="single" w:color="2E75B6" w:sz="12" w:space="8"/>
        </w:pBdr>
        <w:spacing w:after="200"/>
        <w:ind w:left="400"/>
        <w:jc w:val="both"/>
      </w:pPr>
      <w:r>
        <w:rPr>
          <w:rFonts w:ascii="Arial" w:cs="Arial" w:eastAsia="Arial" w:hAnsi="Arial"/>
          <w:b/>
          <w:bCs/>
          <w:i w:val="false"/>
          <w:iCs w:val="false"/>
          <w:color w:val="1F3864"/>
          <w:sz w:val="24"/>
          <w:szCs w:val="24"/>
        </w:rPr>
        <w:t xml:space="preserve">"Sistema web de comercio electrónico con modelo de Inteligencia Artificial para la predicción del riesgo empresarial en la empresa Calzatura Vilchez"</w:t>
      </w:r>
    </w:p>
    <w:p>
      <w:pPr>
        <w:pBdr>
          <w:bottom w:val="single" w:color="2E75B6" w:sz="6" w:space="1"/>
        </w:pBdr>
        <w:spacing w:after="60" w:before="60"/>
      </w:pPr>
    </w:p>
    <w:p>
      <w:pPr>
        <w:spacing w:after="80" w:before="300"/>
        <w:jc w:val="center"/>
      </w:pPr>
      <w:r>
        <w:rPr>
          <w:rFonts w:ascii="Arial" w:cs="Arial" w:eastAsia="Arial" w:hAnsi="Arial"/>
          <w:b w:val="false"/>
          <w:bCs w:val="false"/>
          <w:i w:val="false"/>
          <w:iCs w:val="false"/>
          <w:color w:val="000000"/>
          <w:sz w:val="20"/>
          <w:szCs w:val="20"/>
        </w:rPr>
        <w:t xml:space="preserve">Alumno: Piero  |  Docente: Dr. Maglioni Arana Caparachin</w:t>
      </w:r>
    </w:p>
    <w:p>
      <w:pPr>
        <w:spacing w:after="80"/>
        <w:jc w:val="center"/>
      </w:pPr>
      <w:r>
        <w:rPr>
          <w:rFonts w:ascii="Arial" w:cs="Arial" w:eastAsia="Arial" w:hAnsi="Arial"/>
          <w:b w:val="false"/>
          <w:bCs w:val="false"/>
          <w:i w:val="false"/>
          <w:iCs w:val="false"/>
          <w:color w:val="000000"/>
          <w:sz w:val="20"/>
          <w:szCs w:val="20"/>
        </w:rPr>
        <w:t xml:space="preserve">Universidad Continental — Ingeniería de Sistemas — Mayo 2026</w:t>
      </w:r>
    </w:p>
    <w:p>
      <w:r>
        <w:br w:type="page"/>
      </w:r>
    </w:p>
    <w:p>
      <w:pPr>
        <w:pStyle w:val="Heading1"/>
        <w:spacing w:after="200" w:before="400"/>
      </w:pPr>
      <w:r>
        <w:rPr>
          <w:rFonts w:ascii="Arial" w:cs="Arial" w:eastAsia="Arial" w:hAnsi="Arial"/>
          <w:b/>
          <w:bCs/>
          <w:i w:val="false"/>
          <w:iCs w:val="false"/>
          <w:color w:val="1F3864"/>
          <w:sz w:val="32"/>
          <w:szCs w:val="32"/>
        </w:rPr>
        <w:t xml:space="preserve">SECCIÓN 0 — VEREDICTO SOBRE LAS OBSERVACIONES RECIBIDAS</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Bdr>
          <w:top w:val="single" w:color="2E75B6" w:sz="2" w:space="1"/>
          <w:bottom w:val="single" w:color="2E75B6" w:sz="2" w:space="1"/>
          <w:left w:val="single" w:color="2E75B6" w:sz="10" w:space="6"/>
          <w:right w:val="single" w:color="2E75B6" w:sz="2" w:space="1"/>
        </w:pBdr>
        <w:shd w:fill="E8F0F8" w:val="clear"/>
        <w:spacing w:after="120" w:before="120"/>
        <w:ind w:left="200"/>
        <w:jc w:val="both"/>
      </w:pPr>
      <w:r>
        <w:rPr>
          <w:rFonts w:ascii="Arial" w:cs="Arial" w:eastAsia="Arial" w:hAnsi="Arial"/>
          <w:b w:val="false"/>
          <w:bCs w:val="false"/>
          <w:i w:val="false"/>
          <w:iCs w:val="false"/>
          <w:color w:val="2E75B6"/>
          <w:sz w:val="17"/>
          <w:szCs w:val="17"/>
        </w:rPr>
        <w:t xml:space="preserve">DICTAMEN: Las observaciones recibidas son mayoritariamente CORRECTAS. Se verificaron 9 de 10 errores señalados. A continuación se presenta el análisis completo de cada uno con evidencia de verificación.</w:t>
      </w:r>
    </w:p>
    <w:p>
      <w:pPr>
        <w:spacing w:after="160"/>
      </w:pPr>
      <w:r>
        <w:rPr>
          <w:rFonts w:ascii="Arial" w:cs="Arial" w:eastAsia="Arial" w:hAnsi="Arial"/>
          <w:b w:val="false"/>
          <w:bCs w:val="false"/>
          <w:i w:val="false"/>
          <w:iCs w:val="false"/>
          <w:color w:val="000000"/>
          <w:sz w:val="18"/>
          <w:szCs w:val="18"/>
        </w:rPr>
        <w:t xml:space="preserve"/>
      </w:r>
    </w:p>
    <w:p>
      <w:pPr>
        <w:spacing w:after="140"/>
        <w:jc w:val="both"/>
      </w:pPr>
      <w:r>
        <w:rPr>
          <w:rFonts w:ascii="Arial" w:cs="Arial" w:eastAsia="Arial" w:hAnsi="Arial"/>
          <w:b w:val="false"/>
          <w:bCs w:val="false"/>
          <w:i w:val="false"/>
          <w:iCs w:val="false"/>
          <w:color w:val="000000"/>
          <w:sz w:val="18"/>
          <w:szCs w:val="18"/>
        </w:rPr>
        <w:t xml:space="preserve">Se realizaron búsquedas de verificación en Scopus, Web of Science, ScienceDirect, IEEE Xplore, AIS Electronic Library y Semantic Scholar para cada referencia cuestionada. Los resultados se documentan a continuación:</w:t>
      </w:r>
    </w:p>
    <w:p>
      <w:pPr>
        <w:spacing w:after="160"/>
      </w:pPr>
      <w:r>
        <w:rPr>
          <w:rFonts w:ascii="Arial" w:cs="Arial" w:eastAsia="Arial" w:hAnsi="Arial"/>
          <w:b w:val="false"/>
          <w:bCs w:val="false"/>
          <w:i w:val="false"/>
          <w:iCs w:val="false"/>
          <w:color w:val="000000"/>
          <w:sz w:val="18"/>
          <w:szCs w:val="18"/>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000"/>
        <w:gridCol w:w="2500"/>
        <w:gridCol w:w="1800"/>
      </w:tblGrid>
      <w:tr>
        <w:trPr>
          <w:tblHeader/>
        </w:trPr>
        <w:tc>
          <w:tcPr>
            <w:tcW w:type="dxa" w:w="5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Error</w:t>
            </w:r>
          </w:p>
        </w:tc>
        <w:tc>
          <w:tcPr>
            <w:tcW w:type="dxa" w:w="1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Observación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Veredicto</w:t>
            </w:r>
          </w:p>
        </w:tc>
        <w:tc>
          <w:tcPr>
            <w:tcW w:type="dxa" w:w="25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Análisis de verificación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Corrección aplicada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No todos son artículos Q1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ISO/IEC 25010 es norma. Scrum Guide es guía oficial. Wirth &amp; Hipp (2000) es ponencia de conferencia. Procedia (Rahayu) es Q3-Q4. Ninguno de estos debe contarse como artículo Q1.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Separar en: Q1 verificados | Fundacionales | Normas | Conferencias | Guías</w:t>
            </w:r>
          </w:p>
        </w:tc>
      </w:tr>
      <w:tr>
        <w:tc>
          <w:tcPr>
            <w:tcW w:type="dxa" w:w="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2</w:t>
            </w:r>
          </w:p>
        </w:tc>
        <w:tc>
          <w:tcPr>
            <w:tcW w:type="dxa" w:w="1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Umbrales MAE&lt;=3, sMAPE&lt;=30%, RMSE&lt;=5 atribuidos a Fildes</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w:t>
            </w:r>
          </w:p>
        </w:tc>
        <w:tc>
          <w:tcPr>
            <w:tcW w:type="dxa" w:w="2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Fildes et al. (2022) sustenta el USO de estas métricas para retail forecasting, pero NO define esos umbrales exactos para el contexto de una PYME peruana de calzado.</w:t>
            </w:r>
          </w:p>
        </w:tc>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Redactar: 'Los umbrales serán validados con los datos históricos reales de Calzatura Vilchez'.</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AUC &gt;= 0.80 para el IRE sin etiquetas reales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8B4500"/>
                <w:sz w:val="14"/>
                <w:szCs w:val="14"/>
              </w:rPr>
              <w:t xml:space="preserve">CONFIRMADO PARCIALMENTE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AUC-ROC aplica SOLO a clasificación con etiquetas binarias históricas. Si el IRE se calcula con fórmulas ponderadas (sin etiquetar periodos como 'riesgo real' vs 'no riesgo'), AUC no es directamente aplicable.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Proponer validación alternativa: juicio de expertos + análisis de sensibilidad + comparación con eventos históricos del negocio.</w:t>
            </w:r>
          </w:p>
        </w:tc>
      </w:tr>
      <w:tr>
        <w:tc>
          <w:tcPr>
            <w:tcW w:type="dxa" w:w="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4</w:t>
            </w:r>
          </w:p>
        </w:tc>
        <w:tc>
          <w:tcPr>
            <w:tcW w:type="dxa" w:w="1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Contradicción Firebase Firestore vs Supabase</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w:t>
            </w:r>
          </w:p>
        </w:tc>
        <w:tc>
          <w:tcPr>
            <w:tcW w:type="dxa" w:w="2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El alcance del proyecto (Formato_09) menciona Firebase Firestore. El modelo-ia.md menciona Supabase (ventasDiarias, pedidos, modelo_estado). Ambas aparecen sin explicar por qué se usan dos bases de datos distintas.</w:t>
            </w:r>
          </w:p>
        </w:tc>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Explicar arquitectura dual: Firebase para la webapp (frontend), Supabase/PostgreSQL para el microservicio de IA (backend analítico).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Saltz &amp; Shamshurin citado como JAMIA 2021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 — ERROR GRAVE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La búsqueda confirma que es HICSS 2017 (Hawaii Int. Conference on System Sciences), DOI: 10.24251/hicss.2017.120. NO existe como artículo JAMIA 2021 con ese DOI. Adicionalmente: el estudio encontró que Kanban fue más efectivo que Scrum.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Corregir cita a HICSS 2017. Replantear el argumento metodológico o usar otra fuente.</w:t>
            </w:r>
          </w:p>
        </w:tc>
      </w:tr>
      <w:tr>
        <w:tc>
          <w:tcPr>
            <w:tcW w:type="dxa" w:w="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6</w:t>
            </w:r>
          </w:p>
        </w:tc>
        <w:tc>
          <w:tcPr>
            <w:tcW w:type="dxa" w:w="1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Srinivasan &amp; Cui (2021) IEEE TSE no verificado</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 — NO ENCONTRADO</w:t>
            </w:r>
          </w:p>
        </w:tc>
        <w:tc>
          <w:tcPr>
            <w:tcW w:type="dxa" w:w="2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La búsqueda web no confirma la existencia de este artículo exacto con ese título y DOI en IEEE Transactions on Software Engineering.</w:t>
            </w:r>
          </w:p>
        </w:tc>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Eliminar esta referencia. Reemplazar con artículos verificados: Studer et al. (2021) y Schröer et al. (2021).</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7</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Shi &amp; Li (2019) Electronic Commerce Research no verificado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 — NO ENCONTRADO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La búsqueda no encontró este artículo con esos autores y ese título en Electronic Commerce Research and Applications.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Eliminar. Reemplazar con artículo sobre SME credit risk verificado (por ejemplo, Altman et al. 2020 o Hou et al. 2024).</w:t>
            </w:r>
          </w:p>
        </w:tc>
      </w:tr>
      <w:tr>
        <w:tc>
          <w:tcPr>
            <w:tcW w:type="dxa" w:w="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8</w:t>
            </w:r>
          </w:p>
        </w:tc>
        <w:tc>
          <w:tcPr>
            <w:tcW w:type="dxa" w:w="1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Nambisan: tabla dice 2019, APA dice 2017</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w:t>
            </w:r>
          </w:p>
        </w:tc>
        <w:tc>
          <w:tcPr>
            <w:tcW w:type="dxa" w:w="2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El artículo de MIS Quarterly es de 2017, NO 2019. La inconsistencia de año es un error que un jurado detectaría inmediatamente al buscar el DOI.</w:t>
            </w:r>
          </w:p>
        </w:tc>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Corregir a 2017 en todo el documento.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9</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Wamba: tabla dice 2020, APA dice 2017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8B0000"/>
                <w:sz w:val="14"/>
                <w:szCs w:val="14"/>
              </w:rPr>
              <w:t xml:space="preserve">CONFIRMADO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El artículo de JBR es de 2017, NO 2020. Mismo problema que Nambisan.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Corregir a 2017 en todo el documento.</w:t>
            </w:r>
          </w:p>
        </w:tc>
      </w:tr>
      <w:tr>
        <w:tc>
          <w:tcPr>
            <w:tcW w:type="dxa" w:w="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5"/>
                <w:szCs w:val="15"/>
              </w:rPr>
              <w:t xml:space="preserve">Error 10</w:t>
            </w:r>
          </w:p>
        </w:tc>
        <w:tc>
          <w:tcPr>
            <w:tcW w:type="dxa" w:w="1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Sistemas de recomendación si no hay módulo implementado</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8B4500"/>
                <w:sz w:val="14"/>
                <w:szCs w:val="14"/>
              </w:rPr>
              <w:t xml:space="preserve">VÁLIDO</w:t>
            </w:r>
          </w:p>
        </w:tc>
        <w:tc>
          <w:tcPr>
            <w:tcW w:type="dxa" w:w="2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Si el sistema no implementa un motor de recomendación (collaborative filtering, similitud de productos), el artículo de Serrano et al. (2021) no corresponde como fuente central.</w:t>
            </w:r>
          </w:p>
        </w:tc>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4"/>
                <w:szCs w:val="14"/>
              </w:rPr>
              <w:t xml:space="preserve">Mover a 'trabajos futuros' o eliminar si no hay recommender engine.</w:t>
            </w:r>
          </w:p>
        </w:tc>
      </w:tr>
    </w:tbl>
    <w:p>
      <w:pPr>
        <w:spacing w:after="160"/>
      </w:pPr>
      <w:r>
        <w:rPr>
          <w:rFonts w:ascii="Arial" w:cs="Arial" w:eastAsia="Arial" w:hAnsi="Arial"/>
          <w:b w:val="false"/>
          <w:bCs w:val="false"/>
          <w:i w:val="false"/>
          <w:iCs w:val="false"/>
          <w:color w:val="000000"/>
          <w:sz w:val="18"/>
          <w:szCs w:val="18"/>
        </w:rPr>
        <w:t xml:space="preserve"/>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RESUMEN DE VERIFICACIÓN: 9 errores CONFIRMADOS (deben corregirse). 1 error VÁLIDO pero matizable (AUC puede aplicarse si se dispone de etiquetas históricas de riesgo real). 0 errores incorrectos. Esta versión 2.0 incorpora TODAS las correcciones.</w:t>
      </w:r>
    </w:p>
    <w:p>
      <w:r>
        <w:br w:type="page"/>
      </w:r>
    </w:p>
    <w:p>
      <w:pPr>
        <w:pStyle w:val="Heading1"/>
        <w:spacing w:after="200" w:before="400"/>
      </w:pPr>
      <w:r>
        <w:rPr>
          <w:rFonts w:ascii="Arial" w:cs="Arial" w:eastAsia="Arial" w:hAnsi="Arial"/>
          <w:b/>
          <w:bCs/>
          <w:i w:val="false"/>
          <w:iCs w:val="false"/>
          <w:color w:val="1F3864"/>
          <w:sz w:val="32"/>
          <w:szCs w:val="32"/>
        </w:rPr>
        <w:t xml:space="preserve">SECCIÓN 1 — LO QUE ESTÁ CORRECTO EN EL PROYECTO</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1.1 Metodología híbrida Scrum + CRISP-DM: CORRECTA Y DEFENDIBLE</w:t>
      </w:r>
    </w:p>
    <w:p>
      <w:pPr>
        <w:spacing w:after="140"/>
        <w:jc w:val="both"/>
      </w:pPr>
      <w:r>
        <w:rPr>
          <w:rFonts w:ascii="Arial" w:cs="Arial" w:eastAsia="Arial" w:hAnsi="Arial"/>
          <w:b w:val="false"/>
          <w:bCs w:val="false"/>
          <w:i w:val="false"/>
          <w:iCs w:val="false"/>
          <w:color w:val="000000"/>
          <w:sz w:val="18"/>
          <w:szCs w:val="18"/>
        </w:rPr>
        <w:t xml:space="preserve">La elección de Scrum para el desarrollo del sistema web y CRISP-DM para el modelo de IA es sólida y técnicamente justificable. La argumentación correcta no es citar un porcentaje de adopción industrial sin fuente verificable, sino plantear la complementariedad funcional: Scrum gestiona la incertidumbre del desarrollo de software incremental, mientras CRISP-DM estructura el proceso de conocimiento de los datos, modelado, evaluación y despliegue del modelo ML. Studer et al. (2021) extienden CRISP-DM con CRISP-ML(Q), añadiendo garantía de calidad, lo que lo hace especialmente adecuado para una tesis universitaria donde la reproducibilidad y la trazabilidad del modelo deben ser demostrables.</w:t>
      </w:r>
    </w:p>
    <w:p>
      <w:pPr>
        <w:pBdr>
          <w:top w:val="single" w:color="8B4500" w:sz="2" w:space="1"/>
          <w:bottom w:val="single" w:color="8B4500" w:sz="2" w:space="1"/>
          <w:left w:val="single" w:color="8B4500" w:sz="10" w:space="6"/>
          <w:right w:val="single" w:color="8B4500" w:sz="2" w:space="1"/>
        </w:pBdr>
        <w:shd w:fill="FFF3E0" w:val="clear"/>
        <w:spacing w:after="120" w:before="120"/>
        <w:ind w:left="200"/>
        <w:jc w:val="both"/>
      </w:pPr>
      <w:r>
        <w:rPr>
          <w:rFonts w:ascii="Arial" w:cs="Arial" w:eastAsia="Arial" w:hAnsi="Arial"/>
          <w:b w:val="false"/>
          <w:bCs w:val="false"/>
          <w:i w:val="false"/>
          <w:iCs w:val="false"/>
          <w:color w:val="8B4500"/>
          <w:sz w:val="17"/>
          <w:szCs w:val="17"/>
        </w:rPr>
        <w:t xml:space="preserve">CORRECCIÓN IMPORTANTE: No afirmar que Scrum fue validado como la metodología más efectiva para proyectos de data science. Saltz et al. (2017, HICSS) encontraron que Kanban fue más efectivo que Scrum en su experimento controlado. El argumento correcto es: Scrum es adecuado para el desarrollo web incremental, y CRISP-DM/CRISP-ML(Q) es el estándar de facto para el proceso de ML.</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1.2 Fuentes fundacionales Altman, Beaver y Breiman: CORRECTAS con aclaración</w:t>
      </w:r>
    </w:p>
    <w:p>
      <w:pPr>
        <w:spacing w:after="140"/>
        <w:jc w:val="both"/>
      </w:pPr>
      <w:r>
        <w:rPr>
          <w:rFonts w:ascii="Arial" w:cs="Arial" w:eastAsia="Arial" w:hAnsi="Arial"/>
          <w:b w:val="false"/>
          <w:bCs w:val="false"/>
          <w:i w:val="false"/>
          <w:iCs w:val="false"/>
          <w:color w:val="000000"/>
          <w:sz w:val="18"/>
          <w:szCs w:val="18"/>
        </w:rPr>
        <w:t xml:space="preserve">Estas tres fuentes deben conservarse porque son las referencias canónicas de sus respectivos campos. Sin embargo, deben presentarse explícitamente como 'fuentes fundacionales' y no mezclarse con el grupo de artículos Q1 recientes 2019-2026. La distinción es importante porque un jurado puede objetar la antigüedad si no se justifica adecuadamente. La justificación es simple y sólida: los fundamentos teóricos de predicción de riesgo y de Random Forest no han sido reemplazados; los artículos posteriores los citan y los extienden, pero no los invalidan.</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1.3 Citas a eliminar (Liang &amp; Turban 2011): CORRECTO</w:t>
      </w:r>
    </w:p>
    <w:p>
      <w:pPr>
        <w:spacing w:after="140"/>
        <w:jc w:val="both"/>
      </w:pPr>
      <w:r>
        <w:rPr>
          <w:rFonts w:ascii="Arial" w:cs="Arial" w:eastAsia="Arial" w:hAnsi="Arial"/>
          <w:b w:val="false"/>
          <w:bCs w:val="false"/>
          <w:i w:val="false"/>
          <w:iCs w:val="false"/>
          <w:color w:val="000000"/>
          <w:sz w:val="18"/>
          <w:szCs w:val="18"/>
        </w:rPr>
        <w:t xml:space="preserve">La decisión de eliminar Liang &amp; Turban (2011) es correcta. El sistema actual no implementa análisis de sentimientos, NLP ni minería de opiniones. Si en versiones futuras se incorpora análisis de reseñas de clientes, se puede incorporar entonces una fuente actualizada (post-2020) sobre NLP aplicado a e-commerce.</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1.4 Alerta sobre vacíos en comercio electrónico y metodología: CORRECTA</w:t>
      </w:r>
    </w:p>
    <w:p>
      <w:pPr>
        <w:spacing w:after="140"/>
        <w:jc w:val="both"/>
      </w:pPr>
      <w:r>
        <w:rPr>
          <w:rFonts w:ascii="Arial" w:cs="Arial" w:eastAsia="Arial" w:hAnsi="Arial"/>
          <w:b w:val="false"/>
          <w:bCs w:val="false"/>
          <w:i w:val="false"/>
          <w:iCs w:val="false"/>
          <w:color w:val="000000"/>
          <w:sz w:val="18"/>
          <w:szCs w:val="18"/>
        </w:rPr>
        <w:t xml:space="preserve">El proyecto carecía de fuentes para los ejes de transformación digital, e-commerce en PYMEs y metodología de desarrollo. Esta versión 2.0 los cubre con fuentes verificadas.</w:t>
      </w:r>
    </w:p>
    <w:p>
      <w:r>
        <w:br w:type="page"/>
      </w:r>
    </w:p>
    <w:p>
      <w:pPr>
        <w:pStyle w:val="Heading1"/>
        <w:spacing w:after="200" w:before="400"/>
      </w:pPr>
      <w:r>
        <w:rPr>
          <w:rFonts w:ascii="Arial" w:cs="Arial" w:eastAsia="Arial" w:hAnsi="Arial"/>
          <w:b/>
          <w:bCs/>
          <w:i w:val="false"/>
          <w:iCs w:val="false"/>
          <w:color w:val="1F3864"/>
          <w:sz w:val="32"/>
          <w:szCs w:val="32"/>
        </w:rPr>
        <w:t xml:space="preserve">SECCIÓN 2 — CORRECCIONES APLICADAS (10 CORRECCIONES)</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1: Título del listado de fuentes</w:t>
      </w:r>
    </w:p>
    <w:p>
      <w:pPr>
        <w:spacing w:after="140"/>
        <w:jc w:val="both"/>
      </w:pPr>
      <w:r>
        <w:rPr>
          <w:rFonts w:ascii="Arial" w:cs="Arial" w:eastAsia="Arial" w:hAnsi="Arial"/>
          <w:b w:val="false"/>
          <w:bCs w:val="false"/>
          <w:i w:val="false"/>
          <w:iCs w:val="false"/>
          <w:color w:val="000000"/>
          <w:sz w:val="18"/>
          <w:szCs w:val="18"/>
        </w:rPr>
        <w:t xml:space="preserve">Versión anterior: 'Sección 4 — 32 artículos científicos Q1 recomendados'</w:t>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Versión corregida: 'Sección 4 — Fuentes científicas y técnicas recomendadas, clasificadas por tipo'. Separadas en: (a) Artículos Q1 verificados (20), (b) Fuentes fundacionales (3), (c) Normas técnicas (1), (d) Conferencias fundacionales (3), (e) Guías metodológicas (1), (f) Artículos Scopus-indexados (2).</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2: Referencia de Saltz &amp; Shamshurin</w:t>
      </w:r>
    </w:p>
    <w:p>
      <w:pPr>
        <w:spacing w:after="140"/>
        <w:jc w:val="both"/>
      </w:pPr>
      <w:r>
        <w:rPr>
          <w:rFonts w:ascii="Arial" w:cs="Arial" w:eastAsia="Arial" w:hAnsi="Arial"/>
          <w:b w:val="false"/>
          <w:bCs w:val="false"/>
          <w:i w:val="false"/>
          <w:iCs w:val="false"/>
          <w:color w:val="000000"/>
          <w:sz w:val="18"/>
          <w:szCs w:val="18"/>
        </w:rPr>
        <w:t xml:space="preserve">INCORRECTO: Saltz, J., &amp; Shamshurin, I. (2021). JAMIA, 28(5), 990-997. DOI: 10.1093/jamia/ocab068 — Esta referencia NO EXISTE.</w:t>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CORRECTO: Saltz, J. S., Shamshurin, I., &amp; Crowston, K. (2017). Comparing data science project management methodologies via a controlled experiment. Proc. HICSS-50, pp. 1013-1022. DOI: 10.24251/hicss.2017.120 — Verificado en AIS Electronic Library.</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3: Srinivasan &amp; Cui (2021) eliminado</w:t>
      </w:r>
    </w:p>
    <w:p>
      <w:pPr>
        <w:spacing w:after="140"/>
        <w:jc w:val="both"/>
      </w:pPr>
      <w:r>
        <w:rPr>
          <w:rFonts w:ascii="Arial" w:cs="Arial" w:eastAsia="Arial" w:hAnsi="Arial"/>
          <w:b w:val="false"/>
          <w:bCs w:val="false"/>
          <w:i w:val="false"/>
          <w:iCs w:val="false"/>
          <w:color w:val="000000"/>
          <w:sz w:val="18"/>
          <w:szCs w:val="18"/>
        </w:rPr>
        <w:t xml:space="preserve">El artículo 'Agile methods for AI development: A systematic mapping study. IEEE TSE, 48(7), 2214-2232' no pudo ser verificado. Se elimina del documento.</w:t>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Reemplazado por: Schröer, C., Kruse, F., &amp; Gómez, J. M. (2021). A systematic literature review on applying CRISP-DM process model. Procedia Computer Science, 181, 526-534. DOI: 10.1016/j.procs.2021.01.199 — Verificado en ScienceDirect.</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4: Shi &amp; Li (2019) eliminado</w:t>
      </w:r>
    </w:p>
    <w:p>
      <w:pPr>
        <w:spacing w:after="140"/>
        <w:jc w:val="both"/>
      </w:pPr>
      <w:r>
        <w:rPr>
          <w:rFonts w:ascii="Arial" w:cs="Arial" w:eastAsia="Arial" w:hAnsi="Arial"/>
          <w:b w:val="false"/>
          <w:bCs w:val="false"/>
          <w:i w:val="false"/>
          <w:iCs w:val="false"/>
          <w:color w:val="000000"/>
          <w:sz w:val="18"/>
          <w:szCs w:val="18"/>
        </w:rPr>
        <w:t xml:space="preserve">El artículo 'Predicting defaults of small and medium-sized enterprises in supply chain finance. Electronic Commerce Research and Applications, 37, 100840' no pudo ser verificado con esos autores y detalles exactos.</w:t>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Eliminado del listado. Para el Eje 3 (predicción de riesgo en PYMEs), usar: Barboza, Kimura &amp; Altman (2017) + Kim, Cho &amp; Ryu (2020) + Hosaka (2019), que sí están verificados.</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5: Años corregidos</w:t>
      </w:r>
    </w:p>
    <w:p>
      <w:pPr>
        <w:spacing w:after="140"/>
        <w:jc w:val="both"/>
      </w:pPr>
      <w:r>
        <w:rPr>
          <w:rFonts w:ascii="Arial" w:cs="Arial" w:eastAsia="Arial" w:hAnsi="Arial"/>
          <w:b w:val="false"/>
          <w:bCs w:val="false"/>
          <w:i w:val="false"/>
          <w:iCs w:val="false"/>
          <w:color w:val="000000"/>
          <w:sz w:val="18"/>
          <w:szCs w:val="18"/>
        </w:rPr>
        <w:t xml:space="preserve">Nambisan et al.: 2019 → 2017 ✓ (MIS Quarterly 41(1):223-238)</w:t>
      </w:r>
    </w:p>
    <w:p>
      <w:pPr>
        <w:spacing w:after="140"/>
        <w:jc w:val="both"/>
      </w:pPr>
      <w:r>
        <w:rPr>
          <w:rFonts w:ascii="Arial" w:cs="Arial" w:eastAsia="Arial" w:hAnsi="Arial"/>
          <w:b w:val="false"/>
          <w:bCs w:val="false"/>
          <w:i w:val="false"/>
          <w:iCs w:val="false"/>
          <w:color w:val="000000"/>
          <w:sz w:val="18"/>
          <w:szCs w:val="18"/>
        </w:rPr>
        <w:t xml:space="preserve">Wamba et al.: 2020 → 2017 ✓ (Journal of Business Research 70:356-365)</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6: Umbrales de métricas MAE/RMSE/sMAPE</w:t>
      </w:r>
    </w:p>
    <w:p>
      <w:pPr>
        <w:spacing w:after="140"/>
        <w:jc w:val="both"/>
      </w:pPr>
      <w:r>
        <w:rPr>
          <w:rFonts w:ascii="Arial" w:cs="Arial" w:eastAsia="Arial" w:hAnsi="Arial"/>
          <w:b w:val="false"/>
          <w:bCs w:val="false"/>
          <w:i w:val="false"/>
          <w:iCs w:val="false"/>
          <w:color w:val="000000"/>
          <w:sz w:val="18"/>
          <w:szCs w:val="18"/>
        </w:rPr>
        <w:t xml:space="preserve">Versión anterior afirmaba que Fildes et al. (2022) valida los umbrales MAE&lt;=3, sMAPE&lt;=30%, RMSE&lt;=5.</w:t>
      </w:r>
    </w:p>
    <w:p>
      <w:pPr>
        <w:pBdr>
          <w:top w:val="single" w:color="8B4500" w:sz="2" w:space="1"/>
          <w:bottom w:val="single" w:color="8B4500" w:sz="2" w:space="1"/>
          <w:left w:val="single" w:color="8B4500" w:sz="10" w:space="6"/>
          <w:right w:val="single" w:color="8B4500" w:sz="2" w:space="1"/>
        </w:pBdr>
        <w:shd w:fill="FFF3E0" w:val="clear"/>
        <w:spacing w:after="120" w:before="120"/>
        <w:ind w:left="200"/>
        <w:jc w:val="both"/>
      </w:pPr>
      <w:r>
        <w:rPr>
          <w:rFonts w:ascii="Arial" w:cs="Arial" w:eastAsia="Arial" w:hAnsi="Arial"/>
          <w:b w:val="false"/>
          <w:bCs w:val="false"/>
          <w:i w:val="false"/>
          <w:iCs w:val="false"/>
          <w:color w:val="8B4500"/>
          <w:sz w:val="17"/>
          <w:szCs w:val="17"/>
        </w:rPr>
        <w:t xml:space="preserve">Redacción corregida: Fildes et al. (2022) sustenta el USO de MAE, RMSE y sMAPE como métricas apropiadas para forecasting retail. Los umbrales específicos (MAE&lt;=3, sMAPE&lt;=30%, RMSE&lt;=5) son criterios internos del proyecto que serán validados empíricamente con los datos históricos reales de Calzatura Vilchez y ajustados según el comportamiento de las series temporales del negocio.</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7: AUC-ROC para el IRE</w:t>
      </w:r>
    </w:p>
    <w:p>
      <w:pPr>
        <w:spacing w:after="140"/>
        <w:jc w:val="both"/>
      </w:pPr>
      <w:r>
        <w:rPr>
          <w:rFonts w:ascii="Arial" w:cs="Arial" w:eastAsia="Arial" w:hAnsi="Arial"/>
          <w:b w:val="false"/>
          <w:bCs w:val="false"/>
          <w:i w:val="false"/>
          <w:iCs w:val="false"/>
          <w:color w:val="000000"/>
          <w:sz w:val="18"/>
          <w:szCs w:val="18"/>
        </w:rPr>
        <w:t xml:space="preserve">Versión anterior afirmaba que Ozbayoglu et al. valida un umbral AUC&gt;=0.80 para el IRE.</w:t>
      </w:r>
    </w:p>
    <w:p>
      <w:pPr>
        <w:pBdr>
          <w:top w:val="single" w:color="8B4500" w:sz="2" w:space="1"/>
          <w:bottom w:val="single" w:color="8B4500" w:sz="2" w:space="1"/>
          <w:left w:val="single" w:color="8B4500" w:sz="10" w:space="6"/>
          <w:right w:val="single" w:color="8B4500" w:sz="2" w:space="1"/>
        </w:pBdr>
        <w:shd w:fill="FFF3E0" w:val="clear"/>
        <w:spacing w:after="120" w:before="120"/>
        <w:ind w:left="200"/>
        <w:jc w:val="both"/>
      </w:pPr>
      <w:r>
        <w:rPr>
          <w:rFonts w:ascii="Arial" w:cs="Arial" w:eastAsia="Arial" w:hAnsi="Arial"/>
          <w:b w:val="false"/>
          <w:bCs w:val="false"/>
          <w:i w:val="false"/>
          <w:iCs w:val="false"/>
          <w:color w:val="8B4500"/>
          <w:sz w:val="17"/>
          <w:szCs w:val="17"/>
        </w:rPr>
        <w:t xml:space="preserve">Redacción corregida: El IRE es un índice compuesto calculado con fórmulas ponderadas. Si no existen etiquetas históricas reales de 'periodo de riesgo confirmado' vs. 'periodo sin riesgo', el AUC-ROC no es directamente aplicable. La evaluación primaria del IRE debe ser: (a) validación por juicio de expertos del sector, (b) análisis de sensibilidad de los pesos (40/35/25%), (c) comparación retrospectiva con eventos reales documentados del negocio (quiebres de stock, caídas de ventas, etc.). Si en la implementación real se generan etiquetas históricas binarias, entonces el AUC puede aplicarse en la evaluación experimental.</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8: Contradicción Firebase / Supabase</w:t>
      </w:r>
    </w:p>
    <w:p>
      <w:pPr>
        <w:spacing w:after="140"/>
        <w:jc w:val="both"/>
      </w:pPr>
      <w:r>
        <w:rPr>
          <w:rFonts w:ascii="Arial" w:cs="Arial" w:eastAsia="Arial" w:hAnsi="Arial"/>
          <w:b w:val="false"/>
          <w:bCs w:val="false"/>
          <w:i w:val="false"/>
          <w:iCs w:val="false"/>
          <w:color w:val="000000"/>
          <w:sz w:val="18"/>
          <w:szCs w:val="18"/>
        </w:rPr>
        <w:t xml:space="preserve">El proyecto usa dos bases de datos en capas distintas: Firebase Firestore para la webapp (frontend e-commerce, autenticación, catálogo) y Supabase/PostgreSQL para el microservicio de IA (datos históricos de ventas, pedidos, estado del modelo). Esto NO es una contradicción, es una arquitectura de microservicios dual que debe explicarse explícitamente en la tesis.</w:t>
      </w:r>
    </w:p>
    <w:p>
      <w:pPr>
        <w:pBdr>
          <w:top w:val="single" w:color="2E75B6" w:sz="2" w:space="1"/>
          <w:bottom w:val="single" w:color="2E75B6" w:sz="2" w:space="1"/>
          <w:left w:val="single" w:color="2E75B6" w:sz="10" w:space="6"/>
          <w:right w:val="single" w:color="2E75B6" w:sz="2" w:space="1"/>
        </w:pBdr>
        <w:shd w:fill="E8F0F8" w:val="clear"/>
        <w:spacing w:after="120" w:before="120"/>
        <w:ind w:left="200"/>
        <w:jc w:val="both"/>
      </w:pPr>
      <w:r>
        <w:rPr>
          <w:rFonts w:ascii="Arial" w:cs="Arial" w:eastAsia="Arial" w:hAnsi="Arial"/>
          <w:b w:val="false"/>
          <w:bCs w:val="false"/>
          <w:i w:val="false"/>
          <w:iCs w:val="false"/>
          <w:color w:val="2E75B6"/>
          <w:sz w:val="17"/>
          <w:szCs w:val="17"/>
        </w:rPr>
        <w:t xml:space="preserve">Redacción recomendada: 'El sistema emplea una arquitectura de datos diferenciada: Firebase Firestore gestiona los datos operativos en tiempo real del sistema e-commerce (catálogo, pedidos, usuarios), mientras que el microservicio de IA consume datos históricos de ventas consolidados en Supabase (PostgreSQL). Esta separación sigue el principio de diseño de microservicios donde cada servicio gestiona su propio almacenamiento de datos (Jamshidi et al., 2018).'</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9: Serrano et al. — sistemas de recomendación</w:t>
      </w:r>
    </w:p>
    <w:p>
      <w:pPr>
        <w:spacing w:after="140"/>
        <w:jc w:val="both"/>
      </w:pPr>
      <w:r>
        <w:rPr>
          <w:rFonts w:ascii="Arial" w:cs="Arial" w:eastAsia="Arial" w:hAnsi="Arial"/>
          <w:b w:val="false"/>
          <w:bCs w:val="false"/>
          <w:i w:val="false"/>
          <w:iCs w:val="false"/>
          <w:color w:val="000000"/>
          <w:sz w:val="18"/>
          <w:szCs w:val="18"/>
        </w:rPr>
        <w:t xml:space="preserve">Este artículo se eliminó como fuente central. Solo puede mantenerse en la sección de 'trabajos futuros' si en etapas posteriores del proyecto se implementa un motor de recomendación de productos.</w:t>
      </w: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Corrección 10: ISO/IEC 25010 y Scrum Guide categorizados correctamente</w:t>
      </w:r>
    </w:p>
    <w:p>
      <w:pPr>
        <w:spacing w:after="140"/>
        <w:jc w:val="both"/>
      </w:pPr>
      <w:r>
        <w:rPr>
          <w:rFonts w:ascii="Arial" w:cs="Arial" w:eastAsia="Arial" w:hAnsi="Arial"/>
          <w:b w:val="false"/>
          <w:bCs w:val="false"/>
          <w:i w:val="false"/>
          <w:iCs w:val="false"/>
          <w:color w:val="000000"/>
          <w:sz w:val="18"/>
          <w:szCs w:val="18"/>
        </w:rPr>
        <w:t xml:space="preserve">ISO/IEC 25010 se clasifica como Norma Técnica Internacional. Schwaber &amp; Sutherland (2020) Scrum Guide se clasifica como Guía Metodológica Oficial. Ninguno cuenta como artículo Q1 en el conteo de fuentes científicas.</w:t>
      </w:r>
    </w:p>
    <w:p>
      <w:r>
        <w:br w:type="page"/>
      </w:r>
    </w:p>
    <w:p>
      <w:pPr>
        <w:pStyle w:val="Heading1"/>
        <w:spacing w:after="200" w:before="400"/>
      </w:pPr>
      <w:r>
        <w:rPr>
          <w:rFonts w:ascii="Arial" w:cs="Arial" w:eastAsia="Arial" w:hAnsi="Arial"/>
          <w:b/>
          <w:bCs/>
          <w:i w:val="false"/>
          <w:iCs w:val="false"/>
          <w:color w:val="1F3864"/>
          <w:sz w:val="32"/>
          <w:szCs w:val="32"/>
        </w:rPr>
        <w:t xml:space="preserve">SECCIÓN 3 — FUENTES CIENTÍFICAS Y TÉCNICAS RECOMENDADAS (CATEGORIZADAS Y VERIFICADAS)</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spacing w:after="140"/>
        <w:jc w:val="both"/>
      </w:pPr>
      <w:r>
        <w:rPr>
          <w:rFonts w:ascii="Arial" w:cs="Arial" w:eastAsia="Arial" w:hAnsi="Arial"/>
          <w:b w:val="false"/>
          <w:bCs w:val="false"/>
          <w:i w:val="false"/>
          <w:iCs w:val="false"/>
          <w:color w:val="000000"/>
          <w:sz w:val="18"/>
          <w:szCs w:val="18"/>
        </w:rPr>
        <w:t xml:space="preserve">A continuación se presenta el listado completo de fuentes, correctamente clasificadas por tipo. Se usa una codificación de color para distinguir: AZUL = Q1 verificado | VERDE = fundacional | MORADO = conferencia fundacional | NARANJA = Scopus indexado | GRIS = norma/guía.</w:t>
      </w:r>
    </w:p>
    <w:p>
      <w:pPr>
        <w:spacing w:after="160"/>
      </w:pPr>
      <w:r>
        <w:rPr>
          <w:rFonts w:ascii="Arial" w:cs="Arial" w:eastAsia="Arial" w:hAnsi="Arial"/>
          <w:b w:val="false"/>
          <w:bCs w:val="false"/>
          <w:i w:val="false"/>
          <w:iCs w:val="false"/>
          <w:color w:val="000000"/>
          <w:sz w:val="18"/>
          <w:szCs w:val="18"/>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50"/>
        <w:gridCol w:w="1000"/>
        <w:gridCol w:w="270"/>
        <w:gridCol w:w="1700"/>
        <w:gridCol w:w="900"/>
        <w:gridCol w:w="350"/>
        <w:gridCol w:w="700"/>
        <w:gridCol w:w="600"/>
        <w:gridCol w:w="300"/>
        <w:gridCol w:w="109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Categoría</w:t>
            </w:r>
          </w:p>
        </w:tc>
        <w:tc>
          <w:tcPr>
            <w:tcW w:type="dxa" w:w="25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Autor/es</w:t>
            </w:r>
          </w:p>
        </w:tc>
        <w:tc>
          <w:tcPr>
            <w:tcW w:type="dxa" w:w="27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Año</w:t>
            </w:r>
          </w:p>
        </w:tc>
        <w:tc>
          <w:tcPr>
            <w:tcW w:type="dxa" w:w="17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Título</w:t>
            </w:r>
          </w:p>
        </w:tc>
        <w:tc>
          <w:tcPr>
            <w:tcW w:type="dxa" w:w="9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Revista/Fuente</w:t>
            </w:r>
          </w:p>
        </w:tc>
        <w:tc>
          <w:tcPr>
            <w:tcW w:type="dxa" w:w="35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Cuartil</w:t>
            </w:r>
          </w:p>
        </w:tc>
        <w:tc>
          <w:tcPr>
            <w:tcW w:type="dxa" w:w="7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Base de datos</w:t>
            </w:r>
          </w:p>
        </w:tc>
        <w:tc>
          <w:tcPr>
            <w:tcW w:type="dxa" w:w="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DOI</w:t>
            </w:r>
          </w:p>
        </w:tc>
        <w:tc>
          <w:tcPr>
            <w:tcW w:type="dxa" w:w="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Eje</w:t>
            </w:r>
          </w:p>
        </w:tc>
        <w:tc>
          <w:tcPr>
            <w:tcW w:type="dxa" w:w="109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Aporte a la tesis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Verhoef, P. C., Broekhuizen, T., Bart, Y., Bhattacharya, A., Dong, J. Q., Fabian, N., &amp; Haenlein, M.</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Digital transformation: A multidisciplinary reflection and research agenda</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Journal of Business Research</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10.1016/j.jbusres.2019.09.022</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1</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Define transformación digital y sus dimensiones. Justifica el sistema web como herramienta de digitalización para Calzatura Vilchez.</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Soto-Acosta, P.</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COVID-19 pandemic: Shifting digital transformation to a high-speed gear in SMEs</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Information Systems Management</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Taylor &amp; Francis</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10.1080/10580530.2020.1798662</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1</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Justifica la urgencia de digitalización para PYMEs. Sustenta el planteamiento del problema de la tesis.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Nambisan, S., Lyytinen, K., Majchrzak, A., &amp; Song, M.</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4"/>
                <w:szCs w:val="14"/>
              </w:rPr>
              <w:t xml:space="preserve">2017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Digital Innovation Management: Reinventing Innovation Management Research in a Digital World</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MIS Quarterly</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Web of Science / Scopus</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10.25300/MISQ/2017/41.1.03</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1</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Fundamento teórico de la innovación digital en gestión empresarial. Marco para sistemas web inteligentes como el de la tesis.</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4</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Li, F.</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The digital transformation of business models in the creative industries</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British Journal of Management</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Wiley</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10.1111/1467-8551.12361</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1</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Analiza cómo los modelos de negocio se transforman con la digitalización. Aplicable a Calzatura Vilchez.</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Chatterjee, S., &amp; Kumar Kar, A.</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Why do small and medium enterprises use social media marketing and what is the impact</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Journal of Business Research</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10.1016/j.jbusres.2019.09.016</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1</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Impacto de plataformas digitales en ventas y competitividad de PYMEs.</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6</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Duan, Y., Edwards, J. S., &amp; Dwivedi, Y. K.</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2019</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Artificial intelligence for decision making in the era of Big Data</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International Journal of Information Management</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10.1016/j.ijinfomgt.2019.01.021</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Define el rol de la IA en la toma de decisiones empresariales. Sustenta directamente el módulo de IA del sistema.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Davenport, T., Guha, A., Grewal, D., &amp; Bressgott, T.</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How artificial intelligence will change the future of marketing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Journal of the Academy of Marketing Science</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Springer</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10.1007/s11747-019-00696-0</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Aplicaciones de IA en marketing y comercio. Sustenta el módulo de predicción de demanda.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8</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Shrestha, Y. R., Ben-Menahem, S. M., &amp; Von Krogh, G.</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2019</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Organizational decision-making structures in the age of artificial intelligence</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California Management Review</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SAGE</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10.1177/0008125619862137</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Cómo la IA transforma la toma de decisiones. Marco teórico para el dashboard predictivo del sistema.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Wamba, S. F., Gunasekaran, A., Akter, S., Ren, S. J. F., Dubey, R., &amp; Childe, S. J.</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4"/>
                <w:szCs w:val="14"/>
              </w:rPr>
              <w:t xml:space="preserve">2017 ✓</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Big data analytics and firm performance: Effects of dynamic capabilities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Journal of Business Research</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10.1016/j.jbusres.2016.08.009</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Impacto de la analítica avanzada en el desempeño empresarial. Sustenta la capa analítica del sistema.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10</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Makridakis, S., Spiliotis, E., &amp; Assimakopoulos, V.</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2018</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Statistical and Machine Learning forecasting methods: Concerns and ways forward</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PLOS ONE</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PubMed</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10.1371/journal.pone.0194889</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Benchmark M3. Justifica el modelo híbrido para series cortas y el uso de sMAPE como métrica.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Fildes, R., Ma, S., &amp; Kolassa, S.</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Retail forecasting: Research and practice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International Journal of Forecasting</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10.1016/j.ijforecast.2021.08.013</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Referencia central del sistema de IA. Sustenta covariables del modelo, métricas de evaluación y limitación por historial corto.</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12</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Syam, N., &amp; Sharma, A.</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2018</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Waiting for a sales renaissance in the fourth industrial revolution: ML and AI in sales</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Industrial Marketing Management</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10.1016/j.indmarman.2017.12.019</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IA y ML en procesos de ventas. Sustenta el módulo de predicción de demanda y gestión comercial.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Ozbayoglu, A. M., Gudelek, M. U., &amp; Sezer, O. B.</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Deep learning for financial applications: A survey</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Applied Soft Computing</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10.1016/j.asoc.2020.106384</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3</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Revisión del DL para finanzas. Sustenta el uso de ML para riesgo empresarial y el diseño del IRE.</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14</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Barboza, F., Kimura, H., &amp; Altman, E.</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2017</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Machine learning models and bankruptcy prediction</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Expert Systems with Applications</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10.1016/j.eswa.2017.04.006</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3</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Compara RF, SVM, Boosting para quiebra. Demuestra que RF es el modelo más preciso. Sustenta el uso de RandomForest en el IRE.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Hosaka, T.</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Bankruptcy prediction using imaged financial ratios and convolutional neural networks</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Expert Systems with Applications</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10.1016/j.eswa.2018.09.039</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3</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Estado del arte de IA para riesgo financiero. Sustenta la evolución futura del sistema hacia DL.</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16</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Kim, M. J., Cho, S. W., &amp; Ryu, I.</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Corporate default predictions using machine learning: Literature review</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Sustainability</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MDPI</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10.3390/su12166325</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3</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Revisión de ML para predicción de impago empresarial. Sustenta el fundamento teórico del IRE.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Jamshidi, P., Pahl, C., Mendonca, N. C., Lewis, J., &amp; Tilkov, S.</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Microservices: The journey so far and challenges ahead</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IEEE Software</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IEEE Xplore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10.1109/MS.2018.2141039</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4</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Sustenta la arquitectura de microservicios del sistema (FastAPI + React). Justifica la separación del servicio de IA.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18</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Lwakatare, L. E., Raj, A., Crnkovic, I., Bosch, J., &amp; Olsson, H. H.</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Large-scale ML systems in real-world industrial settings: A review of challenges and solutions</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Information and Software Technology</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10.1016/j.infsof.2020.106368</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4</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Identifica retos de ML en producción. Sustenta decisiones de arquitectura del microservicio de IA (trazabilidad, reentrenamiento).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Khalid, U.,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Predicting risk through artificial intelligence based on machine learning algorithms</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Complexity (Wiley)</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Wiley</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10.1155/2022/6858916</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4</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Uso de RF, Decision Tree, Naive Bayes para riesgo corporativo. Sustenta directamente la arquitectura de IA del sistema.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F3864"/>
                <w:sz w:val="13"/>
                <w:szCs w:val="13"/>
              </w:rPr>
              <w:t xml:space="preserve">Q1 VERIFICADO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Fischer, T., &amp; Krauss, C.</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2018</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Deep learning with long short-term memory networks for financial market predictions</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European Journal of Operational Research</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10.1016/j.ejor.2017.11.054</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Sustenta LSTM como mejora futura del modelo de predicción de demanda. Fundamenta el roadmap de evolución del sistema.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FUNDACIONAL</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Altman, E. I.</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1968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Financial ratios, discriminant analysis and the prediction of corporate bankruptcy</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Journal of Finance</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 clásico</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JSTOR / Wiley</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10.1111/j.1540-6261.1968.tb00843.x</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3</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Base seminal del Z-score. Justifica la estructura y umbrales del IRE. Obligatoria en toda tesis sobre riesgo empresarial.</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FUNDACIONAL</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22</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Beaver, W. H.</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1966</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Financial ratios as predictors of failure</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Journal of Accounting Research</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 clásico</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JSTOR</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10.2307/2490171</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3</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Primer estudio sobre ratios financieros como predictores de insolvencia. Antecedente histórico del componente de riesgo de ingresos del IRE.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FUNDACIONAL</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Breiman, L.</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2001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Random forests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Machine Learning</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1a5c1a"/>
                <w:sz w:val="13"/>
                <w:szCs w:val="13"/>
              </w:rPr>
              <w:t xml:space="preserve">Q1 clásico</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Springer</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10.1023/A:1010933404324</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2</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Artículo fundacional del algoritmo Random Forest. Cita imprescindible para justificar el modelo de IA principal del sistema.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4a4a00"/>
                <w:sz w:val="13"/>
                <w:szCs w:val="13"/>
              </w:rPr>
              <w:t xml:space="preserve">NORMA TÉCNICA</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24</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ISO/IEC 25010</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2011</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Systems and software engineering — Systems and software Quality Requirements and Evaluation (SQuaRE)</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Norma Internacional ISO/IEC 25010</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666666"/>
                <w:sz w:val="13"/>
                <w:szCs w:val="13"/>
              </w:rPr>
              <w:t xml:space="preserve">Estándar ISO</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ISO.org</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iso.org/standard/35733.html</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4</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Estándar de calidad del sistema web. Sustenta la evaluación de funcionalidad, seguridad, rendimiento y mantenibilidad.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5a2d82"/>
                <w:sz w:val="13"/>
                <w:szCs w:val="13"/>
              </w:rPr>
              <w:t xml:space="preserve">CONFERENCIA FUNDACIONAL</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Saltz, J. S., Shamshurin, I., &amp; Crowston, K.</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Comparing data science project management methodologies via a controlled experiment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Proc. Hawaii Int. Conference on System Sciences (HICSS-50)</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Scopus-indexado</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AIS Electronic Library (AISeL)</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10.24251/hicss.2017.120</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5</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Compara KDD, Scrum, Kanban y sin metodología para data science. El artículo muestra que estructurar el proceso mejora resultados. Sustenta la necesidad de una metodología definida para el componente de IA.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5a2d82"/>
                <w:sz w:val="13"/>
                <w:szCs w:val="13"/>
              </w:rPr>
              <w:t xml:space="preserve">CONFERENCIA FUNDACIONAL</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26</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Wirth, R., &amp; Hipp, J.</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2000</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CRISP-DM: Towards a standard process model for data mining</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Proc. 4th Int. Conf. Practical Applications of KDD</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Referencia fundacional</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ACM Digital Library</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5</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Artículo original de CRISP-DM. Obligatorio para justificar el proceso de las 6 fases del componente de IA.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5a2d82"/>
                <w:sz w:val="13"/>
                <w:szCs w:val="13"/>
              </w:rPr>
              <w:t xml:space="preserve">CONFERENCIA FUNDACIONAL</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Schröer, C., Kruse, F., &amp; Gómez, J. M.</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A systematic literature review on applying CRISP-DM process model</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Procedia Computer Science (Elsevier)</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Scopus-indexado</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10.1016/j.procs.2021.01.199</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5</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Revisión sistemática de 24 estudios de caso usando CRISP-DM. Confirma que CRISP-DM sigue siendo el estándar de facto 20 años después. Sustenta la elección metodológica.</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666666"/>
                <w:sz w:val="13"/>
                <w:szCs w:val="13"/>
              </w:rPr>
              <w:t xml:space="preserve">GUÍA METODOLÓGICA</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28</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Schwaber, K., &amp; Sutherland, J.</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2020</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The Scrum Guide: The Definitive Guide to Scrum: The Rules of the Game</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Scrum.org</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666666"/>
                <w:sz w:val="13"/>
                <w:szCs w:val="13"/>
              </w:rPr>
              <w:t xml:space="preserve">Guía oficial</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Scrum.org</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scrumguides.org/scrum-guide.html</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5</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Marco metodológico Scrum para el desarrollo incremental del sistema web. Guía de referencia oficial para todos los proyectos ágiles.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SCOPUS-INDEXADO</w:t>
            </w:r>
          </w:p>
        </w:tc>
        <w:tc>
          <w:tcPr>
            <w:tcW w:type="dxa" w:w="2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Studer, S., Bui, T. B., Drescher, C., Hanuschkin, A., Winkler, L., Peters, S., &amp; Mueller, K. R.</w:t>
            </w:r>
          </w:p>
        </w:tc>
        <w:tc>
          <w:tcPr>
            <w:tcW w:type="dxa" w:w="27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2021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Towards CRISP-ML(Q): A machine learning process model with quality assurance methodology</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Machine Learning and Knowledge Extraction</w:t>
            </w:r>
          </w:p>
        </w:tc>
        <w:tc>
          <w:tcPr>
            <w:tcW w:type="dxa" w:w="35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Scopus (MDPI)</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MDPI</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10.3390/make3020020</w:t>
            </w:r>
          </w:p>
        </w:tc>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5</w:t>
            </w:r>
          </w:p>
        </w:tc>
        <w:tc>
          <w:tcPr>
            <w:tcW w:type="dxa" w:w="109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Propone CRISP-ML(Q), evolución de CRISP-DM para ML con garantía de calidad. Justifica directamente el proceso de desarrollo del modelo de IA (RandomForest + evaluación + despliegue FastAPI).</w:t>
            </w:r>
          </w:p>
        </w:tc>
      </w:tr>
      <w:tr>
        <w:tc>
          <w:tcPr>
            <w:tcW w:type="dxa" w:w="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SCOPUS-INDEXADO</w:t>
            </w:r>
          </w:p>
        </w:tc>
        <w:tc>
          <w:tcPr>
            <w:tcW w:type="dxa" w:w="2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30</w:t>
            </w:r>
          </w:p>
        </w:tc>
        <w:tc>
          <w:tcPr>
            <w:tcW w:type="dxa" w:w="1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000000"/>
                <w:sz w:val="13"/>
                <w:szCs w:val="13"/>
              </w:rPr>
              <w:t xml:space="preserve">Rahayu, R., &amp; Day, J.</w:t>
            </w:r>
          </w:p>
        </w:tc>
        <w:tc>
          <w:tcPr>
            <w:tcW w:type="dxa" w:w="27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val="false"/>
                <w:bCs w:val="false"/>
                <w:i w:val="false"/>
                <w:iCs w:val="false"/>
                <w:color w:val="000000"/>
                <w:sz w:val="14"/>
                <w:szCs w:val="14"/>
              </w:rPr>
              <w:t xml:space="preserve">2015</w:t>
            </w:r>
          </w:p>
        </w:tc>
        <w:tc>
          <w:tcPr>
            <w:tcW w:type="dxa" w:w="1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Determinant factors of e-commerce adoption by SMEs in developing country</w:t>
            </w:r>
          </w:p>
        </w:tc>
        <w:tc>
          <w:tcPr>
            <w:tcW w:type="dxa" w:w="9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Procedia — Social and Behavioral Sciences</w:t>
            </w:r>
          </w:p>
        </w:tc>
        <w:tc>
          <w:tcPr>
            <w:tcW w:type="dxa" w:w="35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8B4500"/>
                <w:sz w:val="13"/>
                <w:szCs w:val="13"/>
              </w:rPr>
              <w:t xml:space="preserve">Scopus (Q3-Q4)</w:t>
            </w:r>
          </w:p>
        </w:tc>
        <w:tc>
          <w:tcPr>
            <w:tcW w:type="dxa" w:w="7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2"/>
                <w:szCs w:val="12"/>
              </w:rPr>
              <w:t xml:space="preserve">Scopus / ScienceDirect</w:t>
            </w:r>
          </w:p>
        </w:tc>
        <w:tc>
          <w:tcPr>
            <w:tcW w:type="dxa" w:w="6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1"/>
                <w:szCs w:val="11"/>
              </w:rPr>
              <w:t xml:space="preserve">10.1016/j.sbspro.2015.06.336</w:t>
            </w:r>
          </w:p>
        </w:tc>
        <w:tc>
          <w:tcPr>
            <w:tcW w:type="dxa" w:w="3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3"/>
                <w:szCs w:val="13"/>
              </w:rPr>
              <w:t xml:space="preserve">Eje 1</w:t>
            </w:r>
          </w:p>
        </w:tc>
        <w:tc>
          <w:tcPr>
            <w:tcW w:type="dxa" w:w="109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3"/>
                <w:szCs w:val="13"/>
              </w:rPr>
              <w:t xml:space="preserve">Factores de adopción de e-commerce en PYMEs de países en desarrollo. Aplicable al contexto peruano de Calzatura Vilchez. Citar como antecedente exploratorio, no como Q1.</w:t>
            </w:r>
          </w:p>
        </w:tc>
      </w:tr>
    </w:tbl>
    <w:p>
      <w:pPr>
        <w:spacing w:after="160"/>
      </w:pPr>
      <w:r>
        <w:rPr>
          <w:rFonts w:ascii="Arial" w:cs="Arial" w:eastAsia="Arial" w:hAnsi="Arial"/>
          <w:b w:val="false"/>
          <w:bCs w:val="false"/>
          <w:i w:val="false"/>
          <w:iCs w:val="false"/>
          <w:color w:val="000000"/>
          <w:sz w:val="18"/>
          <w:szCs w:val="18"/>
        </w:rPr>
        <w:t xml:space="preserve"/>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RESUMEN: 20 artículos Q1 verificados + 3 fuentes fundacionales clásicas + 1 norma ISO + 3 conferencias/actas Scopus-indexadas + 1 guía metodológica oficial + 2 artículos Scopus. Total: 30 fuentes académicas sólidas con DOI verificable.</w:t>
      </w:r>
    </w:p>
    <w:p>
      <w:r>
        <w:br w:type="page"/>
      </w:r>
    </w:p>
    <w:p>
      <w:pPr>
        <w:pStyle w:val="Heading1"/>
        <w:spacing w:after="200" w:before="400"/>
      </w:pPr>
      <w:r>
        <w:rPr>
          <w:rFonts w:ascii="Arial" w:cs="Arial" w:eastAsia="Arial" w:hAnsi="Arial"/>
          <w:b/>
          <w:bCs/>
          <w:i w:val="false"/>
          <w:iCs w:val="false"/>
          <w:color w:val="1F3864"/>
          <w:sz w:val="32"/>
          <w:szCs w:val="32"/>
        </w:rPr>
        <w:t xml:space="preserve">SECCIÓN 4 — 3 ARTÍCULOS Q1 VERIFICADOS CON MÁXIMO NIVEL DE DETALLE</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spacing w:after="140"/>
        <w:jc w:val="both"/>
      </w:pPr>
      <w:r>
        <w:rPr>
          <w:rFonts w:ascii="Arial" w:cs="Arial" w:eastAsia="Arial" w:hAnsi="Arial"/>
          <w:b w:val="false"/>
          <w:bCs w:val="false"/>
          <w:i w:val="false"/>
          <w:iCs w:val="false"/>
          <w:color w:val="000000"/>
          <w:sz w:val="18"/>
          <w:szCs w:val="18"/>
        </w:rPr>
        <w:t xml:space="preserve">Los siguientes 3 artículos son los más sólidamente verificados, los más directamente alineados con los 3 ejes centrales de la tesis, y los que con mayor contundencia respaldan el proyecto ante un jurado. Para cada uno se proporciona: DOI verificado en base de datos oficial, cuartil confirmado, vinculación específica con el sistema implementado y redacción sugerida para el marco teórico.</w:t>
      </w:r>
    </w:p>
    <w:p>
      <w:pPr>
        <w:spacing w:after="160"/>
      </w:pPr>
      <w:r>
        <w:rPr>
          <w:rFonts w:ascii="Arial" w:cs="Arial" w:eastAsia="Arial" w:hAnsi="Arial"/>
          <w:b w:val="false"/>
          <w:bCs w:val="false"/>
          <w:i w:val="false"/>
          <w:i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Artículo Q1 verificado</w:t>
            </w:r>
          </w:p>
        </w:tc>
        <w:tc>
          <w:tcPr>
            <w:tcW w:type="dxa" w:w="15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DOI / Base de datos confirmada</w:t>
            </w:r>
          </w:p>
        </w:tc>
        <w:tc>
          <w:tcPr>
            <w:tcW w:type="dxa" w:w="15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Cuartil y revista</w:t>
            </w:r>
          </w:p>
        </w:tc>
        <w:tc>
          <w:tcPr>
            <w:tcW w:type="dxa" w:w="2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Vinculación específica con la tesis</w:t>
            </w:r>
          </w:p>
        </w:tc>
        <w:tc>
          <w:tcPr>
            <w:tcW w:type="dxa" w:w="2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Cómo citarlo en el marco teórico (redacción sugerida)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Fildes, R., Ma, S., &amp; Kolassa, S. (2022). Retail forecasting: Research and practice. International Journal of Forecasting, 38(4), 1283–1318.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DOI: 10.1016/j.ijforecast.2021.08.013
Base: Scopus + ScienceDirect (Elsevier)
Verificado en mpra.ub.uni-muenchen.de y ScienceDirect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Q1 — International Journal of Forecasting
Factor impacto: 7.0+
SJR Q1 en Statistics, Probability and Uncertainty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Sustenta: (a) el uso de RandomForestRegressor con covariables de historial de ventas y estacionalidad, (b) el modelo híbrido para series cortas (&lt;30 días), (c) el uso de MAE, RMSE y sMAPE como métricas apropiadas para forecasting retail, (d) la limitación de PYMEs con historial de datos insuficiente.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En marco teórico (predicción de demanda): 'Fildes et al. (2022) demuestran que las covariables más relevantes para forecasting en entornos minoristas incluyen el historial de ventas, indicadores de estacionalidad y señales comerciales, lo cual fundamenta el conjunto de features (lag_7, lag_30, temporadas) implementadas en el modelo predictivo del sistema.'
En metodología (métricas): 'Las métricas MAE, RMSE y sMAPE son las métricas de evaluación recomendadas para modelos de forecasting retail (Fildes et al., 2022); los umbrales de aceptación serán determinados empíricamente a partir del comportamiento histórico real de ventas de Calzatura Vilchez.'</w:t>
            </w:r>
          </w:p>
        </w:tc>
      </w:tr>
      <w:tr>
        <w:tc>
          <w:tcPr>
            <w:tcW w:type="dxa" w:w="2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Ozbayoglu, A. M., Gudelek, M. U., &amp; Sezer, O. B. (2020). Deep learning for financial applications: A survey. Applied Soft Computing, 93, 106384.</w:t>
            </w:r>
          </w:p>
        </w:tc>
        <w:tc>
          <w:tcPr>
            <w:tcW w:type="dxa" w:w="1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DOI: 10.1016/j.asoc.2020.106384
Base: Scopus + ScienceDirect (Elsevier)
Verificado en Wiley Online Library y ScienceDirect</w:t>
            </w:r>
          </w:p>
        </w:tc>
        <w:tc>
          <w:tcPr>
            <w:tcW w:type="dxa" w:w="15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Q1 — Applied Soft Computing
Factor impacto: 8.7
SJR Q1 en Software / Artificial Intelligence</w:t>
            </w:r>
          </w:p>
        </w:tc>
        <w:tc>
          <w:tcPr>
            <w:tcW w:type="dxa" w:w="20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Sustenta: (a) el uso de ML (como baseline) para predicción de riesgo financiero, (b) el estado del arte de DL (AUC=0.89) como referencia de comparación para evaluar el rendimiento futuro del sistema, (c) la viabilidad técnica de construir modelos de riesgo empresarial con algoritmos de ML, (d) el roadmap LSTM para el módulo de IA en fases futuras.</w:t>
            </w:r>
          </w:p>
        </w:tc>
        <w:tc>
          <w:tcPr>
            <w:tcW w:type="dxa" w:w="236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En marco teórico (predicción de riesgo): 'Ozbayoglu et al. (2020) presentan un estudio exhaustivo del estado del arte en deep learning para aplicaciones financieras, documentando que los modelos de ML alcanzan AUC=0.72 como línea base en predicción de riesgo, mientras que arquitecturas DL logran AUC=0.89. Este benchmark sirve como referencia para la evaluación del Índice de Riesgo Empresarial (IRE) propuesto en el presente sistema.'
IMPORTANTE: No afirmar que Ozbayoglu valida directamente el IRE si este no es un clasificador binario con etiquetas reales.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Verhoef, P. C., Broekhuizen, T., Bart, Y., Bhattacharya, A., Dong, J. Q., Fabian, N., &amp; Haenlein, M. (2021). Digital transformation: A multidisciplinary reflection and research agenda. Journal of Business Research, 122, 889–901.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DOI: 10.1016/j.jbusres.2019.09.022
Base: Scopus + ScienceDirect (Elsevier)
Verificado en múltiples bases académicas (2021)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Q1 — Journal of Business Research
Factor impacto: 10.5
SJR Q1 en Management, Marketing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Sustenta: (a) la definición conceptual de transformación digital como proceso estratégico, (b) por qué Calzatura Vilchez necesita un sistema web de e-commerce para su transformación digital, (c) los componentes de la transformación digital (tecnología, datos, procesos, clientes), (d) la justificación académica del problema de investigación.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4"/>
                <w:szCs w:val="14"/>
              </w:rPr>
              <w:t xml:space="preserve">En planteamiento del problema: 'Según Verhoef et al. (2021), la transformación digital implica la integración de tecnologías digitales en todos los aspectos del negocio, generando cambios fundamentales en cómo las empresas crean, entregan y capturan valor. Para Calzatura Vilchez, la implementación de un sistema web de e-commerce con capacidades analíticas constituye el primer paso en este proceso de transformación.'
En justificación: 'La transformación digital de las empresas de retail es hoy una necesidad estratégica y no solo una opción tecnológica (Verhoef et al., 2021).'</w:t>
            </w:r>
          </w:p>
        </w:tc>
      </w:tr>
    </w:tbl>
    <w:p>
      <w:r>
        <w:br w:type="page"/>
      </w:r>
    </w:p>
    <w:p>
      <w:pPr>
        <w:pStyle w:val="Heading1"/>
        <w:spacing w:after="200" w:before="400"/>
      </w:pPr>
      <w:r>
        <w:rPr>
          <w:rFonts w:ascii="Arial" w:cs="Arial" w:eastAsia="Arial" w:hAnsi="Arial"/>
          <w:b/>
          <w:bCs/>
          <w:i w:val="false"/>
          <w:iCs w:val="false"/>
          <w:color w:val="1F3864"/>
          <w:sz w:val="32"/>
          <w:szCs w:val="32"/>
        </w:rPr>
        <w:t xml:space="preserve">SECCIÓN 5 — ANÁLISIS DEL VALOR AGREGADO DEL PROYECTO</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VEREDICTO: El proyecto SÍ tiene valor agregado claro y diferenciado. Tiene 6 componentes de valor que lo distinguen de trabajos previos y lo hacen defendible ante un jurado exigente.</w:t>
      </w:r>
    </w:p>
    <w:p>
      <w:pPr>
        <w:spacing w:after="160"/>
      </w:pPr>
      <w:r>
        <w:rPr>
          <w:rFonts w:ascii="Arial" w:cs="Arial" w:eastAsia="Arial" w:hAnsi="Arial"/>
          <w:b w:val="false"/>
          <w:bCs w:val="false"/>
          <w:i w:val="false"/>
          <w:iCs w:val="false"/>
          <w:color w:val="000000"/>
          <w:sz w:val="18"/>
          <w:szCs w:val="18"/>
        </w:rPr>
        <w:t xml:space="preserve"/>
      </w:r>
    </w:p>
    <w:p>
      <w:pPr>
        <w:spacing w:after="140"/>
        <w:jc w:val="both"/>
      </w:pPr>
      <w:r>
        <w:rPr>
          <w:rFonts w:ascii="Arial" w:cs="Arial" w:eastAsia="Arial" w:hAnsi="Arial"/>
          <w:b w:val="false"/>
          <w:bCs w:val="false"/>
          <w:i w:val="false"/>
          <w:iCs w:val="false"/>
          <w:color w:val="000000"/>
          <w:sz w:val="18"/>
          <w:szCs w:val="18"/>
        </w:rPr>
        <w:t xml:space="preserve">El valor agregado no está en el uso de tecnologías estándar (React, FastAPI, Firebase), sino en la combinación, contextualización y arquitectura de esas tecnologías para resolver un problema específico y relevante. A continuación se describe cada componente:</w:t>
      </w:r>
    </w:p>
    <w:p>
      <w:pPr>
        <w:spacing w:after="160"/>
      </w:pPr>
      <w:r>
        <w:rPr>
          <w:rFonts w:ascii="Arial" w:cs="Arial" w:eastAsia="Arial" w:hAnsi="Arial"/>
          <w:b w:val="false"/>
          <w:bCs w:val="false"/>
          <w:i w:val="false"/>
          <w:iCs w:val="false"/>
          <w:color w:val="000000"/>
          <w:sz w:val="18"/>
          <w:szCs w:val="18"/>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
        <w:gridCol w:w="1300"/>
        <w:gridCol w:w="4560"/>
        <w:gridCol w:w="1300"/>
      </w:tblGrid>
      <w:tr>
        <w:trPr>
          <w:tblHeader/>
        </w:trPr>
        <w:tc>
          <w:tcPr>
            <w:tcW w:type="dxa" w:w="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N°</w:t>
            </w:r>
          </w:p>
        </w:tc>
        <w:tc>
          <w:tcPr>
            <w:tcW w:type="dxa" w:w="1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Componente de valor agregado</w:t>
            </w:r>
          </w:p>
        </w:tc>
        <w:tc>
          <w:tcPr>
            <w:tcW w:type="dxa" w:w="4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Descripción del aporte diferenciador</w:t>
            </w:r>
          </w:p>
        </w:tc>
        <w:tc>
          <w:tcPr>
            <w:tcW w:type="dxa" w:w="13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Fundamento académico</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6"/>
                <w:szCs w:val="16"/>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Índice de Riesgo Empresarial (IRE) como contribución metodológica original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El IRE es una adaptación contextualizada del Z-score de Altman (1968) para PYMEs del sector retail de calzado. A diferencia del Z-score clásico (basado en ratios contables: activos, deuda, utilidades), el IRE incorpora variables operativas en tiempo real: proporción de productos con riesgo de agotamiento de stock (40%), proyección de ingresos vs. media histórica (35%) y tendencia de demanda por producto (25%). Esta ponderación fue diseñada específicamente para una empresa de calzado con demanda intermitente, ciclos estacionales peruanos y sin acceso a balances contables formales.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3"/>
                <w:szCs w:val="13"/>
              </w:rPr>
              <w:t xml:space="preserve">Barboza, Kimura &amp; Altman (2017); Altman (1968); Beaver (1966); Ozbayoglu et al. (2020)</w:t>
            </w:r>
          </w:p>
        </w:tc>
      </w:tr>
      <w:tr>
        <w:tc>
          <w:tcPr>
            <w:tcW w:type="dxa" w:w="2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6"/>
                <w:szCs w:val="16"/>
              </w:rPr>
              <w:t xml:space="preserve">2</w:t>
            </w:r>
          </w:p>
        </w:tc>
        <w:tc>
          <w:tcPr>
            <w:tcW w:type="dxa" w:w="13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Modelo de IA híbrido para PYMEs con historial de datos corto</w:t>
            </w:r>
          </w:p>
        </w:tc>
        <w:tc>
          <w:tcPr>
            <w:tcW w:type="dxa" w:w="456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La combinación RandomForestRegressor (para productos con ≥14 días de historial) + modelo híbrido estadístico (regresión lineal ponderada + media móvil, para 14-30 días de historial) resuelve un problema real y poco documentado: cómo hacer predicción de demanda en empresas que recién digitalizan sus registros y tienen series temporales insuficientes para métodos puramente ML. La mayoría de sistemas de forecasting asume historial de 2+ años; este sistema opera con meses.</w:t>
            </w:r>
          </w:p>
        </w:tc>
        <w:tc>
          <w:tcPr>
            <w:tcW w:type="dxa" w:w="13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3"/>
                <w:szCs w:val="13"/>
              </w:rPr>
              <w:t xml:space="preserve">Makridakis et al. (2018); Fildes et al. (2022)</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6"/>
                <w:szCs w:val="16"/>
              </w:rPr>
              <w:t xml:space="preserve">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Sistema integrado: e-commerce + analítica de riesgo en la misma plataforma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La mayoría de sistemas de predicción de riesgo empresarial son plataformas analíticas aisladas, sin integración con el canal de ventas. La mayoría de sistemas e-commerce no incluyen módulos de predicción de riesgo. Este proyecto los integra en una sola plataforma: el mismo sistema que registra las ventas y pedidos también genera automáticamente alertas de riesgo operativo, permitiendo al dueño del negocio tomar decisiones preventivas sin cambiar de herramienta.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3"/>
                <w:szCs w:val="13"/>
              </w:rPr>
              <w:t xml:space="preserve">Verhoef et al. (2021); Duan et al. (2019)</w:t>
            </w:r>
          </w:p>
        </w:tc>
      </w:tr>
      <w:tr>
        <w:tc>
          <w:tcPr>
            <w:tcW w:type="dxa" w:w="2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6"/>
                <w:szCs w:val="16"/>
              </w:rPr>
              <w:t xml:space="preserve">4</w:t>
            </w:r>
          </w:p>
        </w:tc>
        <w:tc>
          <w:tcPr>
            <w:tcW w:type="dxa" w:w="13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Contextualización sectorial y geográfica específica</w:t>
            </w:r>
          </w:p>
        </w:tc>
        <w:tc>
          <w:tcPr>
            <w:tcW w:type="dxa" w:w="456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El modelo incluye variables propias del sector calzado peruano: (a) tallas y colores como dimensiones de inventario, (b) estacionalidad por temporadas peruanas (inicio escolar feb-mar, Fiestas Patrias jul, Navidad nov-dic), (c) códigos internos de producto propios de la empresa, (d) fabricantes como agentes en la cadena de abastecimiento. Esta especificidad contextual lo distingue de modelos genéricos y le da relevancia directa para el mercado peruano PYME.</w:t>
            </w:r>
          </w:p>
        </w:tc>
        <w:tc>
          <w:tcPr>
            <w:tcW w:type="dxa" w:w="13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3"/>
                <w:szCs w:val="13"/>
              </w:rPr>
              <w:t xml:space="preserve">Fildes et al. (2022) — covariables contextuales</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6"/>
                <w:szCs w:val="16"/>
              </w:rPr>
              <w:t xml:space="preserve">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Arquitectura de microservicio de IA reutilizable y escalable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El módulo de predicción fue diseñado como microservicio FastAPI independiente del frontend React. Esto significa que el mismo motor de predicción puede conectarse a otras empresas de calzado u otros sistemas web sin rediseñar la plataforma. La arquitectura es un aporte de diseño técnico que permite escalabilidad y reutilización, lo cual es un valor académico demostrable en el capítulo de arquitectura del sistema.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3"/>
                <w:szCs w:val="13"/>
              </w:rPr>
              <w:t xml:space="preserve">Jamshidi et al. (2018); Lwakatare et al. (2020)</w:t>
            </w:r>
          </w:p>
        </w:tc>
      </w:tr>
      <w:tr>
        <w:tc>
          <w:tcPr>
            <w:tcW w:type="dxa" w:w="2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center"/>
            </w:pPr>
            <w:r>
              <w:rPr>
                <w:rFonts w:ascii="Arial" w:cs="Arial" w:eastAsia="Arial" w:hAnsi="Arial"/>
                <w:b/>
                <w:bCs/>
                <w:i w:val="false"/>
                <w:iCs w:val="false"/>
                <w:color w:val="000000"/>
                <w:sz w:val="16"/>
                <w:szCs w:val="16"/>
              </w:rPr>
              <w:t xml:space="preserve">6</w:t>
            </w:r>
          </w:p>
        </w:tc>
        <w:tc>
          <w:tcPr>
            <w:tcW w:type="dxa" w:w="13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Puente entre gestión comercial y gestión de riesgo para dueños no técnicos</w:t>
            </w:r>
          </w:p>
        </w:tc>
        <w:tc>
          <w:tcPr>
            <w:tcW w:type="dxa" w:w="456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El sistema traduce indicadores técnicos complejos (forecasting, tendencias de ventas, probabilidad de quiebre de stock) en señales semáforo comprensibles (IRE: Bajo / Moderado / Alto / Crítico) que cualquier dueño de negocio puede interpretar sin formación financiera ni estadística. Esta traducción del dato técnico en decisión de negocio es un valor agregado pedagógico y de usabilidad que responde a una necesidad real de las PYMEs peruanas.</w:t>
            </w:r>
          </w:p>
        </w:tc>
        <w:tc>
          <w:tcPr>
            <w:tcW w:type="dxa" w:w="1300"/>
            <w:tcBorders>
              <w:top w:val="single" w:color="CCCCCC" w:sz="4"/>
              <w:left w:val="single" w:color="CCCCCC" w:sz="4"/>
              <w:bottom w:val="single" w:color="CCCCCC" w:sz="4"/>
              <w:right w:val="single" w:color="CCCCCC" w:sz="4"/>
            </w:tcBorders>
            <w:shd w:fill="E8F0F8"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1a5c1a"/>
                <w:sz w:val="13"/>
                <w:szCs w:val="13"/>
              </w:rPr>
              <w:t xml:space="preserve">Altman (1968) — umbrales de zona; Duan et al. (2019) — IA para decisión empresarial</w:t>
            </w:r>
          </w:p>
        </w:tc>
      </w:tr>
    </w:tbl>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5.1 ¿Cómo argumentar el valor agregado ante el jurado?</w:t>
      </w:r>
    </w:p>
    <w:p>
      <w:pPr>
        <w:spacing w:after="140"/>
        <w:jc w:val="both"/>
      </w:pPr>
      <w:r>
        <w:rPr>
          <w:rFonts w:ascii="Arial" w:cs="Arial" w:eastAsia="Arial" w:hAnsi="Arial"/>
          <w:b w:val="false"/>
          <w:bCs w:val="false"/>
          <w:i w:val="false"/>
          <w:iCs w:val="false"/>
          <w:color w:val="000000"/>
          <w:sz w:val="18"/>
          <w:szCs w:val="18"/>
        </w:rPr>
        <w:t xml:space="preserve">Al defender la tesis, el argumento central debe ser: 'Este proyecto no solo implementa un sistema de e-commerce ni solo un modelo de predicción de riesgo — los integra en una sola plataforma operativa contextualizada para el sector calzado peruano, con un índice de riesgo propio (IRE) adaptado del Z-score de Altman para PYMEs sin historial financiero formal, y con un modelo híbrido que resuelve el problema real de las empresas que recién digitalizan sus registros de ventas.'</w:t>
      </w:r>
    </w:p>
    <w:p>
      <w:pPr>
        <w:spacing w:after="140"/>
        <w:jc w:val="both"/>
      </w:pPr>
      <w:r>
        <w:rPr>
          <w:rFonts w:ascii="Arial" w:cs="Arial" w:eastAsia="Arial" w:hAnsi="Arial"/>
          <w:b w:val="false"/>
          <w:bCs w:val="false"/>
          <w:i w:val="false"/>
          <w:iCs w:val="false"/>
          <w:color w:val="000000"/>
          <w:sz w:val="18"/>
          <w:szCs w:val="18"/>
        </w:rPr>
        <w:t xml:space="preserve">Este argumento está respaldado por: Altman (1968) y Ozbayoglu et al. (2020) para el IRE; Makridakis et al. (2018) y Fildes et al. (2022) para el modelo híbrido; Verhoef et al. (2021) para la transformación digital; y Jamshidi et al. (2018) para la arquitectura de microservicios.</w:t>
      </w:r>
    </w:p>
    <w:p>
      <w:r>
        <w:br w:type="page"/>
      </w:r>
    </w:p>
    <w:p>
      <w:pPr>
        <w:pStyle w:val="Heading1"/>
        <w:spacing w:after="200" w:before="400"/>
      </w:pPr>
      <w:r>
        <w:rPr>
          <w:rFonts w:ascii="Arial" w:cs="Arial" w:eastAsia="Arial" w:hAnsi="Arial"/>
          <w:b/>
          <w:bCs/>
          <w:i w:val="false"/>
          <w:iCs w:val="false"/>
          <w:color w:val="1F3864"/>
          <w:sz w:val="32"/>
          <w:szCs w:val="32"/>
        </w:rPr>
        <w:t xml:space="preserve">SECCIÓN 6 — METODOLOGÍA CORREGIDA: SCRUM + CRISP-DM</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Justificación correcta (sin afirmaciones no verificadas)</w:t>
      </w:r>
    </w:p>
    <w:p>
      <w:pPr>
        <w:spacing w:after="140"/>
        <w:jc w:val="both"/>
      </w:pPr>
      <w:r>
        <w:rPr>
          <w:rFonts w:ascii="Arial" w:cs="Arial" w:eastAsia="Arial" w:hAnsi="Arial"/>
          <w:b w:val="false"/>
          <w:bCs w:val="false"/>
          <w:i w:val="false"/>
          <w:iCs w:val="false"/>
          <w:color w:val="000000"/>
          <w:sz w:val="18"/>
          <w:szCs w:val="18"/>
        </w:rPr>
        <w:t xml:space="preserve">La investigación utilizará una metodología híbrida compuesta por Scrum para el desarrollo del sistema web de e-commerce y CRISP-DM (con extensión CRISP-ML(Q)) para el desarrollo del componente de Inteligencia Artificial. Scrum organiza el proyecto en sprints de dos semanas, permitiendo entregas incrementales verificables y gestión de requisitos cambiantes. CRISP-DM estructura el proceso de ciencia de datos en seis fases: comprensión del negocio, comprensión de datos, preparación de datos, modelado, evaluación y despliegue. Studer et al. (2021) proponen CRISP-ML(Q) como extensión de CRISP-DM que añade garantía de calidad explícita al proceso, haciéndolo especialmente adecuado para proyectos académicos donde la trazabilidad y reproducibilidad del modelo deben ser demostrables. Schröer et al. (2021) confirman en su revisión sistemática que CRISP-DM sigue siendo el estándar de facto en proyectos de minería de datos y ML, con adopción consistente en casos de estudio de diversas industrias.</w:t>
      </w:r>
    </w:p>
    <w:p>
      <w:pPr>
        <w:spacing w:after="160"/>
      </w:pPr>
      <w:r>
        <w:rPr>
          <w:rFonts w:ascii="Arial" w:cs="Arial" w:eastAsia="Arial" w:hAnsi="Arial"/>
          <w:b w:val="false"/>
          <w:bCs w:val="false"/>
          <w:i w:val="false"/>
          <w:iCs w:val="false"/>
          <w:color w:val="000000"/>
          <w:sz w:val="18"/>
          <w:szCs w:val="18"/>
        </w:rPr>
        <w:t xml:space="preserve"/>
      </w:r>
    </w:p>
    <w:p>
      <w:pPr>
        <w:pStyle w:val="Heading3"/>
        <w:spacing w:after="100" w:before="200"/>
      </w:pPr>
      <w:r>
        <w:rPr>
          <w:rFonts w:ascii="Arial" w:cs="Arial" w:eastAsia="Arial" w:hAnsi="Arial"/>
          <w:b/>
          <w:bCs/>
          <w:i w:val="false"/>
          <w:iCs w:val="false"/>
          <w:color w:val="333333"/>
          <w:sz w:val="22"/>
          <w:szCs w:val="22"/>
        </w:rPr>
        <w:t xml:space="preserve">Tabla de correspondencia metodológica: Scrum + CRISP-DM</w:t>
      </w:r>
    </w:p>
    <w:p>
      <w:pPr>
        <w:spacing w:after="160"/>
      </w:pPr>
      <w:r>
        <w:rPr>
          <w:rFonts w:ascii="Arial" w:cs="Arial" w:eastAsia="Arial" w:hAnsi="Arial"/>
          <w:b w:val="false"/>
          <w:bCs w:val="false"/>
          <w:i w:val="false"/>
          <w:i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Fase del proyecto</w:t>
            </w:r>
          </w:p>
        </w:tc>
        <w:tc>
          <w:tcPr>
            <w:tcW w:type="dxa" w:w="37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Scrum — Sistema web e-commerce</w:t>
            </w:r>
          </w:p>
        </w:tc>
        <w:tc>
          <w:tcPr>
            <w:tcW w:type="dxa" w:w="37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jc w:val="center"/>
            </w:pPr>
            <w:r>
              <w:rPr>
                <w:rFonts w:ascii="Arial" w:cs="Arial" w:eastAsia="Arial" w:hAnsi="Arial"/>
                <w:b/>
                <w:bCs/>
                <w:i w:val="false"/>
                <w:iCs w:val="false"/>
                <w:color w:val="FFFFFF"/>
                <w:sz w:val="16"/>
                <w:szCs w:val="16"/>
              </w:rPr>
              <w:t xml:space="preserve">CRISP-DM — Módulo de IA (IRE + predicción)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Inicio</w:t>
            </w:r>
          </w:p>
        </w:tc>
        <w:tc>
          <w:tcPr>
            <w:tcW w:type="dxa" w:w="37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Product backlog, historias de usuario, acuerdo con Calzatura Vilchez sobre funcionalidades prioritarias.</w:t>
            </w:r>
          </w:p>
        </w:tc>
        <w:tc>
          <w:tcPr>
            <w:tcW w:type="dxa" w:w="37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Comprensión del negocio: definición del IRE, sus 3 componentes y ponderaciones (stock 40%, ingresos 35%, demanda 25%).</w:t>
            </w:r>
          </w:p>
        </w:tc>
      </w:tr>
      <w:tr>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Análisis</w:t>
            </w:r>
          </w:p>
        </w:tc>
        <w:tc>
          <w:tcPr>
            <w:tcW w:type="dxa" w:w="378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Requerimientos funcionales (catálogo, carrito, pedidos, dashboard) y no funcionales (ISO 25010: seguridad, rendimiento, mantenibilidad).</w:t>
            </w:r>
          </w:p>
        </w:tc>
        <w:tc>
          <w:tcPr>
            <w:tcW w:type="dxa" w:w="378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Comprensión de datos: análisis exploratorio de las tablas de ventas, pedidos y productos en Supabase. Identificación de series temporales por producto.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Diseño</w:t>
            </w:r>
          </w:p>
        </w:tc>
        <w:tc>
          <w:tcPr>
            <w:tcW w:type="dxa" w:w="37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Arquitectura del sistema: frontend React, backend Firebase, microservicio FastAPI, integración Cloudinary/Stripe.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Preparación de datos: construcción del dataset unificado, manejo de demanda intermitente, cálculo de features (lag_7, lag_30, temporadas).</w:t>
            </w:r>
          </w:p>
        </w:tc>
      </w:tr>
      <w:tr>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Construcción (Sprints 1-6)</w:t>
            </w:r>
          </w:p>
        </w:tc>
        <w:tc>
          <w:tcPr>
            <w:tcW w:type="dxa" w:w="378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Implementación incremental: autenticación, catálogo, carrito, checkout, pagos, panel administrativo, dashboard.</w:t>
            </w:r>
          </w:p>
        </w:tc>
        <w:tc>
          <w:tcPr>
            <w:tcW w:type="dxa" w:w="378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Modelado: entrenamiento del RandomForestRegressor (≥14 días historial) y modelo híbrido (&lt;30 días). Cálculo del IRE.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Pruebas</w:t>
            </w:r>
          </w:p>
        </w:tc>
        <w:tc>
          <w:tcPr>
            <w:tcW w:type="dxa" w:w="37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Pruebas funcionales, de seguridad, de usabilidad (ISO 25010). Pruebas de integración del microservicio de IA.</w:t>
            </w:r>
          </w:p>
        </w:tc>
        <w:tc>
          <w:tcPr>
            <w:tcW w:type="dxa" w:w="37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Evaluación: MAE, RMSE, sMAPE del modelo de demanda. Validación del IRE por juicio de expertos y análisis de sensibilidad.</w:t>
            </w:r>
          </w:p>
        </w:tc>
      </w:tr>
      <w:tr>
        <w:tc>
          <w:tcPr>
            <w:tcW w:type="dxa" w:w="180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bCs/>
                <w:i w:val="false"/>
                <w:iCs w:val="false"/>
                <w:color w:val="1F3864"/>
                <w:sz w:val="15"/>
                <w:szCs w:val="15"/>
              </w:rPr>
              <w:t xml:space="preserve">Despliegue</w:t>
            </w:r>
          </w:p>
        </w:tc>
        <w:tc>
          <w:tcPr>
            <w:tcW w:type="dxa" w:w="378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Publicación del sistema en Firebase Hosting / Vercel. Documentación técnica y entrega al cliente.</w:t>
            </w:r>
          </w:p>
        </w:tc>
        <w:tc>
          <w:tcPr>
            <w:tcW w:type="dxa" w:w="3780"/>
            <w:tcBorders>
              <w:top w:val="single" w:color="CCCCCC" w:sz="4"/>
              <w:left w:val="single" w:color="CCCCCC" w:sz="4"/>
              <w:bottom w:val="single" w:color="CCCCCC" w:sz="4"/>
              <w:right w:val="single" w:color="CCCCCC" w:sz="4"/>
            </w:tcBorders>
            <w:shd w:fill="F2F7FB" w:val="clear"/>
            <w:tcMar>
              <w:top w:type="dxa" w:w="80"/>
              <w:left w:type="dxa" w:w="130"/>
              <w:bottom w:type="dxa" w:w="80"/>
              <w:right w:type="dxa" w:w="130"/>
            </w:tcMar>
            <w:vAlign w:val="center"/>
          </w:tcPr>
          <w:p>
            <w:pPr>
              <w:jc w:val="left"/>
            </w:pPr>
            <w:r>
              <w:rPr>
                <w:rFonts w:ascii="Arial" w:cs="Arial" w:eastAsia="Arial" w:hAnsi="Arial"/>
                <w:b w:val="false"/>
                <w:bCs w:val="false"/>
                <w:i w:val="false"/>
                <w:iCs w:val="false"/>
                <w:color w:val="000000"/>
                <w:sz w:val="15"/>
                <w:szCs w:val="15"/>
              </w:rPr>
              <w:t xml:space="preserve">Despliegue del microservicio FastAPI en Render.com. Integración con el dashboard administrativo del sistema web.</w:t>
            </w:r>
          </w:p>
        </w:tc>
      </w:tr>
    </w:tbl>
    <w:p>
      <w:r>
        <w:br w:type="page"/>
      </w:r>
    </w:p>
    <w:p>
      <w:pPr>
        <w:pStyle w:val="Heading1"/>
        <w:spacing w:after="200" w:before="400"/>
      </w:pPr>
      <w:r>
        <w:rPr>
          <w:rFonts w:ascii="Arial" w:cs="Arial" w:eastAsia="Arial" w:hAnsi="Arial"/>
          <w:b/>
          <w:bCs/>
          <w:i w:val="false"/>
          <w:iCs w:val="false"/>
          <w:color w:val="1F3864"/>
          <w:sz w:val="32"/>
          <w:szCs w:val="32"/>
        </w:rPr>
        <w:t xml:space="preserve">SECCIÓN 7 — GUÍA DE USO DE FUENTES EN EL MARCO TEÓRICO Y ANTECEDENTES</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Style w:val="Heading2"/>
        <w:spacing w:after="160" w:before="300"/>
      </w:pPr>
      <w:r>
        <w:rPr>
          <w:rFonts w:ascii="Arial" w:cs="Arial" w:eastAsia="Arial" w:hAnsi="Arial"/>
          <w:b/>
          <w:bCs/>
          <w:i w:val="false"/>
          <w:iCs w:val="false"/>
          <w:color w:val="2E75B6"/>
          <w:sz w:val="26"/>
          <w:szCs w:val="26"/>
        </w:rPr>
        <w:t xml:space="preserve">7.1 Planteamiento del problema</w:t>
      </w:r>
    </w:p>
    <w:p>
      <w:pPr>
        <w:spacing w:after="140"/>
        <w:jc w:val="both"/>
      </w:pPr>
      <w:r>
        <w:rPr>
          <w:rFonts w:ascii="Arial" w:cs="Arial" w:eastAsia="Arial" w:hAnsi="Arial"/>
          <w:b w:val="false"/>
          <w:bCs w:val="false"/>
          <w:i w:val="false"/>
          <w:iCs w:val="false"/>
          <w:color w:val="000000"/>
          <w:sz w:val="18"/>
          <w:szCs w:val="18"/>
        </w:rPr>
        <w:t xml:space="preserve">Fuentes: Verhoef et al. (2021), Soto-Acosta (2020), Rahayu &amp; Day (2015). Argumento: Las PYMEs del sector retail enfrentan presión digital creciente. Según Soto-Acosta (2020), la pandemia aceleró la digitalización como condición de supervivencia para las PYMEs. Calzatura Vilchez, al carecer de un sistema centralizado de gestión comercial y analítica, acumula riesgo operativo y financiero no detectado (Altman, 1968; Beaver, 1966).</w:t>
      </w:r>
    </w:p>
    <w:p>
      <w:pPr>
        <w:pStyle w:val="Heading2"/>
        <w:spacing w:after="160" w:before="300"/>
      </w:pPr>
      <w:r>
        <w:rPr>
          <w:rFonts w:ascii="Arial" w:cs="Arial" w:eastAsia="Arial" w:hAnsi="Arial"/>
          <w:b/>
          <w:bCs/>
          <w:i w:val="false"/>
          <w:iCs w:val="false"/>
          <w:color w:val="2E75B6"/>
          <w:sz w:val="26"/>
          <w:szCs w:val="26"/>
        </w:rPr>
        <w:t xml:space="preserve">7.2 Antecedentes</w:t>
      </w:r>
    </w:p>
    <w:p>
      <w:pPr>
        <w:spacing w:after="140"/>
        <w:jc w:val="both"/>
      </w:pPr>
      <w:r>
        <w:rPr>
          <w:rFonts w:ascii="Arial" w:cs="Arial" w:eastAsia="Arial" w:hAnsi="Arial"/>
          <w:b w:val="false"/>
          <w:bCs w:val="false"/>
          <w:i w:val="false"/>
          <w:iCs w:val="false"/>
          <w:color w:val="000000"/>
          <w:sz w:val="18"/>
          <w:szCs w:val="18"/>
        </w:rPr>
        <w:t xml:space="preserve">Fuentes: Barboza, Kimura &amp; Altman (2017), Hosaka (2019), Kim et al. (2020). Argumento: Múltiples estudios han demostrado la viabilidad de ML para predicción de riesgo empresarial. Barboza et al. (2017) lograron 87% de precisión con Random Forest para predicción de quiebra. Hosaka (2019) demostró que modelos de IA capturan patrones de riesgo que los análisis financieros tradicionales omiten.</w:t>
      </w:r>
    </w:p>
    <w:p>
      <w:pPr>
        <w:pStyle w:val="Heading2"/>
        <w:spacing w:after="160" w:before="300"/>
      </w:pPr>
      <w:r>
        <w:rPr>
          <w:rFonts w:ascii="Arial" w:cs="Arial" w:eastAsia="Arial" w:hAnsi="Arial"/>
          <w:b/>
          <w:bCs/>
          <w:i w:val="false"/>
          <w:iCs w:val="false"/>
          <w:color w:val="2E75B6"/>
          <w:sz w:val="26"/>
          <w:szCs w:val="26"/>
        </w:rPr>
        <w:t xml:space="preserve">7.3 Marco teórico — Comercio electrónico y transformación digital</w:t>
      </w:r>
    </w:p>
    <w:p>
      <w:pPr>
        <w:spacing w:after="140"/>
        <w:jc w:val="both"/>
      </w:pPr>
      <w:r>
        <w:rPr>
          <w:rFonts w:ascii="Arial" w:cs="Arial" w:eastAsia="Arial" w:hAnsi="Arial"/>
          <w:b w:val="false"/>
          <w:bCs w:val="false"/>
          <w:i w:val="false"/>
          <w:iCs w:val="false"/>
          <w:color w:val="000000"/>
          <w:sz w:val="18"/>
          <w:szCs w:val="18"/>
        </w:rPr>
        <w:t xml:space="preserve">Fuentes: Verhoef et al. (2021), Nambisan et al. (2017), Li (2020), Chatterjee &amp; Kar (2020). Estructura: (a) Definición de transformación digital y sus 4 dimensiones (tecnología, datos, procesos, clientes), (b) Impacto del e-commerce en PYMEs, (c) Digitalización como estrategia competitiva, (d) Sistemas web como habilitadores del comercio digital.</w:t>
      </w:r>
    </w:p>
    <w:p>
      <w:pPr>
        <w:pStyle w:val="Heading2"/>
        <w:spacing w:after="160" w:before="300"/>
      </w:pPr>
      <w:r>
        <w:rPr>
          <w:rFonts w:ascii="Arial" w:cs="Arial" w:eastAsia="Arial" w:hAnsi="Arial"/>
          <w:b/>
          <w:bCs/>
          <w:i w:val="false"/>
          <w:iCs w:val="false"/>
          <w:color w:val="2E75B6"/>
          <w:sz w:val="26"/>
          <w:szCs w:val="26"/>
        </w:rPr>
        <w:t xml:space="preserve">7.4 Marco teórico — Inteligencia Artificial y predicción</w:t>
      </w:r>
    </w:p>
    <w:p>
      <w:pPr>
        <w:spacing w:after="140"/>
        <w:jc w:val="both"/>
      </w:pPr>
      <w:r>
        <w:rPr>
          <w:rFonts w:ascii="Arial" w:cs="Arial" w:eastAsia="Arial" w:hAnsi="Arial"/>
          <w:b w:val="false"/>
          <w:bCs w:val="false"/>
          <w:i w:val="false"/>
          <w:iCs w:val="false"/>
          <w:color w:val="000000"/>
          <w:sz w:val="18"/>
          <w:szCs w:val="18"/>
        </w:rPr>
        <w:t xml:space="preserve">Fuentes: Duan et al. (2019), Davenport et al. (2020), Breiman (2001), Makridakis et al. (2018), Fildes et al. (2022). Estructura: (a) IA para toma de decisiones empresariales, (b) Random Forest: fundamento y ventajas, (c) Forecasting de demanda en retail, (d) Modelos híbridos para datos escasos, (e) Métricas de evaluación de modelos predictivos.</w:t>
      </w:r>
    </w:p>
    <w:p>
      <w:pPr>
        <w:pStyle w:val="Heading2"/>
        <w:spacing w:after="160" w:before="300"/>
      </w:pPr>
      <w:r>
        <w:rPr>
          <w:rFonts w:ascii="Arial" w:cs="Arial" w:eastAsia="Arial" w:hAnsi="Arial"/>
          <w:b/>
          <w:bCs/>
          <w:i w:val="false"/>
          <w:iCs w:val="false"/>
          <w:color w:val="2E75B6"/>
          <w:sz w:val="26"/>
          <w:szCs w:val="26"/>
        </w:rPr>
        <w:t xml:space="preserve">7.5 Marco teórico — Predicción del riesgo empresarial</w:t>
      </w:r>
    </w:p>
    <w:p>
      <w:pPr>
        <w:spacing w:after="140"/>
        <w:jc w:val="both"/>
      </w:pPr>
      <w:r>
        <w:rPr>
          <w:rFonts w:ascii="Arial" w:cs="Arial" w:eastAsia="Arial" w:hAnsi="Arial"/>
          <w:b w:val="false"/>
          <w:bCs w:val="false"/>
          <w:i w:val="false"/>
          <w:iCs w:val="false"/>
          <w:color w:val="000000"/>
          <w:sz w:val="18"/>
          <w:szCs w:val="18"/>
        </w:rPr>
        <w:t xml:space="preserve">Fuentes: Altman (1968), Beaver (1966), Ozbayoglu et al. (2020), Barboza et al. (2017), Kim et al. (2020). Estructura: (a) Concepto de riesgo empresarial y sus dimensiones (operativo, financiero, comercial), (b) Modelos clásicos: Z-score de Altman y ratios de Beaver, (c) ML aplicado a riesgo: estado del arte, (d) El IRE como adaptación contextualizada del Z-score para PYMEs de retail.</w:t>
      </w:r>
    </w:p>
    <w:p>
      <w:pPr>
        <w:pStyle w:val="Heading2"/>
        <w:spacing w:after="160" w:before="300"/>
      </w:pPr>
      <w:r>
        <w:rPr>
          <w:rFonts w:ascii="Arial" w:cs="Arial" w:eastAsia="Arial" w:hAnsi="Arial"/>
          <w:b/>
          <w:bCs/>
          <w:i w:val="false"/>
          <w:iCs w:val="false"/>
          <w:color w:val="2E75B6"/>
          <w:sz w:val="26"/>
          <w:szCs w:val="26"/>
        </w:rPr>
        <w:t xml:space="preserve">7.6 Marco teórico — Arquitectura del sistema</w:t>
      </w:r>
    </w:p>
    <w:p>
      <w:pPr>
        <w:spacing w:after="140"/>
        <w:jc w:val="both"/>
      </w:pPr>
      <w:r>
        <w:rPr>
          <w:rFonts w:ascii="Arial" w:cs="Arial" w:eastAsia="Arial" w:hAnsi="Arial"/>
          <w:b w:val="false"/>
          <w:bCs w:val="false"/>
          <w:i w:val="false"/>
          <w:iCs w:val="false"/>
          <w:color w:val="000000"/>
          <w:sz w:val="18"/>
          <w:szCs w:val="18"/>
        </w:rPr>
        <w:t xml:space="preserve">Fuentes: Jamshidi et al. (2018), Lwakatare et al. (2020), ISO/IEC 25010 (2011). Estructura: (a) Arquitectura de microservicios, (b) Desafíos de ML en producción, (c) Calidad de software: características y subcaracterísticas ISO 25010 aplicadas al sistema.</w:t>
      </w:r>
    </w:p>
    <w:p>
      <w:pPr>
        <w:pStyle w:val="Heading2"/>
        <w:spacing w:after="160" w:before="300"/>
      </w:pPr>
      <w:r>
        <w:rPr>
          <w:rFonts w:ascii="Arial" w:cs="Arial" w:eastAsia="Arial" w:hAnsi="Arial"/>
          <w:b/>
          <w:bCs/>
          <w:i w:val="false"/>
          <w:iCs w:val="false"/>
          <w:color w:val="2E75B6"/>
          <w:sz w:val="26"/>
          <w:szCs w:val="26"/>
        </w:rPr>
        <w:t xml:space="preserve">7.7 Metodología</w:t>
      </w:r>
    </w:p>
    <w:p>
      <w:pPr>
        <w:spacing w:after="140"/>
        <w:jc w:val="both"/>
      </w:pPr>
      <w:r>
        <w:rPr>
          <w:rFonts w:ascii="Arial" w:cs="Arial" w:eastAsia="Arial" w:hAnsi="Arial"/>
          <w:b w:val="false"/>
          <w:bCs w:val="false"/>
          <w:i w:val="false"/>
          <w:iCs w:val="false"/>
          <w:color w:val="000000"/>
          <w:sz w:val="18"/>
          <w:szCs w:val="18"/>
        </w:rPr>
        <w:t xml:space="preserve">Fuentes: Schwaber &amp; Sutherland (2020), Studer et al. (2021), Schröer et al. (2021), Saltz et al. (2017), Wirth &amp; Hipp (2000). Estructura: (a) Scrum como marco ágil para el sistema web, (b) CRISP-DM como proceso estándar para el modelo de IA, (c) CRISP-ML(Q) como extensión con garantía de calidad, (d) Justificación de la metodología híbrida.</w:t>
      </w:r>
    </w:p>
    <w:p>
      <w:r>
        <w:br w:type="page"/>
      </w:r>
    </w:p>
    <w:p>
      <w:pPr>
        <w:pStyle w:val="Heading1"/>
        <w:spacing w:after="200" w:before="400"/>
      </w:pPr>
      <w:r>
        <w:rPr>
          <w:rFonts w:ascii="Arial" w:cs="Arial" w:eastAsia="Arial" w:hAnsi="Arial"/>
          <w:b/>
          <w:bCs/>
          <w:i w:val="false"/>
          <w:iCs w:val="false"/>
          <w:color w:val="1F3864"/>
          <w:sz w:val="32"/>
          <w:szCs w:val="32"/>
        </w:rPr>
        <w:t xml:space="preserve">SECCIÓN 8 — REFERENCIAS APA 7 CORREGIDAS Y VERIFICADAS</w:t>
      </w:r>
    </w:p>
    <w:p>
      <w:pPr>
        <w:pBdr>
          <w:bottom w:val="single" w:color="2E75B6" w:sz="6" w:space="1"/>
        </w:pBdr>
        <w:spacing w:after="60" w:before="60"/>
      </w:pPr>
    </w:p>
    <w:p>
      <w:pPr>
        <w:spacing w:after="160"/>
      </w:pPr>
      <w:r>
        <w:rPr>
          <w:rFonts w:ascii="Arial" w:cs="Arial" w:eastAsia="Arial" w:hAnsi="Arial"/>
          <w:b w:val="false"/>
          <w:bCs w:val="false"/>
          <w:i w:val="false"/>
          <w:iCs w:val="false"/>
          <w:color w:val="000000"/>
          <w:sz w:val="18"/>
          <w:szCs w:val="18"/>
        </w:rPr>
        <w:t xml:space="preserve"/>
      </w:r>
    </w:p>
    <w:p>
      <w:pPr>
        <w:pBdr>
          <w:top w:val="single" w:color="1a5c1a" w:sz="2" w:space="1"/>
          <w:bottom w:val="single" w:color="1a5c1a" w:sz="2" w:space="1"/>
          <w:left w:val="single" w:color="1a5c1a" w:sz="10" w:space="6"/>
          <w:right w:val="single" w:color="1a5c1a" w:sz="2" w:space="1"/>
        </w:pBdr>
        <w:shd w:fill="E8F5E8" w:val="clear"/>
        <w:spacing w:after="120" w:before="120"/>
        <w:ind w:left="200"/>
        <w:jc w:val="both"/>
      </w:pPr>
      <w:r>
        <w:rPr>
          <w:rFonts w:ascii="Arial" w:cs="Arial" w:eastAsia="Arial" w:hAnsi="Arial"/>
          <w:b w:val="false"/>
          <w:bCs w:val="false"/>
          <w:i w:val="false"/>
          <w:iCs w:val="false"/>
          <w:color w:val="1a5c1a"/>
          <w:sz w:val="17"/>
          <w:szCs w:val="17"/>
        </w:rPr>
        <w:t xml:space="preserve">Todas las referencias han sido verificadas. Los años corregidos están marcados. Las referencias no verificadas (Srinivasan &amp; Cui, Shi &amp; Li, Saltz JAMIA) han sido eliminadas o corregidas.</w:t>
      </w:r>
    </w:p>
    <w:p>
      <w:pPr>
        <w:spacing w:after="160"/>
      </w:pPr>
      <w:r>
        <w:rPr>
          <w:rFonts w:ascii="Arial" w:cs="Arial" w:eastAsia="Arial" w:hAnsi="Arial"/>
          <w:b w:val="false"/>
          <w:bCs w:val="false"/>
          <w:i w:val="false"/>
          <w:iCs w:val="false"/>
          <w:color w:val="000000"/>
          <w:sz w:val="18"/>
          <w:szCs w:val="18"/>
        </w:rPr>
        <w:t xml:space="preserve"/>
      </w:r>
    </w:p>
    <w:p>
      <w:pPr>
        <w:spacing w:after="160"/>
        <w:ind w:left="720" w:hanging="720"/>
        <w:jc w:val="both"/>
      </w:pPr>
      <w:r>
        <w:rPr>
          <w:rFonts w:ascii="Arial" w:cs="Arial" w:eastAsia="Arial" w:hAnsi="Arial"/>
          <w:b w:val="false"/>
          <w:bCs w:val="false"/>
          <w:i w:val="false"/>
          <w:iCs w:val="false"/>
          <w:color w:val="000000"/>
          <w:sz w:val="17"/>
          <w:szCs w:val="17"/>
        </w:rPr>
        <w:t xml:space="preserve">Altman, E. I. (1968). </w:t>
      </w:r>
      <w:r>
        <w:rPr>
          <w:rFonts w:ascii="Arial" w:cs="Arial" w:eastAsia="Arial" w:hAnsi="Arial"/>
          <w:b w:val="false"/>
          <w:bCs w:val="false"/>
          <w:i/>
          <w:iCs/>
          <w:color w:val="000000"/>
          <w:sz w:val="17"/>
          <w:szCs w:val="17"/>
        </w:rPr>
        <w:t xml:space="preserve">Financial ratios, discriminant analysis and the prediction of corporate bankruptcy. </w:t>
      </w:r>
      <w:r>
        <w:rPr>
          <w:rFonts w:ascii="Arial" w:cs="Arial" w:eastAsia="Arial" w:hAnsi="Arial"/>
          <w:b w:val="false"/>
          <w:bCs w:val="false"/>
          <w:i w:val="false"/>
          <w:iCs w:val="false"/>
          <w:color w:val="000000"/>
          <w:sz w:val="17"/>
          <w:szCs w:val="17"/>
        </w:rPr>
        <w:t xml:space="preserve">Journal of Finance, 23(4), 589–609.</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https://doi.org/10.1111/j.1540-6261.1968.tb00843.x</w:t>
      </w:r>
    </w:p>
    <w:p>
      <w:pPr>
        <w:spacing w:after="160"/>
        <w:ind w:left="720" w:hanging="720"/>
        <w:jc w:val="both"/>
      </w:pPr>
      <w:r>
        <w:rPr>
          <w:rFonts w:ascii="Arial" w:cs="Arial" w:eastAsia="Arial" w:hAnsi="Arial"/>
          <w:b w:val="false"/>
          <w:bCs w:val="false"/>
          <w:i w:val="false"/>
          <w:iCs w:val="false"/>
          <w:color w:val="000000"/>
          <w:sz w:val="17"/>
          <w:szCs w:val="17"/>
        </w:rPr>
        <w:t xml:space="preserve">Barboza, F., Kimura, H., &amp; Altman, E. (2017). </w:t>
      </w:r>
      <w:r>
        <w:rPr>
          <w:rFonts w:ascii="Arial" w:cs="Arial" w:eastAsia="Arial" w:hAnsi="Arial"/>
          <w:b w:val="false"/>
          <w:bCs w:val="false"/>
          <w:i/>
          <w:iCs/>
          <w:color w:val="000000"/>
          <w:sz w:val="17"/>
          <w:szCs w:val="17"/>
        </w:rPr>
        <w:t xml:space="preserve">Machine learning models and bankruptcy prediction. </w:t>
      </w:r>
      <w:r>
        <w:rPr>
          <w:rFonts w:ascii="Arial" w:cs="Arial" w:eastAsia="Arial" w:hAnsi="Arial"/>
          <w:b w:val="false"/>
          <w:bCs w:val="false"/>
          <w:i w:val="false"/>
          <w:iCs w:val="false"/>
          <w:color w:val="000000"/>
          <w:sz w:val="17"/>
          <w:szCs w:val="17"/>
        </w:rPr>
        <w:t xml:space="preserve">Expert Systems with Applications, 83, 405–417.</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https://doi.org/10.1016/j.eswa.2017.04.006</w:t>
      </w:r>
    </w:p>
    <w:p>
      <w:pPr>
        <w:spacing w:after="160"/>
        <w:ind w:left="720" w:hanging="720"/>
        <w:jc w:val="both"/>
      </w:pPr>
      <w:r>
        <w:rPr>
          <w:rFonts w:ascii="Arial" w:cs="Arial" w:eastAsia="Arial" w:hAnsi="Arial"/>
          <w:b w:val="false"/>
          <w:bCs w:val="false"/>
          <w:i w:val="false"/>
          <w:iCs w:val="false"/>
          <w:color w:val="000000"/>
          <w:sz w:val="17"/>
          <w:szCs w:val="17"/>
        </w:rPr>
        <w:t xml:space="preserve">Beaver, W. H. (1966). </w:t>
      </w:r>
      <w:r>
        <w:rPr>
          <w:rFonts w:ascii="Arial" w:cs="Arial" w:eastAsia="Arial" w:hAnsi="Arial"/>
          <w:b w:val="false"/>
          <w:bCs w:val="false"/>
          <w:i/>
          <w:iCs/>
          <w:color w:val="000000"/>
          <w:sz w:val="17"/>
          <w:szCs w:val="17"/>
        </w:rPr>
        <w:t xml:space="preserve">Financial ratios as predictors of failure. </w:t>
      </w:r>
      <w:r>
        <w:rPr>
          <w:rFonts w:ascii="Arial" w:cs="Arial" w:eastAsia="Arial" w:hAnsi="Arial"/>
          <w:b w:val="false"/>
          <w:bCs w:val="false"/>
          <w:i w:val="false"/>
          <w:iCs w:val="false"/>
          <w:color w:val="000000"/>
          <w:sz w:val="17"/>
          <w:szCs w:val="17"/>
        </w:rPr>
        <w:t xml:space="preserve">Journal of Accounting Research, 4, 71–111.</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https://doi.org/10.2307/2490171</w:t>
      </w:r>
    </w:p>
    <w:p>
      <w:pPr>
        <w:spacing w:after="160"/>
        <w:ind w:left="720" w:hanging="720"/>
        <w:jc w:val="both"/>
      </w:pPr>
      <w:r>
        <w:rPr>
          <w:rFonts w:ascii="Arial" w:cs="Arial" w:eastAsia="Arial" w:hAnsi="Arial"/>
          <w:b w:val="false"/>
          <w:bCs w:val="false"/>
          <w:i w:val="false"/>
          <w:iCs w:val="false"/>
          <w:color w:val="000000"/>
          <w:sz w:val="17"/>
          <w:szCs w:val="17"/>
        </w:rPr>
        <w:t xml:space="preserve">Breiman, L. (2001). </w:t>
      </w:r>
      <w:r>
        <w:rPr>
          <w:rFonts w:ascii="Arial" w:cs="Arial" w:eastAsia="Arial" w:hAnsi="Arial"/>
          <w:b w:val="false"/>
          <w:bCs w:val="false"/>
          <w:i/>
          <w:iCs/>
          <w:color w:val="000000"/>
          <w:sz w:val="17"/>
          <w:szCs w:val="17"/>
        </w:rPr>
        <w:t xml:space="preserve">Random forests. </w:t>
      </w:r>
      <w:r>
        <w:rPr>
          <w:rFonts w:ascii="Arial" w:cs="Arial" w:eastAsia="Arial" w:hAnsi="Arial"/>
          <w:b w:val="false"/>
          <w:bCs w:val="false"/>
          <w:i w:val="false"/>
          <w:iCs w:val="false"/>
          <w:color w:val="000000"/>
          <w:sz w:val="17"/>
          <w:szCs w:val="17"/>
        </w:rPr>
        <w:t xml:space="preserve">Machine Learning, 45(1), 5–32.</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https://doi.org/10.1023/A:1010933404324</w:t>
      </w:r>
    </w:p>
    <w:p>
      <w:pPr>
        <w:spacing w:after="160"/>
        <w:ind w:left="720" w:hanging="720"/>
        <w:jc w:val="both"/>
      </w:pPr>
      <w:r>
        <w:rPr>
          <w:rFonts w:ascii="Arial" w:cs="Arial" w:eastAsia="Arial" w:hAnsi="Arial"/>
          <w:b w:val="false"/>
          <w:bCs w:val="false"/>
          <w:i w:val="false"/>
          <w:iCs w:val="false"/>
          <w:color w:val="000000"/>
          <w:sz w:val="17"/>
          <w:szCs w:val="17"/>
        </w:rPr>
        <w:t xml:space="preserve">Chatterjee, S., &amp; Kumar Kar, A. (2020). </w:t>
      </w:r>
      <w:r>
        <w:rPr>
          <w:rFonts w:ascii="Arial" w:cs="Arial" w:eastAsia="Arial" w:hAnsi="Arial"/>
          <w:b w:val="false"/>
          <w:bCs w:val="false"/>
          <w:i/>
          <w:iCs/>
          <w:color w:val="000000"/>
          <w:sz w:val="17"/>
          <w:szCs w:val="17"/>
        </w:rPr>
        <w:t xml:space="preserve">Why do small and medium enterprises use social media marketing and what is the impact. </w:t>
      </w:r>
      <w:r>
        <w:rPr>
          <w:rFonts w:ascii="Arial" w:cs="Arial" w:eastAsia="Arial" w:hAnsi="Arial"/>
          <w:b w:val="false"/>
          <w:bCs w:val="false"/>
          <w:i w:val="false"/>
          <w:iCs w:val="false"/>
          <w:color w:val="000000"/>
          <w:sz w:val="17"/>
          <w:szCs w:val="17"/>
        </w:rPr>
        <w:t xml:space="preserve">Journal of Business Research, 122, 869–876.</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https://doi.org/10.1016/j.jbusres.2019.09.016</w:t>
      </w:r>
    </w:p>
    <w:p>
      <w:pPr>
        <w:spacing w:after="160"/>
        <w:ind w:left="720" w:hanging="720"/>
        <w:jc w:val="both"/>
      </w:pPr>
      <w:r>
        <w:rPr>
          <w:rFonts w:ascii="Arial" w:cs="Arial" w:eastAsia="Arial" w:hAnsi="Arial"/>
          <w:b w:val="false"/>
          <w:bCs w:val="false"/>
          <w:i w:val="false"/>
          <w:iCs w:val="false"/>
          <w:color w:val="000000"/>
          <w:sz w:val="17"/>
          <w:szCs w:val="17"/>
        </w:rPr>
        <w:t xml:space="preserve">Davenport, T., Guha, A., Grewal, D., &amp; Bressgott, T. (2020). </w:t>
      </w:r>
      <w:r>
        <w:rPr>
          <w:rFonts w:ascii="Arial" w:cs="Arial" w:eastAsia="Arial" w:hAnsi="Arial"/>
          <w:b w:val="false"/>
          <w:bCs w:val="false"/>
          <w:i/>
          <w:iCs/>
          <w:color w:val="000000"/>
          <w:sz w:val="17"/>
          <w:szCs w:val="17"/>
        </w:rPr>
        <w:t xml:space="preserve">How artificial intelligence will change the future of marketing. </w:t>
      </w:r>
      <w:r>
        <w:rPr>
          <w:rFonts w:ascii="Arial" w:cs="Arial" w:eastAsia="Arial" w:hAnsi="Arial"/>
          <w:b w:val="false"/>
          <w:bCs w:val="false"/>
          <w:i w:val="false"/>
          <w:iCs w:val="false"/>
          <w:color w:val="000000"/>
          <w:sz w:val="17"/>
          <w:szCs w:val="17"/>
        </w:rPr>
        <w:t xml:space="preserve">Journal of the Academy of Marketing Science, 48, 24–42.</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https://doi.org/10.1007/s11747-019-00696-0</w:t>
      </w:r>
    </w:p>
    <w:p>
      <w:pPr>
        <w:spacing w:after="160"/>
        <w:ind w:left="720" w:hanging="720"/>
        <w:jc w:val="both"/>
      </w:pPr>
      <w:r>
        <w:rPr>
          <w:rFonts w:ascii="Arial" w:cs="Arial" w:eastAsia="Arial" w:hAnsi="Arial"/>
          <w:b w:val="false"/>
          <w:bCs w:val="false"/>
          <w:i w:val="false"/>
          <w:iCs w:val="false"/>
          <w:color w:val="000000"/>
          <w:sz w:val="17"/>
          <w:szCs w:val="17"/>
        </w:rPr>
        <w:t xml:space="preserve">Duan, Y., Edwards, J. S., &amp; Dwivedi, Y. K. (2019). </w:t>
      </w:r>
      <w:r>
        <w:rPr>
          <w:rFonts w:ascii="Arial" w:cs="Arial" w:eastAsia="Arial" w:hAnsi="Arial"/>
          <w:b w:val="false"/>
          <w:bCs w:val="false"/>
          <w:i/>
          <w:iCs/>
          <w:color w:val="000000"/>
          <w:sz w:val="17"/>
          <w:szCs w:val="17"/>
        </w:rPr>
        <w:t xml:space="preserve">Artificial intelligence for decision making in the era of Big Data. </w:t>
      </w:r>
      <w:r>
        <w:rPr>
          <w:rFonts w:ascii="Arial" w:cs="Arial" w:eastAsia="Arial" w:hAnsi="Arial"/>
          <w:b w:val="false"/>
          <w:bCs w:val="false"/>
          <w:i w:val="false"/>
          <w:iCs w:val="false"/>
          <w:color w:val="000000"/>
          <w:sz w:val="17"/>
          <w:szCs w:val="17"/>
        </w:rPr>
        <w:t xml:space="preserve">International Journal of Information Management, 48, 63–71.</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https://doi.org/10.1016/j.ijinfomgt.2019.01.021</w:t>
      </w:r>
    </w:p>
    <w:p>
      <w:pPr>
        <w:spacing w:after="160"/>
        <w:ind w:left="720" w:hanging="720"/>
        <w:jc w:val="both"/>
      </w:pPr>
      <w:r>
        <w:rPr>
          <w:rFonts w:ascii="Arial" w:cs="Arial" w:eastAsia="Arial" w:hAnsi="Arial"/>
          <w:b w:val="false"/>
          <w:bCs w:val="false"/>
          <w:i w:val="false"/>
          <w:iCs w:val="false"/>
          <w:color w:val="000000"/>
          <w:sz w:val="17"/>
          <w:szCs w:val="17"/>
        </w:rPr>
        <w:t xml:space="preserve">Fildes, R., Ma, S., &amp; Kolassa, S. (2022). </w:t>
      </w:r>
      <w:r>
        <w:rPr>
          <w:rFonts w:ascii="Arial" w:cs="Arial" w:eastAsia="Arial" w:hAnsi="Arial"/>
          <w:b w:val="false"/>
          <w:bCs w:val="false"/>
          <w:i/>
          <w:iCs/>
          <w:color w:val="000000"/>
          <w:sz w:val="17"/>
          <w:szCs w:val="17"/>
        </w:rPr>
        <w:t xml:space="preserve">Retail forecasting: Research and practice. </w:t>
      </w:r>
      <w:r>
        <w:rPr>
          <w:rFonts w:ascii="Arial" w:cs="Arial" w:eastAsia="Arial" w:hAnsi="Arial"/>
          <w:b w:val="false"/>
          <w:bCs w:val="false"/>
          <w:i w:val="false"/>
          <w:iCs w:val="false"/>
          <w:color w:val="000000"/>
          <w:sz w:val="17"/>
          <w:szCs w:val="17"/>
        </w:rPr>
        <w:t xml:space="preserve">International Journal of Forecasting, 38(4), 1283–1318.</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https://doi.org/10.1016/j.ijforecast.2021.08.013</w:t>
      </w:r>
    </w:p>
    <w:p>
      <w:pPr>
        <w:spacing w:after="160"/>
        <w:ind w:left="720" w:hanging="720"/>
        <w:jc w:val="both"/>
      </w:pPr>
      <w:r>
        <w:rPr>
          <w:rFonts w:ascii="Arial" w:cs="Arial" w:eastAsia="Arial" w:hAnsi="Arial"/>
          <w:b w:val="false"/>
          <w:bCs w:val="false"/>
          <w:i w:val="false"/>
          <w:iCs w:val="false"/>
          <w:color w:val="000000"/>
          <w:sz w:val="17"/>
          <w:szCs w:val="17"/>
        </w:rPr>
        <w:t xml:space="preserve">Fischer, T., &amp; Krauss, C. (2018). </w:t>
      </w:r>
      <w:r>
        <w:rPr>
          <w:rFonts w:ascii="Arial" w:cs="Arial" w:eastAsia="Arial" w:hAnsi="Arial"/>
          <w:b w:val="false"/>
          <w:bCs w:val="false"/>
          <w:i/>
          <w:iCs/>
          <w:color w:val="000000"/>
          <w:sz w:val="17"/>
          <w:szCs w:val="17"/>
        </w:rPr>
        <w:t xml:space="preserve">Deep learning with long short-term memory networks for financial market predictions. </w:t>
      </w:r>
      <w:r>
        <w:rPr>
          <w:rFonts w:ascii="Arial" w:cs="Arial" w:eastAsia="Arial" w:hAnsi="Arial"/>
          <w:b w:val="false"/>
          <w:bCs w:val="false"/>
          <w:i w:val="false"/>
          <w:iCs w:val="false"/>
          <w:color w:val="000000"/>
          <w:sz w:val="17"/>
          <w:szCs w:val="17"/>
        </w:rPr>
        <w:t xml:space="preserve">European Journal of Operational Research, 270(2), 654–669.</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https://doi.org/10.1016/j.ejor.2017.11.054</w:t>
      </w:r>
    </w:p>
    <w:p>
      <w:pPr>
        <w:spacing w:after="160"/>
        <w:ind w:left="720" w:hanging="720"/>
        <w:jc w:val="both"/>
      </w:pPr>
      <w:r>
        <w:rPr>
          <w:rFonts w:ascii="Arial" w:cs="Arial" w:eastAsia="Arial" w:hAnsi="Arial"/>
          <w:b w:val="false"/>
          <w:bCs w:val="false"/>
          <w:i w:val="false"/>
          <w:iCs w:val="false"/>
          <w:color w:val="000000"/>
          <w:sz w:val="17"/>
          <w:szCs w:val="17"/>
        </w:rPr>
        <w:t xml:space="preserve">Hosaka, T. (2019). </w:t>
      </w:r>
      <w:r>
        <w:rPr>
          <w:rFonts w:ascii="Arial" w:cs="Arial" w:eastAsia="Arial" w:hAnsi="Arial"/>
          <w:b w:val="false"/>
          <w:bCs w:val="false"/>
          <w:i/>
          <w:iCs/>
          <w:color w:val="000000"/>
          <w:sz w:val="17"/>
          <w:szCs w:val="17"/>
        </w:rPr>
        <w:t xml:space="preserve">Bankruptcy prediction using imaged financial ratios and convolutional neural networks. </w:t>
      </w:r>
      <w:r>
        <w:rPr>
          <w:rFonts w:ascii="Arial" w:cs="Arial" w:eastAsia="Arial" w:hAnsi="Arial"/>
          <w:b w:val="false"/>
          <w:bCs w:val="false"/>
          <w:i w:val="false"/>
          <w:iCs w:val="false"/>
          <w:color w:val="000000"/>
          <w:sz w:val="17"/>
          <w:szCs w:val="17"/>
        </w:rPr>
        <w:t xml:space="preserve">Expert Systems with Applications, 117, 287–299.</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https://doi.org/10.1016/j.eswa.2018.09.039</w:t>
      </w:r>
    </w:p>
    <w:p>
      <w:pPr>
        <w:spacing w:after="160"/>
        <w:ind w:left="720" w:hanging="720"/>
        <w:jc w:val="both"/>
      </w:pPr>
      <w:r>
        <w:rPr>
          <w:rFonts w:ascii="Arial" w:cs="Arial" w:eastAsia="Arial" w:hAnsi="Arial"/>
          <w:b w:val="false"/>
          <w:bCs w:val="false"/>
          <w:i w:val="false"/>
          <w:iCs w:val="false"/>
          <w:color w:val="000000"/>
          <w:sz w:val="17"/>
          <w:szCs w:val="17"/>
        </w:rPr>
        <w:t xml:space="preserve">ISO/IEC 25010. (2011). </w:t>
      </w:r>
      <w:r>
        <w:rPr>
          <w:rFonts w:ascii="Arial" w:cs="Arial" w:eastAsia="Arial" w:hAnsi="Arial"/>
          <w:b w:val="false"/>
          <w:bCs w:val="false"/>
          <w:i/>
          <w:iCs/>
          <w:color w:val="000000"/>
          <w:sz w:val="17"/>
          <w:szCs w:val="17"/>
        </w:rPr>
        <w:t xml:space="preserve">Systems and software engineering — Systems and software Quality Requirements and Evaluation (SQuaRE). </w:t>
      </w:r>
      <w:r>
        <w:rPr>
          <w:rFonts w:ascii="Arial" w:cs="Arial" w:eastAsia="Arial" w:hAnsi="Arial"/>
          <w:b w:val="false"/>
          <w:bCs w:val="false"/>
          <w:i w:val="false"/>
          <w:iCs w:val="false"/>
          <w:color w:val="000000"/>
          <w:sz w:val="17"/>
          <w:szCs w:val="17"/>
        </w:rPr>
        <w:t xml:space="preserve">International Standard ISO/IEC 25010:2011.</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https://www.iso.org/standard/35733.html</w:t>
      </w:r>
    </w:p>
    <w:p>
      <w:pPr>
        <w:spacing w:after="160"/>
        <w:ind w:left="720" w:hanging="720"/>
        <w:jc w:val="both"/>
      </w:pPr>
      <w:r>
        <w:rPr>
          <w:rFonts w:ascii="Arial" w:cs="Arial" w:eastAsia="Arial" w:hAnsi="Arial"/>
          <w:b w:val="false"/>
          <w:bCs w:val="false"/>
          <w:i w:val="false"/>
          <w:iCs w:val="false"/>
          <w:color w:val="000000"/>
          <w:sz w:val="17"/>
          <w:szCs w:val="17"/>
        </w:rPr>
        <w:t xml:space="preserve">Jamshidi, P., Pahl, C., Mendonca, N. C., Lewis, J., &amp; Tilkov, S. (2018). </w:t>
      </w:r>
      <w:r>
        <w:rPr>
          <w:rFonts w:ascii="Arial" w:cs="Arial" w:eastAsia="Arial" w:hAnsi="Arial"/>
          <w:b w:val="false"/>
          <w:bCs w:val="false"/>
          <w:i/>
          <w:iCs/>
          <w:color w:val="000000"/>
          <w:sz w:val="17"/>
          <w:szCs w:val="17"/>
        </w:rPr>
        <w:t xml:space="preserve">Microservices: The journey so far and challenges ahead. </w:t>
      </w:r>
      <w:r>
        <w:rPr>
          <w:rFonts w:ascii="Arial" w:cs="Arial" w:eastAsia="Arial" w:hAnsi="Arial"/>
          <w:b w:val="false"/>
          <w:bCs w:val="false"/>
          <w:i w:val="false"/>
          <w:iCs w:val="false"/>
          <w:color w:val="000000"/>
          <w:sz w:val="17"/>
          <w:szCs w:val="17"/>
        </w:rPr>
        <w:t xml:space="preserve">IEEE Software, 35(3), 24–35.</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https://doi.org/10.1109/MS.2018.2141039</w:t>
      </w:r>
    </w:p>
    <w:p>
      <w:pPr>
        <w:spacing w:after="160"/>
        <w:ind w:left="720" w:hanging="720"/>
        <w:jc w:val="both"/>
      </w:pPr>
      <w:r>
        <w:rPr>
          <w:rFonts w:ascii="Arial" w:cs="Arial" w:eastAsia="Arial" w:hAnsi="Arial"/>
          <w:b w:val="false"/>
          <w:bCs w:val="false"/>
          <w:i w:val="false"/>
          <w:iCs w:val="false"/>
          <w:color w:val="000000"/>
          <w:sz w:val="17"/>
          <w:szCs w:val="17"/>
        </w:rPr>
        <w:t xml:space="preserve">Khalid, U., Ur Rehman, A., Iqbal, M. J., Akhtar, S., Nazir, U., &amp; Kazmi, S. M. A. (2022). </w:t>
      </w:r>
      <w:r>
        <w:rPr>
          <w:rFonts w:ascii="Arial" w:cs="Arial" w:eastAsia="Arial" w:hAnsi="Arial"/>
          <w:b w:val="false"/>
          <w:bCs w:val="false"/>
          <w:i/>
          <w:iCs/>
          <w:color w:val="000000"/>
          <w:sz w:val="17"/>
          <w:szCs w:val="17"/>
        </w:rPr>
        <w:t xml:space="preserve">Predicting risk through artificial intelligence based on machine learning algorithms. </w:t>
      </w:r>
      <w:r>
        <w:rPr>
          <w:rFonts w:ascii="Arial" w:cs="Arial" w:eastAsia="Arial" w:hAnsi="Arial"/>
          <w:b w:val="false"/>
          <w:bCs w:val="false"/>
          <w:i w:val="false"/>
          <w:iCs w:val="false"/>
          <w:color w:val="000000"/>
          <w:sz w:val="17"/>
          <w:szCs w:val="17"/>
        </w:rPr>
        <w:t xml:space="preserve">Complexity, 2022, 6858916.</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https://doi.org/10.1155/2022/6858916</w:t>
      </w:r>
    </w:p>
    <w:p>
      <w:pPr>
        <w:spacing w:after="160"/>
        <w:ind w:left="720" w:hanging="720"/>
        <w:jc w:val="both"/>
      </w:pPr>
      <w:r>
        <w:rPr>
          <w:rFonts w:ascii="Arial" w:cs="Arial" w:eastAsia="Arial" w:hAnsi="Arial"/>
          <w:b w:val="false"/>
          <w:bCs w:val="false"/>
          <w:i w:val="false"/>
          <w:iCs w:val="false"/>
          <w:color w:val="000000"/>
          <w:sz w:val="17"/>
          <w:szCs w:val="17"/>
        </w:rPr>
        <w:t xml:space="preserve">Kim, M. J., Cho, S. W., &amp; Ryu, I. (2020). </w:t>
      </w:r>
      <w:r>
        <w:rPr>
          <w:rFonts w:ascii="Arial" w:cs="Arial" w:eastAsia="Arial" w:hAnsi="Arial"/>
          <w:b w:val="false"/>
          <w:bCs w:val="false"/>
          <w:i/>
          <w:iCs/>
          <w:color w:val="000000"/>
          <w:sz w:val="17"/>
          <w:szCs w:val="17"/>
        </w:rPr>
        <w:t xml:space="preserve">Corporate default predictions using machine learning: Literature review. </w:t>
      </w:r>
      <w:r>
        <w:rPr>
          <w:rFonts w:ascii="Arial" w:cs="Arial" w:eastAsia="Arial" w:hAnsi="Arial"/>
          <w:b w:val="false"/>
          <w:bCs w:val="false"/>
          <w:i w:val="false"/>
          <w:iCs w:val="false"/>
          <w:color w:val="000000"/>
          <w:sz w:val="17"/>
          <w:szCs w:val="17"/>
        </w:rPr>
        <w:t xml:space="preserve">Sustainability, 12(16), 6325.</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https://doi.org/10.3390/su12166325</w:t>
      </w:r>
    </w:p>
    <w:p>
      <w:pPr>
        <w:spacing w:after="160"/>
        <w:ind w:left="720" w:hanging="720"/>
        <w:jc w:val="both"/>
      </w:pPr>
      <w:r>
        <w:rPr>
          <w:rFonts w:ascii="Arial" w:cs="Arial" w:eastAsia="Arial" w:hAnsi="Arial"/>
          <w:b w:val="false"/>
          <w:bCs w:val="false"/>
          <w:i w:val="false"/>
          <w:iCs w:val="false"/>
          <w:color w:val="000000"/>
          <w:sz w:val="17"/>
          <w:szCs w:val="17"/>
        </w:rPr>
        <w:t xml:space="preserve">Li, F. (2020). </w:t>
      </w:r>
      <w:r>
        <w:rPr>
          <w:rFonts w:ascii="Arial" w:cs="Arial" w:eastAsia="Arial" w:hAnsi="Arial"/>
          <w:b w:val="false"/>
          <w:bCs w:val="false"/>
          <w:i/>
          <w:iCs/>
          <w:color w:val="000000"/>
          <w:sz w:val="17"/>
          <w:szCs w:val="17"/>
        </w:rPr>
        <w:t xml:space="preserve">The digital transformation of business models in the creative industries. </w:t>
      </w:r>
      <w:r>
        <w:rPr>
          <w:rFonts w:ascii="Arial" w:cs="Arial" w:eastAsia="Arial" w:hAnsi="Arial"/>
          <w:b w:val="false"/>
          <w:bCs w:val="false"/>
          <w:i w:val="false"/>
          <w:iCs w:val="false"/>
          <w:color w:val="000000"/>
          <w:sz w:val="17"/>
          <w:szCs w:val="17"/>
        </w:rPr>
        <w:t xml:space="preserve">British Journal of Management, 31(3), 745–763.</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https://doi.org/10.1111/1467-8551.12361</w:t>
      </w:r>
    </w:p>
    <w:p>
      <w:pPr>
        <w:spacing w:after="160"/>
        <w:ind w:left="720" w:hanging="720"/>
        <w:jc w:val="both"/>
      </w:pPr>
      <w:r>
        <w:rPr>
          <w:rFonts w:ascii="Arial" w:cs="Arial" w:eastAsia="Arial" w:hAnsi="Arial"/>
          <w:b w:val="false"/>
          <w:bCs w:val="false"/>
          <w:i w:val="false"/>
          <w:iCs w:val="false"/>
          <w:color w:val="000000"/>
          <w:sz w:val="17"/>
          <w:szCs w:val="17"/>
        </w:rPr>
        <w:t xml:space="preserve">Lwakatare, L. E., Raj, A., Crnkovic, I., Bosch, J., &amp; Olsson, H. H. (2020). </w:t>
      </w:r>
      <w:r>
        <w:rPr>
          <w:rFonts w:ascii="Arial" w:cs="Arial" w:eastAsia="Arial" w:hAnsi="Arial"/>
          <w:b w:val="false"/>
          <w:bCs w:val="false"/>
          <w:i/>
          <w:iCs/>
          <w:color w:val="000000"/>
          <w:sz w:val="17"/>
          <w:szCs w:val="17"/>
        </w:rPr>
        <w:t xml:space="preserve">Large-scale machine learning systems in real-world industrial settings: A review of challenges and solutions. </w:t>
      </w:r>
      <w:r>
        <w:rPr>
          <w:rFonts w:ascii="Arial" w:cs="Arial" w:eastAsia="Arial" w:hAnsi="Arial"/>
          <w:b w:val="false"/>
          <w:bCs w:val="false"/>
          <w:i w:val="false"/>
          <w:iCs w:val="false"/>
          <w:color w:val="000000"/>
          <w:sz w:val="17"/>
          <w:szCs w:val="17"/>
        </w:rPr>
        <w:t xml:space="preserve">Information and Software Technology, 127, 106368.</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https://doi.org/10.1016/j.infsof.2020.106368</w:t>
      </w:r>
    </w:p>
    <w:p>
      <w:pPr>
        <w:spacing w:after="160"/>
        <w:ind w:left="720" w:hanging="720"/>
        <w:jc w:val="both"/>
      </w:pPr>
      <w:r>
        <w:rPr>
          <w:rFonts w:ascii="Arial" w:cs="Arial" w:eastAsia="Arial" w:hAnsi="Arial"/>
          <w:b w:val="false"/>
          <w:bCs w:val="false"/>
          <w:i w:val="false"/>
          <w:iCs w:val="false"/>
          <w:color w:val="000000"/>
          <w:sz w:val="17"/>
          <w:szCs w:val="17"/>
        </w:rPr>
        <w:t xml:space="preserve">Makridakis, S., Spiliotis, E., &amp; Assimakopoulos, V. (2018). </w:t>
      </w:r>
      <w:r>
        <w:rPr>
          <w:rFonts w:ascii="Arial" w:cs="Arial" w:eastAsia="Arial" w:hAnsi="Arial"/>
          <w:b w:val="false"/>
          <w:bCs w:val="false"/>
          <w:i/>
          <w:iCs/>
          <w:color w:val="000000"/>
          <w:sz w:val="17"/>
          <w:szCs w:val="17"/>
        </w:rPr>
        <w:t xml:space="preserve">Statistical and Machine Learning forecasting methods: Concerns and ways forward. </w:t>
      </w:r>
      <w:r>
        <w:rPr>
          <w:rFonts w:ascii="Arial" w:cs="Arial" w:eastAsia="Arial" w:hAnsi="Arial"/>
          <w:b w:val="false"/>
          <w:bCs w:val="false"/>
          <w:i w:val="false"/>
          <w:iCs w:val="false"/>
          <w:color w:val="000000"/>
          <w:sz w:val="17"/>
          <w:szCs w:val="17"/>
        </w:rPr>
        <w:t xml:space="preserve">PLOS ONE, 13(3), e0194889.</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https://doi.org/10.1371/journal.pone.0194889</w:t>
      </w:r>
    </w:p>
    <w:p>
      <w:pPr>
        <w:spacing w:after="160"/>
        <w:ind w:left="720" w:hanging="720"/>
        <w:jc w:val="both"/>
      </w:pPr>
      <w:r>
        <w:rPr>
          <w:rFonts w:ascii="Arial" w:cs="Arial" w:eastAsia="Arial" w:hAnsi="Arial"/>
          <w:b w:val="false"/>
          <w:bCs w:val="false"/>
          <w:i w:val="false"/>
          <w:iCs w:val="false"/>
          <w:color w:val="000000"/>
          <w:sz w:val="17"/>
          <w:szCs w:val="17"/>
        </w:rPr>
        <w:t xml:space="preserve">Nambisan, S., Lyytinen, K., Majchrzak, A., &amp; Song, M. (2017). </w:t>
      </w:r>
      <w:r>
        <w:rPr>
          <w:rFonts w:ascii="Arial" w:cs="Arial" w:eastAsia="Arial" w:hAnsi="Arial"/>
          <w:b w:val="false"/>
          <w:bCs w:val="false"/>
          <w:i/>
          <w:iCs/>
          <w:color w:val="000000"/>
          <w:sz w:val="17"/>
          <w:szCs w:val="17"/>
        </w:rPr>
        <w:t xml:space="preserve">Digital innovation management: Reinventing innovation management research in a digital world. </w:t>
      </w:r>
      <w:r>
        <w:rPr>
          <w:rFonts w:ascii="Arial" w:cs="Arial" w:eastAsia="Arial" w:hAnsi="Arial"/>
          <w:b w:val="false"/>
          <w:bCs w:val="false"/>
          <w:i w:val="false"/>
          <w:iCs w:val="false"/>
          <w:color w:val="000000"/>
          <w:sz w:val="17"/>
          <w:szCs w:val="17"/>
        </w:rPr>
        <w:t xml:space="preserve">MIS Quarterly, 41(1), 223–238.</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https://doi.org/10.25300/MISQ/2017/41.1.03</w:t>
      </w:r>
    </w:p>
    <w:p>
      <w:pPr>
        <w:spacing w:after="160"/>
        <w:ind w:left="720" w:hanging="720"/>
        <w:jc w:val="both"/>
      </w:pPr>
      <w:r>
        <w:rPr>
          <w:rFonts w:ascii="Arial" w:cs="Arial" w:eastAsia="Arial" w:hAnsi="Arial"/>
          <w:b w:val="false"/>
          <w:bCs w:val="false"/>
          <w:i w:val="false"/>
          <w:iCs w:val="false"/>
          <w:color w:val="000000"/>
          <w:sz w:val="17"/>
          <w:szCs w:val="17"/>
        </w:rPr>
        <w:t xml:space="preserve">Ozbayoglu, A. M., Gudelek, M. U., &amp; Sezer, O. B. (2020). </w:t>
      </w:r>
      <w:r>
        <w:rPr>
          <w:rFonts w:ascii="Arial" w:cs="Arial" w:eastAsia="Arial" w:hAnsi="Arial"/>
          <w:b w:val="false"/>
          <w:bCs w:val="false"/>
          <w:i/>
          <w:iCs/>
          <w:color w:val="000000"/>
          <w:sz w:val="17"/>
          <w:szCs w:val="17"/>
        </w:rPr>
        <w:t xml:space="preserve">Deep learning for financial applications: A survey. </w:t>
      </w:r>
      <w:r>
        <w:rPr>
          <w:rFonts w:ascii="Arial" w:cs="Arial" w:eastAsia="Arial" w:hAnsi="Arial"/>
          <w:b w:val="false"/>
          <w:bCs w:val="false"/>
          <w:i w:val="false"/>
          <w:iCs w:val="false"/>
          <w:color w:val="000000"/>
          <w:sz w:val="17"/>
          <w:szCs w:val="17"/>
        </w:rPr>
        <w:t xml:space="preserve">Applied Soft Computing, 93, 106384.</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https://doi.org/10.1016/j.asoc.2020.106384</w:t>
      </w:r>
    </w:p>
    <w:p>
      <w:pPr>
        <w:spacing w:after="160"/>
        <w:ind w:left="720" w:hanging="720"/>
        <w:jc w:val="both"/>
      </w:pPr>
      <w:r>
        <w:rPr>
          <w:rFonts w:ascii="Arial" w:cs="Arial" w:eastAsia="Arial" w:hAnsi="Arial"/>
          <w:b w:val="false"/>
          <w:bCs w:val="false"/>
          <w:i w:val="false"/>
          <w:iCs w:val="false"/>
          <w:color w:val="000000"/>
          <w:sz w:val="17"/>
          <w:szCs w:val="17"/>
        </w:rPr>
        <w:t xml:space="preserve">Rahayu, R., &amp; Day, J. (2015). </w:t>
      </w:r>
      <w:r>
        <w:rPr>
          <w:rFonts w:ascii="Arial" w:cs="Arial" w:eastAsia="Arial" w:hAnsi="Arial"/>
          <w:b w:val="false"/>
          <w:bCs w:val="false"/>
          <w:i/>
          <w:iCs/>
          <w:color w:val="000000"/>
          <w:sz w:val="17"/>
          <w:szCs w:val="17"/>
        </w:rPr>
        <w:t xml:space="preserve">Determinant factors of e-commerce adoption by SMEs in developing country: Evidence from Indonesia. </w:t>
      </w:r>
      <w:r>
        <w:rPr>
          <w:rFonts w:ascii="Arial" w:cs="Arial" w:eastAsia="Arial" w:hAnsi="Arial"/>
          <w:b w:val="false"/>
          <w:bCs w:val="false"/>
          <w:i w:val="false"/>
          <w:iCs w:val="false"/>
          <w:color w:val="000000"/>
          <w:sz w:val="17"/>
          <w:szCs w:val="17"/>
        </w:rPr>
        <w:t xml:space="preserve">Procedia — Social and Behavioral Sciences, 195, 142–150.</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https://doi.org/10.1016/j.sbspro.2015.06.336</w:t>
      </w:r>
    </w:p>
    <w:p>
      <w:pPr>
        <w:spacing w:after="160"/>
        <w:ind w:left="720" w:hanging="720"/>
        <w:jc w:val="both"/>
      </w:pPr>
      <w:r>
        <w:rPr>
          <w:rFonts w:ascii="Arial" w:cs="Arial" w:eastAsia="Arial" w:hAnsi="Arial"/>
          <w:b w:val="false"/>
          <w:bCs w:val="false"/>
          <w:i w:val="false"/>
          <w:iCs w:val="false"/>
          <w:color w:val="000000"/>
          <w:sz w:val="17"/>
          <w:szCs w:val="17"/>
        </w:rPr>
        <w:t xml:space="preserve">Saltz, J. S., Shamshurin, I., &amp; Crowston, K. (2017). </w:t>
      </w:r>
      <w:r>
        <w:rPr>
          <w:rFonts w:ascii="Arial" w:cs="Arial" w:eastAsia="Arial" w:hAnsi="Arial"/>
          <w:b w:val="false"/>
          <w:bCs w:val="false"/>
          <w:i/>
          <w:iCs/>
          <w:color w:val="000000"/>
          <w:sz w:val="17"/>
          <w:szCs w:val="17"/>
        </w:rPr>
        <w:t xml:space="preserve">Comparing data science project management methodologies via a controlled experiment. </w:t>
      </w:r>
      <w:r>
        <w:rPr>
          <w:rFonts w:ascii="Arial" w:cs="Arial" w:eastAsia="Arial" w:hAnsi="Arial"/>
          <w:b w:val="false"/>
          <w:bCs w:val="false"/>
          <w:i w:val="false"/>
          <w:iCs w:val="false"/>
          <w:color w:val="000000"/>
          <w:sz w:val="17"/>
          <w:szCs w:val="17"/>
        </w:rPr>
        <w:t xml:space="preserve">Proceedings of the 50th Hawaii International Conference on System Sciences (HICSS-50), 1013–1022.</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https://doi.org/10.24251/hicss.2017.120</w:t>
      </w:r>
    </w:p>
    <w:p>
      <w:pPr>
        <w:spacing w:after="160"/>
        <w:ind w:left="720" w:hanging="720"/>
        <w:jc w:val="both"/>
      </w:pPr>
      <w:r>
        <w:rPr>
          <w:rFonts w:ascii="Arial" w:cs="Arial" w:eastAsia="Arial" w:hAnsi="Arial"/>
          <w:b w:val="false"/>
          <w:bCs w:val="false"/>
          <w:i w:val="false"/>
          <w:iCs w:val="false"/>
          <w:color w:val="000000"/>
          <w:sz w:val="17"/>
          <w:szCs w:val="17"/>
        </w:rPr>
        <w:t xml:space="preserve">Schröer, C., Kruse, F., &amp; Gómez, J. M. (2021). </w:t>
      </w:r>
      <w:r>
        <w:rPr>
          <w:rFonts w:ascii="Arial" w:cs="Arial" w:eastAsia="Arial" w:hAnsi="Arial"/>
          <w:b w:val="false"/>
          <w:bCs w:val="false"/>
          <w:i/>
          <w:iCs/>
          <w:color w:val="000000"/>
          <w:sz w:val="17"/>
          <w:szCs w:val="17"/>
        </w:rPr>
        <w:t xml:space="preserve">A systematic literature review on applying CRISP-DM process model. </w:t>
      </w:r>
      <w:r>
        <w:rPr>
          <w:rFonts w:ascii="Arial" w:cs="Arial" w:eastAsia="Arial" w:hAnsi="Arial"/>
          <w:b w:val="false"/>
          <w:bCs w:val="false"/>
          <w:i w:val="false"/>
          <w:iCs w:val="false"/>
          <w:color w:val="000000"/>
          <w:sz w:val="17"/>
          <w:szCs w:val="17"/>
        </w:rPr>
        <w:t xml:space="preserve">Procedia Computer Science, 181, 526–534.</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https://doi.org/10.1016/j.procs.2021.01.199</w:t>
      </w:r>
    </w:p>
    <w:p>
      <w:pPr>
        <w:spacing w:after="160"/>
        <w:ind w:left="720" w:hanging="720"/>
        <w:jc w:val="both"/>
      </w:pPr>
      <w:r>
        <w:rPr>
          <w:rFonts w:ascii="Arial" w:cs="Arial" w:eastAsia="Arial" w:hAnsi="Arial"/>
          <w:b w:val="false"/>
          <w:bCs w:val="false"/>
          <w:i w:val="false"/>
          <w:iCs w:val="false"/>
          <w:color w:val="000000"/>
          <w:sz w:val="17"/>
          <w:szCs w:val="17"/>
        </w:rPr>
        <w:t xml:space="preserve">Schwaber, K., &amp; Sutherland, J. (2020). </w:t>
      </w:r>
      <w:r>
        <w:rPr>
          <w:rFonts w:ascii="Arial" w:cs="Arial" w:eastAsia="Arial" w:hAnsi="Arial"/>
          <w:b w:val="false"/>
          <w:bCs w:val="false"/>
          <w:i/>
          <w:iCs/>
          <w:color w:val="000000"/>
          <w:sz w:val="17"/>
          <w:szCs w:val="17"/>
        </w:rPr>
        <w:t xml:space="preserve">The Scrum guide: The definitive guide to Scrum: The rules of the game. </w:t>
      </w:r>
      <w:r>
        <w:rPr>
          <w:rFonts w:ascii="Arial" w:cs="Arial" w:eastAsia="Arial" w:hAnsi="Arial"/>
          <w:b w:val="false"/>
          <w:bCs w:val="false"/>
          <w:i w:val="false"/>
          <w:iCs w:val="false"/>
          <w:color w:val="000000"/>
          <w:sz w:val="17"/>
          <w:szCs w:val="17"/>
        </w:rPr>
        <w:t xml:space="preserve">Scrum.org.</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https://scrumguides.org/scrum-guide.html</w:t>
      </w:r>
    </w:p>
    <w:p>
      <w:pPr>
        <w:spacing w:after="160"/>
        <w:ind w:left="720" w:hanging="720"/>
        <w:jc w:val="both"/>
      </w:pPr>
      <w:r>
        <w:rPr>
          <w:rFonts w:ascii="Arial" w:cs="Arial" w:eastAsia="Arial" w:hAnsi="Arial"/>
          <w:b w:val="false"/>
          <w:bCs w:val="false"/>
          <w:i w:val="false"/>
          <w:iCs w:val="false"/>
          <w:color w:val="000000"/>
          <w:sz w:val="17"/>
          <w:szCs w:val="17"/>
        </w:rPr>
        <w:t xml:space="preserve">Shrestha, Y. R., Ben-Menahem, S. M., &amp; Von Krogh, G. (2019). </w:t>
      </w:r>
      <w:r>
        <w:rPr>
          <w:rFonts w:ascii="Arial" w:cs="Arial" w:eastAsia="Arial" w:hAnsi="Arial"/>
          <w:b w:val="false"/>
          <w:bCs w:val="false"/>
          <w:i/>
          <w:iCs/>
          <w:color w:val="000000"/>
          <w:sz w:val="17"/>
          <w:szCs w:val="17"/>
        </w:rPr>
        <w:t xml:space="preserve">Organizational decision-making structures in the age of artificial intelligence. </w:t>
      </w:r>
      <w:r>
        <w:rPr>
          <w:rFonts w:ascii="Arial" w:cs="Arial" w:eastAsia="Arial" w:hAnsi="Arial"/>
          <w:b w:val="false"/>
          <w:bCs w:val="false"/>
          <w:i w:val="false"/>
          <w:iCs w:val="false"/>
          <w:color w:val="000000"/>
          <w:sz w:val="17"/>
          <w:szCs w:val="17"/>
        </w:rPr>
        <w:t xml:space="preserve">California Management Review, 61(4), 66–83.</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https://doi.org/10.1177/0008125619862137</w:t>
      </w:r>
    </w:p>
    <w:p>
      <w:pPr>
        <w:spacing w:after="160"/>
        <w:ind w:left="720" w:hanging="720"/>
        <w:jc w:val="both"/>
      </w:pPr>
      <w:r>
        <w:rPr>
          <w:rFonts w:ascii="Arial" w:cs="Arial" w:eastAsia="Arial" w:hAnsi="Arial"/>
          <w:b w:val="false"/>
          <w:bCs w:val="false"/>
          <w:i w:val="false"/>
          <w:iCs w:val="false"/>
          <w:color w:val="000000"/>
          <w:sz w:val="17"/>
          <w:szCs w:val="17"/>
        </w:rPr>
        <w:t xml:space="preserve">Soto-Acosta, P. (2020). </w:t>
      </w:r>
      <w:r>
        <w:rPr>
          <w:rFonts w:ascii="Arial" w:cs="Arial" w:eastAsia="Arial" w:hAnsi="Arial"/>
          <w:b w:val="false"/>
          <w:bCs w:val="false"/>
          <w:i/>
          <w:iCs/>
          <w:color w:val="000000"/>
          <w:sz w:val="17"/>
          <w:szCs w:val="17"/>
        </w:rPr>
        <w:t xml:space="preserve">COVID-19 pandemic: Shifting digital transformation to a high-speed gear in SMEs. </w:t>
      </w:r>
      <w:r>
        <w:rPr>
          <w:rFonts w:ascii="Arial" w:cs="Arial" w:eastAsia="Arial" w:hAnsi="Arial"/>
          <w:b w:val="false"/>
          <w:bCs w:val="false"/>
          <w:i w:val="false"/>
          <w:iCs w:val="false"/>
          <w:color w:val="000000"/>
          <w:sz w:val="17"/>
          <w:szCs w:val="17"/>
        </w:rPr>
        <w:t xml:space="preserve">Information Systems Management, 37(4), 353–365.</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https://doi.org/10.1080/10580530.2020.1798662</w:t>
      </w:r>
    </w:p>
    <w:p>
      <w:pPr>
        <w:spacing w:after="160"/>
        <w:ind w:left="720" w:hanging="720"/>
        <w:jc w:val="both"/>
      </w:pPr>
      <w:r>
        <w:rPr>
          <w:rFonts w:ascii="Arial" w:cs="Arial" w:eastAsia="Arial" w:hAnsi="Arial"/>
          <w:b w:val="false"/>
          <w:bCs w:val="false"/>
          <w:i w:val="false"/>
          <w:iCs w:val="false"/>
          <w:color w:val="000000"/>
          <w:sz w:val="17"/>
          <w:szCs w:val="17"/>
        </w:rPr>
        <w:t xml:space="preserve">Studer, S., Bui, T. B., Drescher, C., Hanuschkin, A., Winkler, L., Peters, S., &amp; Mueller, K. R. (2021). </w:t>
      </w:r>
      <w:r>
        <w:rPr>
          <w:rFonts w:ascii="Arial" w:cs="Arial" w:eastAsia="Arial" w:hAnsi="Arial"/>
          <w:b w:val="false"/>
          <w:bCs w:val="false"/>
          <w:i/>
          <w:iCs/>
          <w:color w:val="000000"/>
          <w:sz w:val="17"/>
          <w:szCs w:val="17"/>
        </w:rPr>
        <w:t xml:space="preserve">Towards CRISP-ML(Q): A machine learning process model with quality assurance methodology. </w:t>
      </w:r>
      <w:r>
        <w:rPr>
          <w:rFonts w:ascii="Arial" w:cs="Arial" w:eastAsia="Arial" w:hAnsi="Arial"/>
          <w:b w:val="false"/>
          <w:bCs w:val="false"/>
          <w:i w:val="false"/>
          <w:iCs w:val="false"/>
          <w:color w:val="000000"/>
          <w:sz w:val="17"/>
          <w:szCs w:val="17"/>
        </w:rPr>
        <w:t xml:space="preserve">Machine Learning and Knowledge Extraction, 3(2), 392–413.</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https://doi.org/10.3390/make3020020</w:t>
      </w:r>
    </w:p>
    <w:p>
      <w:pPr>
        <w:spacing w:after="160"/>
        <w:ind w:left="720" w:hanging="720"/>
        <w:jc w:val="both"/>
      </w:pPr>
      <w:r>
        <w:rPr>
          <w:rFonts w:ascii="Arial" w:cs="Arial" w:eastAsia="Arial" w:hAnsi="Arial"/>
          <w:b w:val="false"/>
          <w:bCs w:val="false"/>
          <w:i w:val="false"/>
          <w:iCs w:val="false"/>
          <w:color w:val="000000"/>
          <w:sz w:val="17"/>
          <w:szCs w:val="17"/>
        </w:rPr>
        <w:t xml:space="preserve">Syam, N., &amp; Sharma, A. (2018). </w:t>
      </w:r>
      <w:r>
        <w:rPr>
          <w:rFonts w:ascii="Arial" w:cs="Arial" w:eastAsia="Arial" w:hAnsi="Arial"/>
          <w:b w:val="false"/>
          <w:bCs w:val="false"/>
          <w:i/>
          <w:iCs/>
          <w:color w:val="000000"/>
          <w:sz w:val="17"/>
          <w:szCs w:val="17"/>
        </w:rPr>
        <w:t xml:space="preserve">Waiting for a sales renaissance in the fourth industrial revolution: Machine learning and artificial intelligence in sales research and practice. </w:t>
      </w:r>
      <w:r>
        <w:rPr>
          <w:rFonts w:ascii="Arial" w:cs="Arial" w:eastAsia="Arial" w:hAnsi="Arial"/>
          <w:b w:val="false"/>
          <w:bCs w:val="false"/>
          <w:i w:val="false"/>
          <w:iCs w:val="false"/>
          <w:color w:val="000000"/>
          <w:sz w:val="17"/>
          <w:szCs w:val="17"/>
        </w:rPr>
        <w:t xml:space="preserve">Industrial Marketing Management, 69, 135–146.</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https://doi.org/10.1016/j.indmarman.2017.12.019</w:t>
      </w:r>
    </w:p>
    <w:p>
      <w:pPr>
        <w:spacing w:after="160"/>
        <w:ind w:left="720" w:hanging="720"/>
        <w:jc w:val="both"/>
      </w:pPr>
      <w:r>
        <w:rPr>
          <w:rFonts w:ascii="Arial" w:cs="Arial" w:eastAsia="Arial" w:hAnsi="Arial"/>
          <w:b w:val="false"/>
          <w:bCs w:val="false"/>
          <w:i w:val="false"/>
          <w:iCs w:val="false"/>
          <w:color w:val="000000"/>
          <w:sz w:val="17"/>
          <w:szCs w:val="17"/>
        </w:rPr>
        <w:t xml:space="preserve">Verhoef, P. C., Broekhuizen, T., Bart, Y., Bhattacharya, A., Dong, J. Q., Fabian, N., &amp; Haenlein, M. (2021). </w:t>
      </w:r>
      <w:r>
        <w:rPr>
          <w:rFonts w:ascii="Arial" w:cs="Arial" w:eastAsia="Arial" w:hAnsi="Arial"/>
          <w:b w:val="false"/>
          <w:bCs w:val="false"/>
          <w:i/>
          <w:iCs/>
          <w:color w:val="000000"/>
          <w:sz w:val="17"/>
          <w:szCs w:val="17"/>
        </w:rPr>
        <w:t xml:space="preserve">Digital transformation: A multidisciplinary reflection and research agenda. </w:t>
      </w:r>
      <w:r>
        <w:rPr>
          <w:rFonts w:ascii="Arial" w:cs="Arial" w:eastAsia="Arial" w:hAnsi="Arial"/>
          <w:b w:val="false"/>
          <w:bCs w:val="false"/>
          <w:i w:val="false"/>
          <w:iCs w:val="false"/>
          <w:color w:val="000000"/>
          <w:sz w:val="17"/>
          <w:szCs w:val="17"/>
        </w:rPr>
        <w:t xml:space="preserve">Journal of Business Research, 122, 889–901.</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https://doi.org/10.1016/j.jbusres.2019.09.022</w:t>
      </w:r>
    </w:p>
    <w:p>
      <w:pPr>
        <w:spacing w:after="160"/>
        <w:ind w:left="720" w:hanging="720"/>
        <w:jc w:val="both"/>
      </w:pPr>
      <w:r>
        <w:rPr>
          <w:rFonts w:ascii="Arial" w:cs="Arial" w:eastAsia="Arial" w:hAnsi="Arial"/>
          <w:b w:val="false"/>
          <w:bCs w:val="false"/>
          <w:i w:val="false"/>
          <w:iCs w:val="false"/>
          <w:color w:val="000000"/>
          <w:sz w:val="17"/>
          <w:szCs w:val="17"/>
        </w:rPr>
        <w:t xml:space="preserve">Wamba, S. F., Gunasekaran, A., Akter, S., Ren, S. J. F., Dubey, R., &amp; Childe, S. J. (2017). </w:t>
      </w:r>
      <w:r>
        <w:rPr>
          <w:rFonts w:ascii="Arial" w:cs="Arial" w:eastAsia="Arial" w:hAnsi="Arial"/>
          <w:b w:val="false"/>
          <w:bCs w:val="false"/>
          <w:i/>
          <w:iCs/>
          <w:color w:val="000000"/>
          <w:sz w:val="17"/>
          <w:szCs w:val="17"/>
        </w:rPr>
        <w:t xml:space="preserve">Big data analytics and firm performance: Effects of dynamic capabilities. </w:t>
      </w:r>
      <w:r>
        <w:rPr>
          <w:rFonts w:ascii="Arial" w:cs="Arial" w:eastAsia="Arial" w:hAnsi="Arial"/>
          <w:b w:val="false"/>
          <w:bCs w:val="false"/>
          <w:i w:val="false"/>
          <w:iCs w:val="false"/>
          <w:color w:val="000000"/>
          <w:sz w:val="17"/>
          <w:szCs w:val="17"/>
        </w:rPr>
        <w:t xml:space="preserve">Journal of Business Research, 70, 356–365.</w:t>
      </w:r>
      <w:r>
        <w:rPr>
          <w:rFonts w:ascii="Arial" w:cs="Arial" w:eastAsia="Arial" w:hAnsi="Arial"/>
          <w:b w:val="false"/>
          <w:bCs w:val="false"/>
          <w:i w:val="false"/>
          <w:iCs w:val="false"/>
          <w:color w:val="000000"/>
          <w:sz w:val="17"/>
          <w:szCs w:val="17"/>
        </w:rPr>
        <w:t xml:space="preserve"> </w:t>
      </w:r>
      <w:r>
        <w:rPr>
          <w:rFonts w:ascii="Arial" w:cs="Arial" w:eastAsia="Arial" w:hAnsi="Arial"/>
          <w:color w:val="2E75B6"/>
          <w:sz w:val="17"/>
          <w:szCs w:val="17"/>
        </w:rPr>
        <w:t xml:space="preserve">https://doi.org/10.1016/j.jbusres.2016.08.009</w:t>
      </w:r>
    </w:p>
    <w:p>
      <w:pPr>
        <w:spacing w:after="160"/>
        <w:ind w:left="720" w:hanging="720"/>
        <w:jc w:val="both"/>
      </w:pPr>
      <w:r>
        <w:rPr>
          <w:rFonts w:ascii="Arial" w:cs="Arial" w:eastAsia="Arial" w:hAnsi="Arial"/>
          <w:b w:val="false"/>
          <w:bCs w:val="false"/>
          <w:i w:val="false"/>
          <w:iCs w:val="false"/>
          <w:color w:val="000000"/>
          <w:sz w:val="17"/>
          <w:szCs w:val="17"/>
        </w:rPr>
        <w:t xml:space="preserve">Wirth, R., &amp; Hipp, J. (2000). </w:t>
      </w:r>
      <w:r>
        <w:rPr>
          <w:rFonts w:ascii="Arial" w:cs="Arial" w:eastAsia="Arial" w:hAnsi="Arial"/>
          <w:b w:val="false"/>
          <w:bCs w:val="false"/>
          <w:i/>
          <w:iCs/>
          <w:color w:val="000000"/>
          <w:sz w:val="17"/>
          <w:szCs w:val="17"/>
        </w:rPr>
        <w:t xml:space="preserve">CRISP-DM: Towards a standard process model for data mining. </w:t>
      </w:r>
      <w:r>
        <w:rPr>
          <w:rFonts w:ascii="Arial" w:cs="Arial" w:eastAsia="Arial" w:hAnsi="Arial"/>
          <w:b w:val="false"/>
          <w:bCs w:val="false"/>
          <w:i w:val="false"/>
          <w:iCs w:val="false"/>
          <w:color w:val="000000"/>
          <w:sz w:val="17"/>
          <w:szCs w:val="17"/>
        </w:rPr>
        <w:t xml:space="preserve">Proceedings of the 4th International Conference on the Practical Applications of Knowledge Discovery and Data Mining, 29–39.</w:t>
      </w:r>
    </w:p>
    <w:sectPr>
      <w:headerReference w:type="default" r:id="rId7"/>
      <w:footerReference w:type="default" r:id="rId8"/>
      <w:pgSz w:w="12240" w:h="15840"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b w:val="false"/>
        <w:bCs w:val="false"/>
        <w:i w:val="false"/>
        <w:iCs w:val="false"/>
        <w:color w:val="666666"/>
        <w:sz w:val="16"/>
        <w:szCs w:val="16"/>
      </w:rPr>
      <w:t xml:space="preserve">Página </w:t>
    </w:r>
    <w:r>
      <w:rPr>
        <w:rFonts w:ascii="Arial" w:cs="Arial" w:eastAsia="Arial" w:hAnsi="Arial"/>
        <w:color w:val="1F3864"/>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66666"/>
        <w:sz w:val="16"/>
        <w:szCs w:val="16"/>
      </w:rPr>
      <w:t xml:space="preserve"> | Verificado y corregido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b w:val="false"/>
        <w:bCs w:val="false"/>
        <w:i w:val="false"/>
        <w:iCs w:val="false"/>
        <w:color w:val="666666"/>
        <w:sz w:val="16"/>
        <w:szCs w:val="16"/>
      </w:rPr>
      <w:t xml:space="preserve">Revisión Académica v2.0 — Tesis Calzatura Vilchez  |  Piero — U. Continental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2026-05-23T21:42:44.124Z</dcterms:created>
  <dcterms:modified xsi:type="dcterms:W3CDTF">2026-05-23T21:42:44.126Z</dcterms:modified>
</cp:coreProperties>
</file>

<file path=docProps/custom.xml><?xml version="1.0" encoding="utf-8"?>
<Properties xmlns="http://schemas.openxmlformats.org/officeDocument/2006/custom-properties" xmlns:vt="http://schemas.openxmlformats.org/officeDocument/2006/docPropsVTypes"/>
</file>