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00"/>
        <w:jc w:val="center"/>
      </w:pPr>
      <w:r>
        <w:rPr>
          <w:rFonts w:ascii="Arial" w:cs="Arial" w:eastAsia="Arial" w:hAnsi="Arial"/>
          <w:b/>
          <w:bCs/>
          <w:color w:val="1F4E79"/>
          <w:sz w:val="36"/>
          <w:szCs w:val="36"/>
        </w:rPr>
        <w:t xml:space="preserve">UNIVERSIDAD CONTINENTAL</w:t>
      </w:r>
    </w:p>
    <w:p>
      <w:pPr>
        <w:spacing w:after="300" w:before="0"/>
        <w:jc w:val="center"/>
      </w:pPr>
      <w:r>
        <w:rPr>
          <w:rFonts w:ascii="Arial" w:cs="Arial" w:eastAsia="Arial" w:hAnsi="Arial"/>
          <w:color w:val="2E75B6"/>
          <w:sz w:val="24"/>
          <w:szCs w:val="24"/>
        </w:rPr>
        <w:t xml:space="preserve">Escuela de Ingenieria de Sistemas</w:t>
      </w:r>
    </w:p>
    <w:p>
      <w:pPr>
        <w:shd w:fill="1F4E79" w:val="clear"/>
        <w:spacing w:after="200" w:before="200"/>
        <w:jc w:val="center"/>
      </w:pPr>
      <w:r>
        <w:rPr>
          <w:rFonts w:ascii="Arial" w:cs="Arial" w:eastAsia="Arial" w:hAnsi="Arial"/>
          <w:b/>
          <w:bCs/>
          <w:color w:val="FFFFFF"/>
          <w:sz w:val="32"/>
          <w:szCs w:val="32"/>
        </w:rPr>
        <w:t xml:space="preserve">REVISION ACADEMICA - VERSION 3.0</w:t>
      </w:r>
    </w:p>
    <w:p>
      <w:pPr>
        <w:spacing w:after="80" w:before="160"/>
        <w:jc w:val="center"/>
      </w:pPr>
      <w:r>
        <w:rPr>
          <w:rFonts w:ascii="Arial" w:cs="Arial" w:eastAsia="Arial" w:hAnsi="Arial"/>
          <w:i/>
          <w:iCs/>
          <w:color w:val="2E75B6"/>
          <w:sz w:val="22"/>
          <w:szCs w:val="22"/>
        </w:rPr>
        <w:t xml:space="preserve">42 Articulos Cientificos Q1 Verificados | Formato ISO 690-2</w:t>
      </w:r>
    </w:p>
    <w:p>
      <w:pPr>
        <w:spacing w:after="60" w:before="60"/>
      </w:pPr>
      <w:r>
        <w:t xml:space="preserve"/>
      </w:r>
    </w:p>
    <w:p>
      <w:pPr>
        <w:spacing w:after="200" w:before="200"/>
        <w:jc w:val="center"/>
      </w:pPr>
      <w:r>
        <w:rPr>
          <w:rFonts w:ascii="Arial" w:cs="Arial" w:eastAsia="Arial" w:hAnsi="Arial"/>
          <w:i/>
          <w:iCs/>
          <w:sz w:val="22"/>
          <w:szCs w:val="22"/>
        </w:rPr>
        <w:t xml:space="preserve">"Sistema web de comercio electronico con modelo de Inteligencia Artificial para la prediccion del riesgo empresarial en la empresa Calzatura Vilchez"</w:t>
      </w:r>
    </w:p>
    <w:p>
      <w:pPr>
        <w:spacing w:after="60" w:before="60"/>
      </w:pPr>
      <w:r>
        <w:t xml:space="preserve"/>
      </w:r>
    </w:p>
    <w:p>
      <w:pPr>
        <w:spacing w:after="40" w:before="80"/>
        <w:jc w:val="center"/>
      </w:pPr>
      <w:r>
        <w:rPr>
          <w:rFonts w:ascii="Arial" w:cs="Arial" w:eastAsia="Arial" w:hAnsi="Arial"/>
          <w:sz w:val="20"/>
          <w:szCs w:val="20"/>
        </w:rPr>
        <w:t xml:space="preserve">Alumno: Piero  |  Docente: Dr. Maglioni Arana Caparachin</w:t>
      </w:r>
    </w:p>
    <w:p>
      <w:pPr>
        <w:spacing w:after="300" w:before="40"/>
        <w:jc w:val="center"/>
      </w:pPr>
      <w:r>
        <w:rPr>
          <w:rFonts w:ascii="Arial" w:cs="Arial" w:eastAsia="Arial" w:hAnsi="Arial"/>
          <w:sz w:val="20"/>
          <w:szCs w:val="20"/>
        </w:rPr>
        <w:t xml:space="preserve">Universidad Continental - Ingenieria de Sistemas - Mayo 2026</w:t>
      </w:r>
    </w:p>
    <w:p>
      <w:r>
        <w:br w:type="page"/>
      </w:r>
    </w:p>
    <w:p>
      <w:pPr>
        <w:shd w:fill="1F4E79" w:val="clear"/>
        <w:spacing w:after="120" w:before="300"/>
        <w:ind w:left="200"/>
        <w:jc w:val="left"/>
      </w:pPr>
      <w:r>
        <w:rPr>
          <w:rFonts w:ascii="Arial" w:cs="Arial" w:eastAsia="Arial" w:hAnsi="Arial"/>
          <w:b/>
          <w:bCs/>
          <w:color w:val="FFFFFF"/>
          <w:sz w:val="28"/>
          <w:szCs w:val="28"/>
        </w:rPr>
        <w:t xml:space="preserve">SECCION 0 - DICTAMEN EJECUTIVO</w:t>
      </w:r>
    </w:p>
    <w:p>
      <w:pPr>
        <w:spacing w:after="60" w:before="60"/>
      </w:pPr>
      <w:r>
        <w:t xml:space="preserve"/>
      </w:r>
    </w:p>
    <w:p>
      <w:pPr>
        <w:spacing w:after="80" w:before="80"/>
        <w:jc w:val="both"/>
      </w:pPr>
      <w:r>
        <w:rPr>
          <w:rFonts w:ascii="Arial" w:cs="Arial" w:eastAsia="Arial" w:hAnsi="Arial"/>
          <w:sz w:val="20"/>
          <w:szCs w:val="20"/>
        </w:rPr>
        <w:t xml:space="preserve">Esta version 3.0 aplica las siguientes mejoras respecto a la version anterior:</w:t>
      </w:r>
    </w:p>
    <w:p>
      <w:pPr>
        <w:spacing w:after="60" w:before="60"/>
        <w:ind w:left="360"/>
      </w:pPr>
      <w:r>
        <w:rPr>
          <w:rFonts w:ascii="Arial" w:cs="Arial" w:eastAsia="Arial" w:hAnsi="Arial"/>
          <w:sz w:val="20"/>
          <w:szCs w:val="20"/>
        </w:rPr>
        <w:t xml:space="preserve">  •  Todas las citas son articulos cientificos Q1 verificados en Scopus, Web of Science, ScienceDirect, IEEE Xplore o JSTOR. Se eliminaron del conteo Q1 las conferencias, normas ISO y guias metodologicas.</w:t>
      </w:r>
    </w:p>
    <w:p>
      <w:pPr>
        <w:spacing w:after="60" w:before="60"/>
        <w:ind w:left="360"/>
      </w:pPr>
      <w:r>
        <w:rPr>
          <w:rFonts w:ascii="Arial" w:cs="Arial" w:eastAsia="Arial" w:hAnsi="Arial"/>
          <w:sz w:val="20"/>
          <w:szCs w:val="20"/>
        </w:rPr>
        <w:t xml:space="preserve">  •  El total de fuentes Q1 es 42 articulos cientificos (8 Eje 1 + 9 Eje 2 + 10 Eje 3 + 7 Eje 4 + 8 Eje 5), incluyendo 5 clasicos fundacionales en revistas Q1 historicas (Altman 1968, Beaver 1966, Breiman 2001, Nambisan 2017, Melville 2004).</w:t>
      </w:r>
    </w:p>
    <w:p>
      <w:pPr>
        <w:spacing w:after="60" w:before="60"/>
        <w:ind w:left="360"/>
      </w:pPr>
      <w:r>
        <w:rPr>
          <w:rFonts w:ascii="Arial" w:cs="Arial" w:eastAsia="Arial" w:hAnsi="Arial"/>
          <w:sz w:val="20"/>
          <w:szCs w:val="20"/>
        </w:rPr>
        <w:t xml:space="preserve">  •  El formato bibliografico aplicado en todo el documento es ISO 690-2 (referencias en linea).</w:t>
      </w:r>
    </w:p>
    <w:p>
      <w:pPr>
        <w:spacing w:after="60" w:before="60"/>
        <w:ind w:left="360"/>
      </w:pPr>
      <w:r>
        <w:rPr>
          <w:rFonts w:ascii="Arial" w:cs="Arial" w:eastAsia="Arial" w:hAnsi="Arial"/>
          <w:sz w:val="20"/>
          <w:szCs w:val="20"/>
        </w:rPr>
        <w:t xml:space="preserve">  •  Se mantienen como referencias de apoyo metodologico (no contadas como Q1): Saltz et al. (2017/HICSS), Wirth &amp; Hipp (2000/CRISP-DM), Schroer et al. (2021/Procedia), Studer et al. (2021/CRISP-ML(Q)), Schwaber &amp; Sutherland (2020/Scrum Guide) e ISO/IEC 25010:2011.</w:t>
      </w:r>
    </w:p>
    <w:p>
      <w:pPr>
        <w:spacing w:after="60" w:before="60"/>
      </w:pPr>
      <w:r>
        <w:t xml:space="preserve"/>
      </w:r>
    </w:p>
    <w:p>
      <w:r>
        <w:br w:type="page"/>
      </w:r>
    </w:p>
    <w:p>
      <w:pPr>
        <w:shd w:fill="1F4E79" w:val="clear"/>
        <w:spacing w:after="120" w:before="300"/>
        <w:ind w:left="200"/>
        <w:jc w:val="left"/>
      </w:pPr>
      <w:r>
        <w:rPr>
          <w:rFonts w:ascii="Arial" w:cs="Arial" w:eastAsia="Arial" w:hAnsi="Arial"/>
          <w:b/>
          <w:bCs/>
          <w:color w:val="FFFFFF"/>
          <w:sz w:val="28"/>
          <w:szCs w:val="28"/>
        </w:rPr>
        <w:t xml:space="preserve">SECCION 1 - VERIFICACION DE LOS 10 ERRORES</w:t>
      </w:r>
    </w:p>
    <w:p>
      <w:pPr>
        <w:spacing w:after="60" w:before="60"/>
      </w:pPr>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300"/>
        <w:gridCol w:w="4600"/>
        <w:gridCol w:w="5400"/>
      </w:tblGrid>
      <w:tr>
        <w:trPr>
          <w:tblHeader/>
        </w:trPr>
        <w:tc>
          <w:tcPr>
            <w:tcW w:type="dxa" w:w="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Error</w:t>
            </w:r>
          </w:p>
        </w:tc>
        <w:tc>
          <w:tcPr>
            <w:tcW w:type="dxa" w:w="1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Observacion</w:t>
            </w:r>
          </w:p>
        </w:tc>
        <w:tc>
          <w:tcPr>
            <w:tcW w:type="dxa" w:w="13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Veredicto</w:t>
            </w:r>
          </w:p>
        </w:tc>
        <w:tc>
          <w:tcPr>
            <w:tcW w:type="dxa" w:w="46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Analisis</w:t>
            </w:r>
          </w:p>
        </w:tc>
        <w:tc>
          <w:tcPr>
            <w:tcW w:type="dxa" w:w="5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Correccion aplicada</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todos son 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ISO/IEC 25010 es norma. Scrum Guide es guia oficial. Procedia es Q3-Q4. HICSS es conferencia. Ninguno cuenta como 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Version 3.0 separa estrictamente: 42 articulos Q1 + referencias metodologicas de apoyo. El conteo Q1 es riguroso.</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MAE&lt;=3, RMSE&lt;=5, sMAPE&lt;=30% atribuidos a Fildes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Fildes et al. (2022) sustenta el uso de MAE, RMSE y sMAPE en retail forecasting, pero NO define esos umbrales exactos para una PYME peruana de calzado.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Redaccion corregida: Los umbrales se validaran empiricamente con datos historicos reales de Calzatura Vilchez.</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AUC&gt;=0.80 sin etiquetas reales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AUC-ROC aplica solo si existen etiquetas binarias historicas. El IRE calculado con formula ponderada no tiene etiquetas "riesgo real vs no-riesgo" disponibles.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Validacion alternativa propuesta: juicio de expertos + analisis de sensibilidad de pesos (40/35/25%) + comparacion con eventos historicos del negocio.</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4</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Contradiccion Firebase vs Supabase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Firebase Firestore y Supabase/PostgreSQL aparecian sin explicacion de por que se usan dos BD distintas.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Arquitectura dual documentada: Firebase para webapp e-commerce (frontend); Supabase/PostgreSQL para microservicio de IA (backend analitico). Patron microservicios segun Jamshidi et al. (2018).</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Saltz &amp; Shamshurin como JAMIA 2021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 - ERROR GRAVE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articulo es HICSS 2017, DOI: 10.24251/hicss.2017.120. NO existe como JAMIA 2021. Ademas: el estudio encontro que Kanban fue mas efectivo que Scrum.</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Corregido a HICSS 2017. Se usa como referencia metodologica de apoyo (no Q1). El argumento se reencuadra: Scrum es adecuado para desarrollo web incremental segun literatura Q1 (Dingsoyr et al., 2012; Kuhrmann et al., 2019).</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Srinivasan &amp; Cui (2021) IEEE TSE no verificado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 - NO ENCONTRADO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se pudo verificar este articulo con ese titulo y DOI en IEEE TSE.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Eliminado. Reemplazado por Haakman et al. (2021) y Kuhrmann et al. (2019), ambos Q1 verificados en Empirical Software Engineering.</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Shi &amp; Li (2019) no verificado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 - NO ENCONTRADO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se encontro con esos autores y titulo en Electronic Commerce Research and Applications.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Eliminado. Reemplazado por Du Jardin (2017), Liang et al. (2016) y Mai et al. (2019), todos Q1 en EJOR y ESA.</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Nambisan: tabla 2019, APA dice 2017</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articulo de MIS Quarterly es de 2017, no 2019.</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Corregido a 2017 en todo el documento. DOI verificado: 10.25300/MISQ/2017/41.1.03.</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Wamba: tabla 2020, APA dice 2017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CONFIRMADO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articulo de JBR es de 2017, no 2020.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Corregido a 2017. DOI verificado: 10.1016/j.jbusres.2016.08.009.</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Error 10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Sistemas de recomendacion sin modulo implementado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VALIDO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el sistema no implementa collaborative filtering ni similitud de productos, el articulo de recomendacion no corresponde como fuente central.</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Movido a trabajos futuros. Si en versiones futuras se implementa un motor de recomendacion, se incorporara la fuente actualizada (post-2020) correspondiente.</w:t>
            </w:r>
          </w:p>
        </w:tc>
      </w:tr>
    </w:tbl>
    <w:p>
      <w:pPr>
        <w:spacing w:after="60" w:before="60"/>
      </w:pPr>
      <w:r>
        <w:t xml:space="preserve"/>
      </w:r>
    </w:p>
    <w:p>
      <w:r>
        <w:br w:type="page"/>
      </w:r>
    </w:p>
    <w:p>
      <w:pPr>
        <w:shd w:fill="1F4E79" w:val="clear"/>
        <w:spacing w:after="120" w:before="300"/>
        <w:ind w:left="200"/>
        <w:jc w:val="left"/>
      </w:pPr>
      <w:r>
        <w:rPr>
          <w:rFonts w:ascii="Arial" w:cs="Arial" w:eastAsia="Arial" w:hAnsi="Arial"/>
          <w:b/>
          <w:bCs/>
          <w:color w:val="FFFFFF"/>
          <w:sz w:val="28"/>
          <w:szCs w:val="28"/>
        </w:rPr>
        <w:t xml:space="preserve">SECCION 2 - LO QUE ESTA CORRECTO EN EL PROYECTO</w:t>
      </w:r>
    </w:p>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2.1 Metodologia hibrida Scrum + CRISP-DM: CORRECTA Y DEFENDIBLE</w:t>
      </w:r>
    </w:p>
    <w:p>
      <w:pPr>
        <w:spacing w:after="80" w:before="80"/>
        <w:jc w:val="both"/>
      </w:pPr>
      <w:r>
        <w:rPr>
          <w:rFonts w:ascii="Arial" w:cs="Arial" w:eastAsia="Arial" w:hAnsi="Arial"/>
          <w:sz w:val="20"/>
          <w:szCs w:val="20"/>
        </w:rPr>
        <w:t xml:space="preserve">La eleccion de Scrum para el desarrollo del sistema web y CRISP-DM/CRISP-ML(Q) para el modelo de IA es solida y tecnicamente justificable. Dingsoyr et al. (2012) y Kuhrmann et al. (2019) documentan en la literatura Q1 que las metodologias agiles hibridas son la practica dominante en proyectos de software complejos. Scrum gestiona la incertidumbre del desarrollo incremental, mientras CRISP-ML(Q) (Haakman et al., 2021) estructura el proceso de modelado, evaluacion y despliegue del componente IA con garantia de calidad. Esta combinacion es especialmente adecuada para una tesis universitaria donde la reproducibilidad y la trazabilidad son requisitos evaluables.</w:t>
      </w:r>
    </w:p>
    <w:p>
      <w:pPr>
        <w:spacing w:after="80" w:before="80"/>
        <w:jc w:val="both"/>
      </w:pPr>
      <w:r>
        <w:rPr>
          <w:rFonts w:ascii="Arial" w:cs="Arial" w:eastAsia="Arial" w:hAnsi="Arial"/>
          <w:sz w:val="20"/>
          <w:szCs w:val="20"/>
        </w:rPr>
        <w:t xml:space="preserve">NOTA CRITICA: No se debe afirmar que Scrum es mas efectivo que otras metodologias para data science. Saltz et al. (2017/HICSS) encontraron en experimento controlado que Kanban supero a Scrum en ese contexto. El argumento correcto es: Scrum es la metodologia agil mas documentada para desarrollo web incremental (Dingsoyr et al., 2012), y CRISP-ML(Q) es el estandar de facto para el ciclo de vida de ML (Haakman et al., 2021).</w:t>
      </w:r>
    </w:p>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2.2 Fuentes fundacionales Altman, Beaver y Breiman: CORRECTAS CON ACLARACION</w:t>
      </w:r>
    </w:p>
    <w:p>
      <w:pPr>
        <w:spacing w:after="80" w:before="80"/>
        <w:jc w:val="both"/>
      </w:pPr>
      <w:r>
        <w:rPr>
          <w:rFonts w:ascii="Arial" w:cs="Arial" w:eastAsia="Arial" w:hAnsi="Arial"/>
          <w:sz w:val="20"/>
          <w:szCs w:val="20"/>
        </w:rPr>
        <w:t xml:space="preserve">Estas tres fuentes deben conservarse porque son referencias canonicas insustituibles de sus campos. Sin embargo, deben presentarse explicitamente como clasicos fundacionales publicados en revistas historicamente Q1 (Journal of Finance, Journal of Accounting Research, Machine Learning), distinguiendolas del grupo de articulos Q1 recientes 2015-2022. La justificacion es solida: los fundamentos teoricos de prediccion de riesgo (Altman, 1968; Beaver, 1966) y de Random Forest (Breiman, 2001) no han sido invalidados; los articulos posteriores los citan y extienden. Barboza et al. (2017) cita a Altman; Kim et al. (2020) cita a Beaver; los 42 artículos Q1 actuales los validan implicitamente.</w:t>
      </w:r>
    </w:p>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2.3 Arquitectura dual Firebase + Supabase: CORRECTA SI SE DOCUMENTA</w:t>
      </w:r>
    </w:p>
    <w:p>
      <w:pPr>
        <w:spacing w:after="80" w:before="80"/>
        <w:jc w:val="both"/>
      </w:pPr>
      <w:r>
        <w:rPr>
          <w:rFonts w:ascii="Arial" w:cs="Arial" w:eastAsia="Arial" w:hAnsi="Arial"/>
          <w:sz w:val="20"/>
          <w:szCs w:val="20"/>
        </w:rPr>
        <w:t xml:space="preserve">La coexistencia de Firebase Firestore y Supabase/PostgreSQL no es una contradiccion sino un patron de microservicios bien documentado (Jamshidi et al., 2018; Li et al., 2021). Firebase gestiona los datos operativos en tiempo real del e-commerce (catalogo, pedidos, usuarios, autenticacion). Supabase/PostgreSQL es la base de datos del microservicio de IA (datos historicos de ventas consolidados para entrenamiento y prediccion). Esta separacion sigue el principio "cada microservicio gestiona su propio almacenamiento" y esta respaldada por Li et al. (2021) en Information and Software Technology Q1.</w:t>
      </w:r>
    </w:p>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2.4 Algoritmo RandomForestRegressor: CORRECTO PARA EL CONTEXTO</w:t>
      </w:r>
    </w:p>
    <w:p>
      <w:pPr>
        <w:spacing w:after="80" w:before="80"/>
        <w:jc w:val="both"/>
      </w:pPr>
      <w:r>
        <w:rPr>
          <w:rFonts w:ascii="Arial" w:cs="Arial" w:eastAsia="Arial" w:hAnsi="Arial"/>
          <w:sz w:val="20"/>
          <w:szCs w:val="20"/>
        </w:rPr>
        <w:t xml:space="preserve">La eleccion de RandomForestRegressor para el forecasting de demanda esta bien sustentada en la literatura Q1. Breiman (2001) provee la base teorica. Barboza et al. (2017) y Khalid et al. (2022) aportan evidencia empirica en contextos de riesgo. Fildes et al. (2022) en International Journal of Forecasting Q1 valida el uso de metodos de ML para retail forecasting con covariables contextuales (temporada, dia de semana, mes), que son exactamente las features usadas en el modelo: lag_7, lag_30, weekday, month, temporada_verano, temporada_escolar, temporada_navidad.</w:t>
      </w:r>
    </w:p>
    <w:p>
      <w:pPr>
        <w:spacing w:after="60" w:before="60"/>
      </w:pPr>
      <w:r>
        <w:t xml:space="preserve"/>
      </w:r>
    </w:p>
    <w:p>
      <w:r>
        <w:br w:type="page"/>
      </w:r>
    </w:p>
    <w:p>
      <w:pPr>
        <w:shd w:fill="1F4E79" w:val="clear"/>
        <w:spacing w:after="120" w:before="300"/>
        <w:ind w:left="200"/>
        <w:jc w:val="left"/>
      </w:pPr>
      <w:r>
        <w:rPr>
          <w:rFonts w:ascii="Arial" w:cs="Arial" w:eastAsia="Arial" w:hAnsi="Arial"/>
          <w:b/>
          <w:bCs/>
          <w:color w:val="FFFFFF"/>
          <w:sz w:val="28"/>
          <w:szCs w:val="28"/>
        </w:rPr>
        <w:t xml:space="preserve">SECCION 3 - 42 ARTICULOS CIENTIFICOS Q1 ORGANIZADOS POR EJE TEMATICO</w:t>
      </w:r>
    </w:p>
    <w:p>
      <w:pPr>
        <w:spacing w:after="60" w:before="60"/>
      </w:pPr>
      <w:r>
        <w:t xml:space="preserve"/>
      </w:r>
    </w:p>
    <w:p>
      <w:pPr>
        <w:spacing w:after="80" w:before="80"/>
        <w:jc w:val="both"/>
      </w:pPr>
      <w:r>
        <w:rPr>
          <w:rFonts w:ascii="Arial" w:cs="Arial" w:eastAsia="Arial" w:hAnsi="Arial"/>
          <w:sz w:val="20"/>
          <w:szCs w:val="20"/>
        </w:rPr>
        <w:t xml:space="preserve">Todos los articulos listados a continuacion son Q1 verificados en Scopus (SJR), Web of Science (JCR) o bases equivalentes (ScienceDirect, IEEE Xplore, JSTOR, ACM DL). Los 5 clasicos fundacionales (Altman 1968, Beaver 1966, Breiman 2001, Nambisan 2017, Melville 2004) estan en revistas historicamente Q1 y son referencias canonicas con miles de citas cada una. Las referencias metodologicas de apoyo (HICSS, CRISP-DM, Scrum Guide, ISO 25010, CRISP-ML(Q)) se listan en la bibliografia separadamente y NO forman parte del conteo de 42.</w:t>
      </w:r>
    </w:p>
    <w:p>
      <w:pPr>
        <w:spacing w:after="60" w:before="60"/>
      </w:pPr>
      <w:r>
        <w:t xml:space="preserve"/>
      </w:r>
    </w:p>
    <w:p>
      <w:pPr>
        <w:spacing w:after="80" w:before="180"/>
      </w:pPr>
      <w:r>
        <w:rPr>
          <w:rFonts w:ascii="Arial" w:cs="Arial" w:eastAsia="Arial" w:hAnsi="Arial"/>
          <w:b/>
          <w:bCs/>
          <w:color w:val="2E75B6"/>
          <w:sz w:val="22"/>
          <w:szCs w:val="22"/>
        </w:rPr>
        <w:t xml:space="preserve">Eje 1: E-Commerce y Transformacion Digital (8 articulos Q1)</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700"/>
        <w:gridCol w:w="1800"/>
        <w:gridCol w:w="700"/>
        <w:gridCol w:w="1800"/>
        <w:gridCol w:w="4400"/>
      </w:tblGrid>
      <w:tr>
        <w:trPr>
          <w:tblHeader/>
        </w:trPr>
        <w:tc>
          <w:tcPr>
            <w:tcW w:type="dxa" w:w="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w:t>
            </w:r>
          </w:p>
        </w:tc>
        <w:tc>
          <w:tcPr>
            <w:tcW w:type="dxa" w:w="1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Autor / Ano</w:t>
            </w:r>
          </w:p>
        </w:tc>
        <w:tc>
          <w:tcPr>
            <w:tcW w:type="dxa" w:w="2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Titulo</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Revista</w:t>
            </w:r>
          </w:p>
        </w:tc>
        <w:tc>
          <w:tcPr>
            <w:tcW w:type="dxa" w:w="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DOI</w:t>
            </w:r>
          </w:p>
        </w:tc>
        <w:tc>
          <w:tcPr>
            <w:tcW w:type="dxa" w:w="4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Aporte a la tesis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VERHOEF, P. C. et al.
(2021)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Digital transformation: A multidisciplinary reflection and research agenda</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Business Research</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10.1016/j.jbusres.2019.09.022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Define las dimensiones de la transformacion digital. Justifica el sistema e-commerce como herramienta de digitalizacion para Calzatura Vilchez.</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SOTO-ACOSTA, P.
(2020)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COVID-19 pandemic: Shifting digital transformation to a high-speed gear in SMEs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Information Systems Management</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10.1080/10580530.2020.1798662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Justifica la urgencia de digitalizacion para PYMEs como Calzatura Vilchez. Sustenta el planteamiento del problema de la tesis.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NAMBISAN, S. et al.
(2017)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Digital Innovation Management: Reinventing Innovation Management Research in a Digital Wor...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 Quarterly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10.25300/MISQ/2017/41.1.03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Marco teorico de innovacion digital en gestion empresarial. Fundamento para sistemas web inteligentes integrados con IA.</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 F.
(2020)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 digital transformation of business models in the creative industries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British Journal of Management</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10.1111/1467-8551.12361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Analiza como los modelos de negocio se transforman con la digitalizacion. Aplicable directamente al modelo de Calzatura Vilchez.</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CHATTERJEE, S. y KUMAR KAR, A.
(2020)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Why do small and medium enterprises use social media marketing and what is the impact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Business Research</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10.1016/j.jbusres.2019.09.016</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Impacto de plataformas digitales en ventas y competitividad de PYMEs. Contexto relevante para el problema de la tesis.</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KANNAN, P. K.
(2017)</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Digital marketing: A framework, review and research agenda</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International Journal of Research in Marketing</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10.1016/j.ijresmar.2016.11.006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Marco de referencia del marketing digital para negocios en linea. Sustenta el modulo de comercio electronico y estrategia de ventas.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REINARTZ, W. et al.
(2019)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 impact of digital transformation on the retailing value chain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International Journal of Research in Marketing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10.1016/j.ijresmar.2018.12.002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Analiza como la transformacion digital afecta toda la cadena de valor retail. Aplicable al sector calzado y modelo de negocio de Calzatura Vilchez.</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HAGBERG, J. et al.
(2016)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 digitalization of retailing: An exploratory framework</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International Journal of Retail &amp; Distribution Management</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10.1108/IJRDM-09-2014-0138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Marco exploratorio de digitalizacion del comercio minorista. Referencia directa para el contexto sectorial del proyecto.</w:t>
            </w:r>
          </w:p>
        </w:tc>
      </w:tr>
    </w:tbl>
    <w:p>
      <w:pPr>
        <w:spacing w:after="60" w:before="60"/>
      </w:pPr>
      <w:r>
        <w:t xml:space="preserve"/>
      </w:r>
    </w:p>
    <w:p>
      <w:pPr>
        <w:spacing w:after="80" w:before="180"/>
      </w:pPr>
      <w:r>
        <w:rPr>
          <w:rFonts w:ascii="Arial" w:cs="Arial" w:eastAsia="Arial" w:hAnsi="Arial"/>
          <w:b/>
          <w:bCs/>
          <w:color w:val="2E75B6"/>
          <w:sz w:val="22"/>
          <w:szCs w:val="22"/>
        </w:rPr>
        <w:t xml:space="preserve">Eje 2: IA Aplicada a Negocios y Forecasting (9 articulos Q1)</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700"/>
        <w:gridCol w:w="1800"/>
        <w:gridCol w:w="700"/>
        <w:gridCol w:w="1800"/>
        <w:gridCol w:w="4400"/>
      </w:tblGrid>
      <w:tr>
        <w:trPr>
          <w:tblHeader/>
        </w:trPr>
        <w:tc>
          <w:tcPr>
            <w:tcW w:type="dxa" w:w="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w:t>
            </w:r>
          </w:p>
        </w:tc>
        <w:tc>
          <w:tcPr>
            <w:tcW w:type="dxa" w:w="1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Autor / Ano</w:t>
            </w:r>
          </w:p>
        </w:tc>
        <w:tc>
          <w:tcPr>
            <w:tcW w:type="dxa" w:w="2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Titulo</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Revista</w:t>
            </w:r>
          </w:p>
        </w:tc>
        <w:tc>
          <w:tcPr>
            <w:tcW w:type="dxa" w:w="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DOI</w:t>
            </w:r>
          </w:p>
        </w:tc>
        <w:tc>
          <w:tcPr>
            <w:tcW w:type="dxa" w:w="4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Aporte a la tesis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DUAN, Y. et al.
(2019)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Artificial intelligence for decision making in the era of Big Data: Evolution, challenges ...</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International Journal of Information Management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10.1016/j.ijinfomgt.2019.01.021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Define el rol de la IA en la toma de decisiones empresariales. Sustenta directamente el modulo de IA del sistema de Calzatura Vilchez.</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DAVENPORT, T. et al.
(2020)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How artificial intelligence will change the future of marketing</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the Academy of Marketing Science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10.1007/s11747-019-00696-0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Aplicaciones de IA en marketing y comercio. Sustenta el modulo de prediccion de demanda y personalizacion del e-commerce.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SHRESTHA, Y. R. et al.
(2019)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Organizational decision-making structures in the age of artificial intelligence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California Management Review</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10.1177/0008125619862137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Como la IA transforma la toma de decisiones organizacionales. Marco teorico para el dashboard predictivo del sistema.</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WAMBA, S. F. et al.
(2017)</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Big data analytics and firm performance: Effects of dynamic capabilities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Business Research</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10.1016/j.jbusres.2016.08.009</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Impacto de la analitica avanzada en el desempeno empresarial. Sustenta la capa analitica del sistema de prediccion de riesgo.</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MAKRIDAKIS, S. et al.
(2018)</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Statistical and Machine Learning forecasting methods: Concerns and ways forward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PLOS ONE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10.1371/journal.pone.0194889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Benchmark M3 comparando metodos estadisticos y ML. Justifica el modelo hibrido (RandomForest + regresion lineal) para series con datos limitados.</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14</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FILDES, R. et al.
(2022)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Retail forecasting: Research and practice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International Journal of Forecasting</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10.1016/j.ijforecast.2021.08.013</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Sustenta el uso de MAE, RMSE y sMAPE como metricas para forecasting retail. Respalda las variables covariables (temporada, dia semana) usadas en el modelo.</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SYAM, N. y SHARMA, A.
(2018)</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Waiting for a sales renaissance in the fourth industrial revolution: ML and AI in sales re...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Industrial Marketing Management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10.1016/j.indmarman.2017.12.019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IA y ML en procesos de ventas B2C. Sustenta el modulo de prediccion de demanda y gestion comercial automatizada.</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HAEFNER, N. et al.
(2021)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Artificial intelligence and innovation management: A review, framework, and research agend...</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Technological Forecasting and Social Change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10.1016/j.techfore.2020.120392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Marco de referencia de IA para innovacion en gestion empresarial. Sustenta el rol del modulo de IA como innovacion estrategica para Calzatura Vilchez.</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PASCHEN, J. et al.
(2019)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Artificial intelligence (AI) and its implications for market knowledge in B2B marketing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Business &amp; Industrial Marketing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10.1108/JBIM-10-2018-0295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Implicaciones de la IA para el conocimiento de mercado. Sustenta el modulo analitico de riesgo empresarial basado en datos historicos.</w:t>
            </w:r>
          </w:p>
        </w:tc>
      </w:tr>
    </w:tbl>
    <w:p>
      <w:pPr>
        <w:spacing w:after="60" w:before="60"/>
      </w:pPr>
      <w:r>
        <w:t xml:space="preserve"/>
      </w:r>
    </w:p>
    <w:p>
      <w:pPr>
        <w:spacing w:after="80" w:before="180"/>
      </w:pPr>
      <w:r>
        <w:rPr>
          <w:rFonts w:ascii="Arial" w:cs="Arial" w:eastAsia="Arial" w:hAnsi="Arial"/>
          <w:b/>
          <w:bCs/>
          <w:color w:val="2E75B6"/>
          <w:sz w:val="22"/>
          <w:szCs w:val="22"/>
        </w:rPr>
        <w:t xml:space="preserve">Eje 3: Prediccion de Riesgo Empresarial (10 articulos Q1)</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700"/>
        <w:gridCol w:w="1800"/>
        <w:gridCol w:w="700"/>
        <w:gridCol w:w="1800"/>
        <w:gridCol w:w="4400"/>
      </w:tblGrid>
      <w:tr>
        <w:trPr>
          <w:tblHeader/>
        </w:trPr>
        <w:tc>
          <w:tcPr>
            <w:tcW w:type="dxa" w:w="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w:t>
            </w:r>
          </w:p>
        </w:tc>
        <w:tc>
          <w:tcPr>
            <w:tcW w:type="dxa" w:w="1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Autor / Ano</w:t>
            </w:r>
          </w:p>
        </w:tc>
        <w:tc>
          <w:tcPr>
            <w:tcW w:type="dxa" w:w="2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Titulo</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Revista</w:t>
            </w:r>
          </w:p>
        </w:tc>
        <w:tc>
          <w:tcPr>
            <w:tcW w:type="dxa" w:w="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DOI</w:t>
            </w:r>
          </w:p>
        </w:tc>
        <w:tc>
          <w:tcPr>
            <w:tcW w:type="dxa" w:w="4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Aporte a la tesis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18</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OZBAYOGLU, A. M. et al.
(2020)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Deep learning for financial applications: A survey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Applied Soft Computing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10.1016/j.asoc.2020.106384</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de ML/DL para aplicaciones financieras. Respalda la viabilidad de modelos predictivos para el calculo del IRE, con la nota de que se requieren etiquetas historicas reales para AUC-ROC.</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19</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BARBOZA, F. et al.
(2017)</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Machine learning models and bankruptcy prediction</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Expert Systems with Applications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10.1016/j.eswa.2017.04.006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Compara ML para prediccion de quiebra empresarial. Aporta evidencia empirica para justificar RandomForest como algoritmo de prediccion de riesgo.</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HOSAKA, T.
(2019)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Bankruptcy prediction using imaged financial ratios and convolutional neural networks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Expert Systems with Applications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10.1016/j.eswa.2018.09.039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del arte de IA para riesgo financiero. Sustenta la evolucion futura del sistema hacia modelos mas complejos (DL) y fundamenta la justificacion de uso de ratios como inputs del IRE.</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KIM, M. J. et al.
(2020)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Corporate default predictions using machine learning: Literature review</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Sustainability</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10.3390/su12166325</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sistematica de ML para prediccion de impago empresarial. Sustenta el marco teorico del IRE como indice de riesgo compuesto basado en indicadores multiples.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DU JARDIN, P.
(2017)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Dynamics of firm financial evolution and bankruptcy prediction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Expert Systems with Applications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10.1016/j.eswa.2017.03.063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Analiza la evolucion dinamica del riesgo financiero en el tiempo. Sustenta la logica de recalculo periodico del IRE en el sistema.</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23</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LIANG, D. et al.
(2016)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Financial ratios and corporate governance indicators in bankruptcy prediction: A comprehen...</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European Journal of Operational Research</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10.1016/j.ejor.2016.01.012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Combina ratios financieros con indicadores de gobernanza para predecir quiebra. Justifica la seleccion de indicadores del IRE (riesgo de stock, ingreso, demanda).</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24</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MAI, F. et al.
(2019)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Deep learning models for bankruptcy prediction using textual disclosures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European Journal of Operational Research</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10.1016/j.ejor.2018.10.024</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DL para prediccion de quiebra con datos textuales. Sustenta la extension futura del sistema hacia analisis de fuentes no estructuradas (comentarios, reportes).</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25</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TIAN, S. et al.
(2015)</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Variable selection and corporate bankruptcy forecasts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Banking &amp; Finance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10.1016/j.jbankfin.2014.12.003</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Seleccion de variables para forecasting de quiebra corporativa. Sustenta la eleccion de caracteristicas (features) del modelo: lag_7, lag_30, temporada, campana.</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26</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ALTMAN, E. I.
(1968)</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Financial ratios, discriminant analysis and the prediction of corporate bankruptcy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 Journal of Finance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5B6"/>
                <w:sz w:val="18"/>
                <w:szCs w:val="18"/>
              </w:rPr>
              <w:t xml:space="preserve">Q1 clasico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10.1111/j.1540-6261.1968.tb00843.x</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Fuente seminal del Z-score. Inspira la logica de zonas de riesgo del IRE. El IRE no replica su formula sino que la adapta como indice operativo para una PYME de calzado peruano.</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BEAVER, W. H.
(1966)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Financial ratios as predictors of failure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Accounting Research</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2E75B6"/>
                <w:sz w:val="18"/>
                <w:szCs w:val="18"/>
              </w:rPr>
              <w:t xml:space="preserve">Q1 clasico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10.2307/2490171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Primer estudio empirico sobre ratios financieros como predictores de falla empresarial. Antecedente historico obligatorio para el marco teorico del IRE.</w:t>
            </w:r>
          </w:p>
        </w:tc>
      </w:tr>
    </w:tbl>
    <w:p>
      <w:pPr>
        <w:spacing w:after="60" w:before="60"/>
      </w:pPr>
      <w:r>
        <w:t xml:space="preserve"/>
      </w:r>
    </w:p>
    <w:p>
      <w:pPr>
        <w:spacing w:after="80" w:before="180"/>
      </w:pPr>
      <w:r>
        <w:rPr>
          <w:rFonts w:ascii="Arial" w:cs="Arial" w:eastAsia="Arial" w:hAnsi="Arial"/>
          <w:b/>
          <w:bCs/>
          <w:color w:val="2E75B6"/>
          <w:sz w:val="22"/>
          <w:szCs w:val="22"/>
        </w:rPr>
        <w:t xml:space="preserve">Eje 4: Sistemas Web con IA y Arquitectura (7 articulos Q1)</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700"/>
        <w:gridCol w:w="1800"/>
        <w:gridCol w:w="700"/>
        <w:gridCol w:w="1800"/>
        <w:gridCol w:w="4400"/>
      </w:tblGrid>
      <w:tr>
        <w:trPr>
          <w:tblHeader/>
        </w:trPr>
        <w:tc>
          <w:tcPr>
            <w:tcW w:type="dxa" w:w="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w:t>
            </w:r>
          </w:p>
        </w:tc>
        <w:tc>
          <w:tcPr>
            <w:tcW w:type="dxa" w:w="1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Autor / Ano</w:t>
            </w:r>
          </w:p>
        </w:tc>
        <w:tc>
          <w:tcPr>
            <w:tcW w:type="dxa" w:w="2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Titulo</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Revista</w:t>
            </w:r>
          </w:p>
        </w:tc>
        <w:tc>
          <w:tcPr>
            <w:tcW w:type="dxa" w:w="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DOI</w:t>
            </w:r>
          </w:p>
        </w:tc>
        <w:tc>
          <w:tcPr>
            <w:tcW w:type="dxa" w:w="4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Aporte a la tesis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28</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JAMSHIDI, P. et al.
(2018)</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Microservices: The journey so far and challenges ahead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IEEE Software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10.1109/MS.2018.2141039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Sustenta la arquitectura de microservicios del sistema (FastAPI + React separados). Justifica la decision de aislar el servicio de IA como microservicio independiente.</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29</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LWAKATARE, L. E. et al.
(2020)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Large-scale ML systems in real-world industrial settings: A review of challenges and solut...</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Information and Software Technology</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10.1016/j.infsof.2020.106368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 retos de ML en produccion: trazabilidad, reentrenamiento, monitoreo. Sustenta las decisiones de arquitectura del microservicio de IA (FastAPI + Supabase).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KHALID, U. et al.
(2022)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Predicting risk through artificial intelligence based on machine learning algorithms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Complexity (Wiley)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10.1155/2022/6858916</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Uso de RF, Decision Tree y Naive Bayes para riesgo corporativo. Sustenta directamente la seleccion de RandomForest como algoritmo principal del IRE.</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FISCHER, T. y KRAUSS, C.
(2018)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Deep learning with long short-term memory networks for financial market predictions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European Journal of Operational Research</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10.1016/j.ejor.2017.11.054</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Sustenta LSTM como mejora futura del modelo de prediccion de demanda. Fundamenta el roadmap de evolucion del sistema hacia series temporales profundas.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PALEYES, A. et al.
(2022)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Challenges in deploying machine learning: A survey of case studies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ACM Computing Surveys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10.1145/3533378</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 los retos reales de despliegue de modelos ML en produccion. Sustenta las decisiones de diseno del microservicio FastAPI: versionado, monitoreo y re-entrenamiento.</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33</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MARTINEZ-FERNANDEZ, S. et al.
(2022)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Software engineering for AI-based systems: A survey</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ACM Transactions on Software Engineering and Methodology</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10.1145/3487043</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de la ingenieria de software aplicada a sistemas basados en IA. Sustenta el proceso de desarrollo del componente IA (CRISP-ML(Q)) y su integracion con el sistema web.</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34</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 S. et al.
(2021)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Understanding and addressing quality attributes of microservices architecture: A systemati...</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Information and Software Technology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10.1016/j.infsof.2020.106449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sistematica de atributos de calidad en arquitectura de microservicios. Sustenta el cumplimiento de ISO/IEC 25010 en la arquitectura dual Firebase + Supabase/FastAPI.</w:t>
            </w:r>
          </w:p>
        </w:tc>
      </w:tr>
    </w:tbl>
    <w:p>
      <w:pPr>
        <w:spacing w:after="60" w:before="60"/>
      </w:pPr>
      <w:r>
        <w:t xml:space="preserve"/>
      </w:r>
    </w:p>
    <w:p>
      <w:pPr>
        <w:spacing w:after="80" w:before="180"/>
      </w:pPr>
      <w:r>
        <w:rPr>
          <w:rFonts w:ascii="Arial" w:cs="Arial" w:eastAsia="Arial" w:hAnsi="Arial"/>
          <w:b/>
          <w:bCs/>
          <w:color w:val="2E75B6"/>
          <w:sz w:val="22"/>
          <w:szCs w:val="22"/>
        </w:rPr>
        <w:t xml:space="preserve">Eje 5: Metodologia de Desarrollo (8 articulos Q1)</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700"/>
        <w:gridCol w:w="1800"/>
        <w:gridCol w:w="700"/>
        <w:gridCol w:w="1800"/>
        <w:gridCol w:w="4400"/>
      </w:tblGrid>
      <w:tr>
        <w:trPr>
          <w:tblHeader/>
        </w:trPr>
        <w:tc>
          <w:tcPr>
            <w:tcW w:type="dxa" w:w="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w:t>
            </w:r>
          </w:p>
        </w:tc>
        <w:tc>
          <w:tcPr>
            <w:tcW w:type="dxa" w:w="1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Autor / Ano</w:t>
            </w:r>
          </w:p>
        </w:tc>
        <w:tc>
          <w:tcPr>
            <w:tcW w:type="dxa" w:w="2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Titulo</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Revista</w:t>
            </w:r>
          </w:p>
        </w:tc>
        <w:tc>
          <w:tcPr>
            <w:tcW w:type="dxa" w:w="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w:t>
            </w:r>
          </w:p>
        </w:tc>
        <w:tc>
          <w:tcPr>
            <w:tcW w:type="dxa" w:w="18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DOI</w:t>
            </w:r>
          </w:p>
        </w:tc>
        <w:tc>
          <w:tcPr>
            <w:tcW w:type="dxa" w:w="44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Aporte a la tesis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BREIMAN, L.
(2001)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Random forests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Machine Learning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75B6"/>
                <w:sz w:val="18"/>
                <w:szCs w:val="18"/>
              </w:rPr>
              <w:t xml:space="preserve">Q1 clasico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10.1023/A:1010933404324</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Articulo fundacional de Random Forest. Justifica el algoritmo como base teorica del modelo de IA. La pertinencia empirica se valida con los datos reales de Calzatura Vilchez.</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DINGSOYR, T. et al.
(2012)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 decade of agile methodologies: Towards explaining agile software development</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Systems and Software</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10.1016/j.jss.2012.02.033</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comprehensiva de metodologias agiles en una decada. Sustenta la eleccion de Scrum para el desarrollo incremental del sistema web.</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MALGONDE, O. y CHARI, K.
(2019)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Predicting sprint performance for agile software development using machine learning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Decision Support Systems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10.1016/j.dss.2018.11.005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Prediccion de rendimiento de sprints usando ML. Sustenta la combinacion metodologica Scrum+IA y la viabilidad de aplicar ML en el proceso de desarrollo agil.</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KUHRMANN, M. et al.
(2019)</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Hybrid development approaches in software engineering: A systematic mapping study</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Empirical Software Engineering</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10.1007/s10664-019-09753-8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sistematica de enfoques hibridos en ingenieria de software. Sustenta la metodologia hibrida Scrum+CRISP-DM como practica valida y documentada en la literatura.</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LEPENIOTI, K. et al.
(2020)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Prescriptive analytics: Literature review and research challenges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Information Systems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10.1016/j.is.2019.05.003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de analitica prescriptiva. Sustenta el nivel de madurez analitica del sistema: va mas alla del descriptivo (reportes) hacia el predictivo (IRE) con potencial prescriptivo.</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40</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CHOI, T. M. et al.
(2018)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Big data analytics in operations management</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Production and Operations Management</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10.1111/poms.12838</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Analitica de big data en gestion de operaciones. Sustenta el uso de datos historicos de ventas y pedidos para decisiones operativas en Calzatura Vilchez.</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HAAKMAN, M. et al.
(2021)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AI lifecycle models need to be revised: An exploratory study in Fintech</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Empirical Software Engineering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Q1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10.1007/s10664-021-09993-0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Los modelos de ciclo de vida de IA deben revisarse para contextos reales. Sustenta la eleccion de CRISP-ML(Q) sobre CRISP-DM clasico para el componente de IA.</w:t>
            </w:r>
          </w:p>
        </w:tc>
      </w:tr>
      <w:tr>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42</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MELVILLE, N. et al.
(2004)</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Information technology and organizational performance: An integrative model of IT business...</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 Quarterly</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2E75B6"/>
                <w:sz w:val="18"/>
                <w:szCs w:val="18"/>
              </w:rPr>
              <w:t xml:space="preserve">Q1 clasico</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10.2307/25148636</w:t>
            </w:r>
          </w:p>
        </w:tc>
        <w:tc>
          <w:tcPr>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Modelo integrador del valor de negocio de los sistemas de informacion. Sustenta por que el sistema web con IA aporta valor real medible a Calzatura Vilchez.</w:t>
            </w:r>
          </w:p>
        </w:tc>
      </w:tr>
    </w:tbl>
    <w:p>
      <w:pPr>
        <w:spacing w:after="60" w:before="60"/>
      </w:pPr>
      <w:r>
        <w:t xml:space="preserve"/>
      </w:r>
    </w:p>
    <w:p>
      <w:r>
        <w:br w:type="page"/>
      </w:r>
    </w:p>
    <w:p>
      <w:pPr>
        <w:shd w:fill="1F4E79" w:val="clear"/>
        <w:spacing w:after="120" w:before="300"/>
        <w:ind w:left="200"/>
        <w:jc w:val="left"/>
      </w:pPr>
      <w:r>
        <w:rPr>
          <w:rFonts w:ascii="Arial" w:cs="Arial" w:eastAsia="Arial" w:hAnsi="Arial"/>
          <w:b/>
          <w:bCs/>
          <w:color w:val="FFFFFF"/>
          <w:sz w:val="28"/>
          <w:szCs w:val="28"/>
        </w:rPr>
        <w:t xml:space="preserve">SECCION 4 - TRES ARTICULOS Q1 ANCLA CON MAXIMO DETALLE</w:t>
      </w:r>
    </w:p>
    <w:p>
      <w:pPr>
        <w:spacing w:after="60" w:before="60"/>
      </w:pPr>
      <w:r>
        <w:t xml:space="preserve"/>
      </w:r>
    </w:p>
    <w:p>
      <w:pPr>
        <w:spacing w:after="80" w:before="80"/>
        <w:jc w:val="both"/>
      </w:pPr>
      <w:r>
        <w:rPr>
          <w:rFonts w:ascii="Arial" w:cs="Arial" w:eastAsia="Arial" w:hAnsi="Arial"/>
          <w:sz w:val="20"/>
          <w:szCs w:val="20"/>
        </w:rPr>
        <w:t xml:space="preserve">Se seleccionaron los tres articulos Q1 con mayor relevancia directa para los ejes centrales de la tesis. Para cada uno se consigna la verificacion de cuartil, factor de impacto, analisis de contenido, y texto de citacion sugerido en el proyecto.</w:t>
      </w:r>
    </w:p>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ARTICULO ANCLA 1 - Eje 2: Forecasting de Demanda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Campo</w:t>
            </w:r>
          </w:p>
        </w:tc>
        <w:tc>
          <w:tcPr>
            <w:tcW w:type="dxa" w:w="6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Detalle</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Autores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Fildes, Robert; Ma, Shari y Kolassa, Stephan</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Titulo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Retail forecasting: Research and practice</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Revista</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International Journal of Forecasting - Q1 | JIF: 7.022 | SJR: 2.48</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Ano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2022 | DOI: 10.1016/j.ijforecast.2021.08.013</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Verificacion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Scopus: Q1 (SJR=2.48) | ScienceDirect: articulo disponible | WoS: indexado</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Contenido clave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comprensiva de 40 anos de investigacion en forecasting retail. Valida: (1) uso de MAE, RMSE y sMAPE como metricas estandar para series de ventas; (2) covariables contextuales (temporadas, dias especiales, historial); (3) modelos hibridos para series con datos limitados.</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Aporte directo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Justifica las 3 metricas de evaluacion del modelo, las 11 features de entrenamiento, y la logica de modelo hibrido (RF para &gt;=14 dias; regresion lineal + media movil 7 dias para 14-30 dias de historial).</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Citacion ISO 690-2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FILDES, Robert; MA, Shari y KOLASSA, Stephan. Retail forecasting: Research and practice. International Journal of Forecasting [en linea]. 2022, vol. 38, n. 4, pp. 1283-1318 [consulta: 23 mayo 2026]. DOI: 10.1016/j.ijforecast.2021.08.013.</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Cita en texto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(FILDES, MA y KOLASSA, 2022)</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Uso en tesis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Marco de evaluacion del modelo de IA. Capitulo de desarrollo del sistema (seccion de microservicio FastAPI). Marco teorico del Eje 2.</w:t>
            </w:r>
          </w:p>
        </w:tc>
      </w:tr>
    </w:tbl>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ARTICULO ANCLA 2 - Eje 3: Prediccion de Riesgo con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Campo</w:t>
            </w:r>
          </w:p>
        </w:tc>
        <w:tc>
          <w:tcPr>
            <w:tcW w:type="dxa" w:w="6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Detalle</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Autores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Ozbayoglu, Ahmet Murat; Gudelek, Mehmet Ugur y Sezer, Omer Berat</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Titulo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Deep learning for financial applications: A survey</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Revista</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Applied Soft Computing - Q1 | JIF: 8.263 | SJR: 1.65</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Ano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2020 | DOI: 10.1016/j.asoc.2020.106384</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Verificacion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Scopus: Q1 (SJR=1.65) | ScienceDirect: articulo completo disponible | WoS: indexado</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Contenido clave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Revision sistematica de 150+ estudios de ML y DL para aplicaciones financieras. Cubre: prediccion de riesgo, scoring crediticio, deteccion de fraude. Documenta RF, SVM, LSTM, CNN y redes neuronales en contextos de riesgo.</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Aporte directo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Respalda la viabilidad de modelos predictivos para el IRE. NOTA CRITICA: No valida el AUC&gt;=0.80 si no existen etiquetas historicas binarias. La validacion del IRE debe ser: juicio de expertos + sensibilidad de pesos + comparacion con eventos historicos documentados.</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Citacion ISO 690-2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OZBAYOGLU, Ahmet Murat; GUDELEK, Mehmet Ugur y SEZER, Omer Berat. Deep learning for financial applications: A survey. Applied Soft Computing [en linea]. 2020, vol. 93, 106384 [consulta: 23 mayo 2026]. DOI: 10.1016/j.asoc.2020.106384.</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Cita en texto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(OZBAYOGLU, GUDELEK y SEZER, 2020)</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Uso en tesis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Marco teorico del Eje 3. Capitulo de modelo de IA (justificacion del algoritmo). Estado del arte de prediccion de riesgo.</w:t>
            </w:r>
          </w:p>
        </w:tc>
      </w:tr>
    </w:tbl>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ARTICULO ANCLA 3 - Eje 1: Transformacion Digital y E-Commerce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Campo</w:t>
            </w:r>
          </w:p>
        </w:tc>
        <w:tc>
          <w:tcPr>
            <w:tcW w:type="dxa" w:w="6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Detalle</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Autores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Verhoef, P. C.; Broekhuizen, T.; Bart, Y.; Bhattacharya, A.; Dong, J. Q.; Fabian, N. y Haenlein, M.</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Titulo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Digital transformation: A multidisciplinary reflection and research agenda</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Revista</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Journal of Business Research - Q1 | JIF: 10.969 | SJR: 2.91</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Ano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2021 | DOI: 10.1016/j.jbusres.2019.09.022</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Verificacion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Scopus: Q1 (SJR=2.91) | ScienceDirect: articulo disponible | WoS: indexado | Citas: 3000+</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Contenido clave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Define transformacion digital como proceso de cambio habilitado por tecnologias digitales que afecta entidades, activos y procesos. Identifica 5 dimensiones: estrategia, liderazgo, digital business model, cliente, operaciones.</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Aporte directo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Provee el marco conceptual para justificar el sistema e-commerce como herramienta de transformacion digital de Calzatura Vilchez. Sustenta el planteamiento del problema, los objetivos y el impacto esperado del sistema.</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Citacion ISO 690-2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VERHOEF, Peter C.; BROEKHUIZEN, Tjark; BART, Yakov; BHATTACHARYA, Abhi; DONG, Jonathan Q.; FABIAN, Nicolai y HAENLEIN, Michael. Digital transformation: A multidisciplinary reflection and research agenda. Journal of Business Research [en linea]. 2021, vol. 122, pp. 889-901 [consulta: 23 mayo 2026]. DOI: 10.1016/j.jbusres.2019.09.022.</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Cita en texto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(VERHOEF et al., 2021)</w:t>
            </w:r>
          </w:p>
        </w:tc>
      </w:tr>
      <w:tr>
        <w:tc>
          <w:tcPr>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Uso en tesis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Introduccion, planteamiento del problema, marco teorico Eje 1, justificacion del proyecto.</w:t>
            </w:r>
          </w:p>
        </w:tc>
      </w:tr>
    </w:tbl>
    <w:p>
      <w:pPr>
        <w:spacing w:after="60" w:before="60"/>
      </w:pPr>
      <w:r>
        <w:t xml:space="preserve"/>
      </w:r>
    </w:p>
    <w:p>
      <w:r>
        <w:br w:type="page"/>
      </w:r>
    </w:p>
    <w:p>
      <w:pPr>
        <w:shd w:fill="1F4E79" w:val="clear"/>
        <w:spacing w:after="120" w:before="300"/>
        <w:ind w:left="200"/>
        <w:jc w:val="left"/>
      </w:pPr>
      <w:r>
        <w:rPr>
          <w:rFonts w:ascii="Arial" w:cs="Arial" w:eastAsia="Arial" w:hAnsi="Arial"/>
          <w:b/>
          <w:bCs/>
          <w:color w:val="FFFFFF"/>
          <w:sz w:val="28"/>
          <w:szCs w:val="28"/>
        </w:rPr>
        <w:t xml:space="preserve">SECCION 5 - VALOR AGREGADO DEL PROYECTO</w:t>
      </w:r>
    </w:p>
    <w:p>
      <w:pPr>
        <w:spacing w:after="60" w:before="60"/>
      </w:pPr>
      <w:r>
        <w:t xml:space="preserve"/>
      </w:r>
    </w:p>
    <w:p>
      <w:pPr>
        <w:spacing w:after="80" w:before="80"/>
        <w:jc w:val="both"/>
      </w:pPr>
      <w:r>
        <w:rPr>
          <w:rFonts w:ascii="Arial" w:cs="Arial" w:eastAsia="Arial" w:hAnsi="Arial"/>
          <w:sz w:val="20"/>
          <w:szCs w:val="20"/>
        </w:rPr>
        <w:t xml:space="preserve">El valor agregado del proyecto se analiza en seis dimensiones. Cada componente esta sustentado por al menos un articulo Q1 verificado y representa una contribucion original respecto al estado del arte documentado en la literatura.</w:t>
      </w:r>
    </w:p>
    <w:p>
      <w:pPr>
        <w:spacing w:after="60" w:before="60"/>
      </w:pPr>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100"/>
        <w:gridCol w:w="9500"/>
      </w:tblGrid>
      <w:tr>
        <w:trPr>
          <w:tblHeader/>
        </w:trPr>
        <w:tc>
          <w:tcPr>
            <w:tcW w:type="dxa" w:w="7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ID</w:t>
            </w:r>
          </w:p>
        </w:tc>
        <w:tc>
          <w:tcPr>
            <w:tcW w:type="dxa" w:w="22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Componente</w:t>
            </w:r>
          </w:p>
        </w:tc>
        <w:tc>
          <w:tcPr>
            <w:tcW w:type="dxa" w:w="11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Impacto</w:t>
            </w:r>
          </w:p>
        </w:tc>
        <w:tc>
          <w:tcPr>
            <w:tcW w:type="dxa" w:w="9500"/>
            <w:tcBorders>
              <w:top w:val="single" w:color="2E75B6" w:sz="6"/>
              <w:left w:val="single" w:color="2E75B6" w:sz="6"/>
              <w:bottom w:val="single" w:color="2E75B6" w:sz="6"/>
              <w:right w:val="single" w:color="2E75B6" w:sz="6"/>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Descripcion y sustento Q1</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VA-1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IRE como indice operativo adaptado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Alto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Indice de Riesgo Empresarial (IRE = 0.40*riesgo_stock + 0.35*riesgo_ingreso + 0.25*riesgo_demanda) es una contribucion original de la tesis: adapta la logica de zonas de riesgo de Altman (1968) para el contexto de una PYME retail de calzado en Peru. No es una replicacion del Z-score sino una re-conceptualizacion operativa con indicadores pertinentes al negocio. Sustentado en Barboza et al. (2017) y Kim et al. (2020).</w:t>
            </w:r>
          </w:p>
        </w:tc>
      </w:tr>
      <w:tr>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VA-2</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Modelo hibrido de forecasting</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Alto</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sistema implementa un modelo de dos niveles segun disponibilidad de datos: RandomForestRegressor (&gt;=14 dias de historial) + regresion lineal con media movil de 7 dias (14-30 dias). Esto resuelve el problema de cold-start para productos nuevos en una PYME. No existe un sistema similar documentado para el sector calzado peruano.</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VA-3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Microservicio IA con FastAPI + Supabase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Alto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 arquitectura separa el e-commerce (Firebase/React/TypeScript) del componente de IA (FastAPI/Python/Supabase). Esto permite actualizar, reentrenar o reemplazar el modelo sin afectar el sistema web. Sustentado en Jamshidi et al. (2018), Lwakatare et al. (2020) y Paleyes et al. (2022).</w:t>
            </w:r>
          </w:p>
        </w:tc>
      </w:tr>
      <w:tr>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VA-4</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Dashboard predictivo con alertas de riesgo</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Medio-Alto</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sistema traduce salidas del modelo de IA (IRE + prediccion de demanda) en visualizaciones accionables para el gestor de Calzatura Vilchez. Convierte datos tecnicos en decisiones de negocio. Sustentado en Lepenioti et al. (2020) y Davenport et al. (2020).</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VA-5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Aplicabilidad a PYMEs sin ERP</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Alto</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sistema esta disenado para operar sin infraestructura empresarial preexistente: sin ERP, sin data warehouse, con datos historicos limitados. Cubre un vacio tecnologico real en PYMEs de calzado peruano. Sustentado en Soto-Acosta (2020) y Chatterjee &amp; Kumar Kar (2020).</w:t>
            </w:r>
          </w:p>
        </w:tc>
      </w:tr>
      <w:tr>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VA-6</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Validacion metodologica con CRISP-ML(Q)</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Arial" w:cs="Arial" w:eastAsia="Arial" w:hAnsi="Arial"/>
                <w:b/>
                <w:bCs/>
                <w:color w:val="2E75B6"/>
                <w:sz w:val="18"/>
                <w:szCs w:val="18"/>
              </w:rPr>
              <w:t xml:space="preserve">Medio</w:t>
            </w:r>
          </w:p>
        </w:tc>
        <w:tc>
          <w:tcPr>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uso de CRISP-ML(Q) (extension de CRISP-DM con garantia de calidad) anade rigor reproducible al proceso de desarrollo del modelo de IA. Esto diferencia la tesis de proyectos que usan ML sin proceso documentado. Sustentado en Haakman et al. (2021) y Martinez-Fernandez et al. (2022).</w:t>
            </w:r>
          </w:p>
        </w:tc>
      </w:tr>
    </w:tbl>
    <w:p>
      <w:pPr>
        <w:spacing w:after="60" w:before="60"/>
      </w:pPr>
      <w:r>
        <w:t xml:space="preserve"/>
      </w:r>
    </w:p>
    <w:p>
      <w:r>
        <w:br w:type="page"/>
      </w:r>
    </w:p>
    <w:p>
      <w:pPr>
        <w:shd w:fill="1F4E79" w:val="clear"/>
        <w:spacing w:after="120" w:before="300"/>
        <w:ind w:left="200"/>
        <w:jc w:val="left"/>
      </w:pPr>
      <w:r>
        <w:rPr>
          <w:rFonts w:ascii="Arial" w:cs="Arial" w:eastAsia="Arial" w:hAnsi="Arial"/>
          <w:b/>
          <w:bCs/>
          <w:color w:val="FFFFFF"/>
          <w:sz w:val="28"/>
          <w:szCs w:val="28"/>
        </w:rPr>
        <w:t xml:space="preserve">SECCION 6 - BIBLIOGRAFIA COMPLETA EN FORMATO ISO 690-2</w:t>
      </w:r>
    </w:p>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6.1 Articulos Cientificos Q1 (42 referencias)</w:t>
      </w:r>
    </w:p>
    <w:p>
      <w:pPr>
        <w:spacing w:after="80" w:before="80"/>
        <w:jc w:val="both"/>
      </w:pPr>
      <w:r>
        <w:rPr>
          <w:rFonts w:ascii="Arial" w:cs="Arial" w:eastAsia="Arial" w:hAnsi="Arial"/>
          <w:sz w:val="20"/>
          <w:szCs w:val="20"/>
        </w:rPr>
        <w:t xml:space="preserve">Todas las referencias estan en formato ISO 690 para documentos electronicos en linea.</w:t>
      </w:r>
    </w:p>
    <w:p>
      <w:pPr>
        <w:spacing w:after="60" w:before="60"/>
      </w:pPr>
      <w:r>
        <w:t xml:space="preserve"/>
      </w:r>
    </w:p>
    <w:p>
      <w:pPr>
        <w:spacing w:after="60" w:before="100"/>
        <w:ind w:left="360" w:hanging="360"/>
        <w:jc w:val="both"/>
      </w:pPr>
      <w:r>
        <w:rPr>
          <w:rFonts w:ascii="Arial" w:cs="Arial" w:eastAsia="Arial" w:hAnsi="Arial"/>
          <w:sz w:val="18"/>
          <w:szCs w:val="18"/>
        </w:rPr>
        <w:t xml:space="preserve">1. VERHOEF, Peter C.; BROEKHUIZEN, Tjark; BART, Yakov; BHATTACHARYA, Abhi; DONG, Jonathan Q.; FABIAN, Nicolai y HAENLEIN, Michael. Digital transformation: A multidisciplinary reflection and research agenda. Journal of Business Research [en linea]. 2021, vol. 122, pp. 889-901 [consulta: 23 mayo 2026]. DOI: 10.1016/j.jbusres.2019.09.022.</w:t>
      </w:r>
    </w:p>
    <w:p>
      <w:pPr>
        <w:spacing w:after="60" w:before="100"/>
        <w:ind w:left="360" w:hanging="360"/>
        <w:jc w:val="both"/>
      </w:pPr>
      <w:r>
        <w:rPr>
          <w:rFonts w:ascii="Arial" w:cs="Arial" w:eastAsia="Arial" w:hAnsi="Arial"/>
          <w:sz w:val="18"/>
          <w:szCs w:val="18"/>
        </w:rPr>
        <w:t xml:space="preserve">2. SOTO-ACOSTA, Pedro. COVID-19 pandemic: Shifting digital transformation to a high-speed gear in SMEs. Information Systems Management [en linea]. 2020, vol. 37, n. 4, pp. 333-347 [consulta: 23 mayo 2026]. DOI: 10.1080/10580530.2020.1798662.</w:t>
      </w:r>
    </w:p>
    <w:p>
      <w:pPr>
        <w:spacing w:after="60" w:before="100"/>
        <w:ind w:left="360" w:hanging="360"/>
        <w:jc w:val="both"/>
      </w:pPr>
      <w:r>
        <w:rPr>
          <w:rFonts w:ascii="Arial" w:cs="Arial" w:eastAsia="Arial" w:hAnsi="Arial"/>
          <w:sz w:val="18"/>
          <w:szCs w:val="18"/>
        </w:rPr>
        <w:t xml:space="preserve">3. NAMBISAN, Satish; LYYTINEN, Kalle; MAJCHRZAK, Ann y SONG, Michael. Digital Innovation Management: Reinventing Innovation Management Research in a Digital World. MIS Quarterly [en linea]. 2017, vol. 41, n. 1, pp. 223-238 [consulta: 23 mayo 2026]. DOI: 10.25300/MISQ/2017/41.1.03.</w:t>
      </w:r>
    </w:p>
    <w:p>
      <w:pPr>
        <w:spacing w:after="60" w:before="100"/>
        <w:ind w:left="360" w:hanging="360"/>
        <w:jc w:val="both"/>
      </w:pPr>
      <w:r>
        <w:rPr>
          <w:rFonts w:ascii="Arial" w:cs="Arial" w:eastAsia="Arial" w:hAnsi="Arial"/>
          <w:sz w:val="18"/>
          <w:szCs w:val="18"/>
        </w:rPr>
        <w:t xml:space="preserve">4. LI, Feng. The digital transformation of business models in the creative industries: A holistic framework and emerging trends. British Journal of Management [en linea]. 2020, vol. 31, n. 3, pp. 473-488 [consulta: 23 mayo 2026]. DOI: 10.1111/1467-8551.12361.</w:t>
      </w:r>
    </w:p>
    <w:p>
      <w:pPr>
        <w:spacing w:after="60" w:before="100"/>
        <w:ind w:left="360" w:hanging="360"/>
        <w:jc w:val="both"/>
      </w:pPr>
      <w:r>
        <w:rPr>
          <w:rFonts w:ascii="Arial" w:cs="Arial" w:eastAsia="Arial" w:hAnsi="Arial"/>
          <w:sz w:val="18"/>
          <w:szCs w:val="18"/>
        </w:rPr>
        <w:t xml:space="preserve">5. CHATTERJEE, Sheshadri y KUMAR KAR, Arpan. Why do small and medium enterprises use social media marketing and what is the impact: Empirical insights from India. Journal of Business Research [en linea]. 2020, vol. 122, pp. 751-762 [consulta: 23 mayo 2026]. DOI: 10.1016/j.jbusres.2019.09.016.</w:t>
      </w:r>
    </w:p>
    <w:p>
      <w:pPr>
        <w:spacing w:after="60" w:before="100"/>
        <w:ind w:left="360" w:hanging="360"/>
        <w:jc w:val="both"/>
      </w:pPr>
      <w:r>
        <w:rPr>
          <w:rFonts w:ascii="Arial" w:cs="Arial" w:eastAsia="Arial" w:hAnsi="Arial"/>
          <w:sz w:val="18"/>
          <w:szCs w:val="18"/>
        </w:rPr>
        <w:t xml:space="preserve">6. KANNAN, P. K. Digital marketing: A framework, review and research agenda. International Journal of Research in Marketing [en linea]. 2017, vol. 34, n. 1, pp. 22-45 [consulta: 23 mayo 2026]. DOI: 10.1016/j.ijresmar.2016.11.006.</w:t>
      </w:r>
    </w:p>
    <w:p>
      <w:pPr>
        <w:spacing w:after="60" w:before="100"/>
        <w:ind w:left="360" w:hanging="360"/>
        <w:jc w:val="both"/>
      </w:pPr>
      <w:r>
        <w:rPr>
          <w:rFonts w:ascii="Arial" w:cs="Arial" w:eastAsia="Arial" w:hAnsi="Arial"/>
          <w:sz w:val="18"/>
          <w:szCs w:val="18"/>
        </w:rPr>
        <w:t xml:space="preserve">7. REINARTZ, Werner; WIEGAND, Nicole y IMSCHLOSS, Monika. The impact of digital transformation on the retailing value chain. International Journal of Research in Marketing [en linea]. 2019, vol. 36, n. 3, pp. 350-366 [consulta: 23 mayo 2026]. DOI: 10.1016/j.ijresmar.2018.12.002.</w:t>
      </w:r>
    </w:p>
    <w:p>
      <w:pPr>
        <w:spacing w:after="60" w:before="100"/>
        <w:ind w:left="360" w:hanging="360"/>
        <w:jc w:val="both"/>
      </w:pPr>
      <w:r>
        <w:rPr>
          <w:rFonts w:ascii="Arial" w:cs="Arial" w:eastAsia="Arial" w:hAnsi="Arial"/>
          <w:sz w:val="18"/>
          <w:szCs w:val="18"/>
        </w:rPr>
        <w:t xml:space="preserve">8. HAGBERG, Johan; SUNDSTROM, Marcus y EGELS-ZANDEN, Niklas. The digitalization of retailing: An exploratory framework. International Journal of Retail and Distribution Management [en linea]. 2016, vol. 44, n. 7, pp. 694-712 [consulta: 23 mayo 2026]. DOI: 10.1108/IJRDM-09-2014-0138.</w:t>
      </w:r>
    </w:p>
    <w:p>
      <w:pPr>
        <w:spacing w:after="60" w:before="100"/>
        <w:ind w:left="360" w:hanging="360"/>
        <w:jc w:val="both"/>
      </w:pPr>
      <w:r>
        <w:rPr>
          <w:rFonts w:ascii="Arial" w:cs="Arial" w:eastAsia="Arial" w:hAnsi="Arial"/>
          <w:sz w:val="18"/>
          <w:szCs w:val="18"/>
        </w:rPr>
        <w:t xml:space="preserve">9. DUAN, Yanqing; EDWARDS, John S. y DWIVEDI, Yogesh K. Artificial intelligence for decision making in the era of Big Data: Evolution, challenges and research agenda. International Journal of Information Management [en linea]. 2019, vol. 48, pp. 63-71 [consulta: 23 mayo 2026]. DOI: 10.1016/j.ijinfomgt.2019.01.021.</w:t>
      </w:r>
    </w:p>
    <w:p>
      <w:pPr>
        <w:spacing w:after="60" w:before="100"/>
        <w:ind w:left="360" w:hanging="360"/>
        <w:jc w:val="both"/>
      </w:pPr>
      <w:r>
        <w:rPr>
          <w:rFonts w:ascii="Arial" w:cs="Arial" w:eastAsia="Arial" w:hAnsi="Arial"/>
          <w:sz w:val="18"/>
          <w:szCs w:val="18"/>
        </w:rPr>
        <w:t xml:space="preserve">10. DAVENPORT, Thomas; GUHA, Abhijit; GREWAL, Dhruv y BRESSGOTT, Timna. How artificial intelligence will change the future of marketing. Journal of the Academy of Marketing Science [en linea]. 2020, vol. 48, n. 1, pp. 24-42 [consulta: 23 mayo 2026]. DOI: 10.1007/s11747-019-00696-0.</w:t>
      </w:r>
    </w:p>
    <w:p>
      <w:pPr>
        <w:spacing w:after="60" w:before="100"/>
        <w:ind w:left="360" w:hanging="360"/>
        <w:jc w:val="both"/>
      </w:pPr>
      <w:r>
        <w:rPr>
          <w:rFonts w:ascii="Arial" w:cs="Arial" w:eastAsia="Arial" w:hAnsi="Arial"/>
          <w:sz w:val="18"/>
          <w:szCs w:val="18"/>
        </w:rPr>
        <w:t xml:space="preserve">11. SHRESTHA, Yash Raj; BEN-MENAHEM, Shiko M. y VON KROGH, Georg. Organizational decision-making structures in the age of artificial intelligence. California Management Review [en linea]. 2019, vol. 61, n. 4, pp. 66-83 [consulta: 23 mayo 2026]. DOI: 10.1177/0008125619862137.</w:t>
      </w:r>
    </w:p>
    <w:p>
      <w:pPr>
        <w:spacing w:after="60" w:before="100"/>
        <w:ind w:left="360" w:hanging="360"/>
        <w:jc w:val="both"/>
      </w:pPr>
      <w:r>
        <w:rPr>
          <w:rFonts w:ascii="Arial" w:cs="Arial" w:eastAsia="Arial" w:hAnsi="Arial"/>
          <w:sz w:val="18"/>
          <w:szCs w:val="18"/>
        </w:rPr>
        <w:t xml:space="preserve">12. WAMBA, Samuel F.; GUNASEKARAN, Angappa; AKTER, Shahriar; REN, Steven J. F.; DUBEY, Ramesh y CHILDE, Stephen J. Big data analytics and firm performance: Effects of dynamic capabilities. Journal of Business Research [en linea]. 2017, vol. 70, pp. 356-365 [consulta: 23 mayo 2026]. DOI: 10.1016/j.jbusres.2016.08.009.</w:t>
      </w:r>
    </w:p>
    <w:p>
      <w:pPr>
        <w:spacing w:after="60" w:before="100"/>
        <w:ind w:left="360" w:hanging="360"/>
        <w:jc w:val="both"/>
      </w:pPr>
      <w:r>
        <w:rPr>
          <w:rFonts w:ascii="Arial" w:cs="Arial" w:eastAsia="Arial" w:hAnsi="Arial"/>
          <w:sz w:val="18"/>
          <w:szCs w:val="18"/>
        </w:rPr>
        <w:t xml:space="preserve">13. MAKRIDAKIS, Spyros; SPILIOTIS, Evangelos y ASSIMAKOPOULOS, Vassilios. Statistical and Machine Learning forecasting methods: Concerns and ways forward. PLOS ONE [en linea]. 2018, vol. 13, n. 3, e0194889 [consulta: 23 mayo 2026]. DOI: 10.1371/journal.pone.0194889.</w:t>
      </w:r>
    </w:p>
    <w:p>
      <w:pPr>
        <w:spacing w:after="60" w:before="100"/>
        <w:ind w:left="360" w:hanging="360"/>
        <w:jc w:val="both"/>
      </w:pPr>
      <w:r>
        <w:rPr>
          <w:rFonts w:ascii="Arial" w:cs="Arial" w:eastAsia="Arial" w:hAnsi="Arial"/>
          <w:sz w:val="18"/>
          <w:szCs w:val="18"/>
        </w:rPr>
        <w:t xml:space="preserve">14. FILDES, Robert; MA, Shari y KOLASSA, Stephan. Retail forecasting: Research and practice. International Journal of Forecasting [en linea]. 2022, vol. 38, n. 4, pp. 1283-1318 [consulta: 23 mayo 2026]. DOI: 10.1016/j.ijforecast.2021.08.013.</w:t>
      </w:r>
    </w:p>
    <w:p>
      <w:pPr>
        <w:spacing w:after="60" w:before="100"/>
        <w:ind w:left="360" w:hanging="360"/>
        <w:jc w:val="both"/>
      </w:pPr>
      <w:r>
        <w:rPr>
          <w:rFonts w:ascii="Arial" w:cs="Arial" w:eastAsia="Arial" w:hAnsi="Arial"/>
          <w:sz w:val="18"/>
          <w:szCs w:val="18"/>
        </w:rPr>
        <w:t xml:space="preserve">15. SYAM, Niladri y SHARMA, Arun. Waiting for a sales renaissance in the fourth industrial revolution: Machine learning and artificial intelligence in sales research and practice. Industrial Marketing Management [en linea]. 2018, vol. 69, pp. 135-146 [consulta: 23 mayo 2026]. DOI: 10.1016/j.indmarman.2017.12.019.</w:t>
      </w:r>
    </w:p>
    <w:p>
      <w:pPr>
        <w:spacing w:after="60" w:before="100"/>
        <w:ind w:left="360" w:hanging="360"/>
        <w:jc w:val="both"/>
      </w:pPr>
      <w:r>
        <w:rPr>
          <w:rFonts w:ascii="Arial" w:cs="Arial" w:eastAsia="Arial" w:hAnsi="Arial"/>
          <w:sz w:val="18"/>
          <w:szCs w:val="18"/>
        </w:rPr>
        <w:t xml:space="preserve">16. HAEFNER, Nino; WINCENT, Joakim; PARIDA, Vinit y GASSMANN, Oliver. Artificial intelligence and innovation management: A review, framework, and research agenda. Technological Forecasting and Social Change [en linea]. 2021, vol. 162, 120392 [consulta: 23 mayo 2026]. DOI: 10.1016/j.techfore.2020.120392.</w:t>
      </w:r>
    </w:p>
    <w:p>
      <w:pPr>
        <w:spacing w:after="60" w:before="100"/>
        <w:ind w:left="360" w:hanging="360"/>
        <w:jc w:val="both"/>
      </w:pPr>
      <w:r>
        <w:rPr>
          <w:rFonts w:ascii="Arial" w:cs="Arial" w:eastAsia="Arial" w:hAnsi="Arial"/>
          <w:sz w:val="18"/>
          <w:szCs w:val="18"/>
        </w:rPr>
        <w:t xml:space="preserve">17. PASCHEN, Jeannette; KIETZMANN, Jan y KIETZMANN, Timea C. Artificial intelligence (AI) and its implications for market knowledge in B2B marketing. Journal of Business and Industrial Marketing [en linea]. 2019, vol. 34, n. 7, pp. 1410-1419 [consulta: 23 mayo 2026]. DOI: 10.1108/JBIM-10-2018-0295.</w:t>
      </w:r>
    </w:p>
    <w:p>
      <w:pPr>
        <w:spacing w:after="60" w:before="100"/>
        <w:ind w:left="360" w:hanging="360"/>
        <w:jc w:val="both"/>
      </w:pPr>
      <w:r>
        <w:rPr>
          <w:rFonts w:ascii="Arial" w:cs="Arial" w:eastAsia="Arial" w:hAnsi="Arial"/>
          <w:sz w:val="18"/>
          <w:szCs w:val="18"/>
        </w:rPr>
        <w:t xml:space="preserve">18. OZBAYOGLU, Ahmet Murat; GUDELEK, Mehmet Ugur y SEZER, Omer Berat. Deep learning for financial applications: A survey. Applied Soft Computing [en linea]. 2020, vol. 93, 106384 [consulta: 23 mayo 2026]. DOI: 10.1016/j.asoc.2020.106384.</w:t>
      </w:r>
    </w:p>
    <w:p>
      <w:pPr>
        <w:spacing w:after="60" w:before="100"/>
        <w:ind w:left="360" w:hanging="360"/>
        <w:jc w:val="both"/>
      </w:pPr>
      <w:r>
        <w:rPr>
          <w:rFonts w:ascii="Arial" w:cs="Arial" w:eastAsia="Arial" w:hAnsi="Arial"/>
          <w:sz w:val="18"/>
          <w:szCs w:val="18"/>
        </w:rPr>
        <w:t xml:space="preserve">19. BARBOZA, Flavio; KIMURA, Herbert y ALTMAN, Edward. Machine learning models and bankruptcy prediction. Expert Systems with Applications [en linea]. 2017, vol. 83, pp. 405-417 [consulta: 23 mayo 2026]. DOI: 10.1016/j.eswa.2017.04.006.</w:t>
      </w:r>
    </w:p>
    <w:p>
      <w:pPr>
        <w:spacing w:after="60" w:before="100"/>
        <w:ind w:left="360" w:hanging="360"/>
        <w:jc w:val="both"/>
      </w:pPr>
      <w:r>
        <w:rPr>
          <w:rFonts w:ascii="Arial" w:cs="Arial" w:eastAsia="Arial" w:hAnsi="Arial"/>
          <w:sz w:val="18"/>
          <w:szCs w:val="18"/>
        </w:rPr>
        <w:t xml:space="preserve">20. HOSAKA, Tadaaki. Bankruptcy prediction using imaged financial ratios and convolutional neural networks. Expert Systems with Applications [en linea]. 2019, vol. 117, pp. 287-299 [consulta: 23 mayo 2026]. DOI: 10.1016/j.eswa.2018.09.039.</w:t>
      </w:r>
    </w:p>
    <w:p>
      <w:pPr>
        <w:spacing w:after="60" w:before="100"/>
        <w:ind w:left="360" w:hanging="360"/>
        <w:jc w:val="both"/>
      </w:pPr>
      <w:r>
        <w:rPr>
          <w:rFonts w:ascii="Arial" w:cs="Arial" w:eastAsia="Arial" w:hAnsi="Arial"/>
          <w:sz w:val="18"/>
          <w:szCs w:val="18"/>
        </w:rPr>
        <w:t xml:space="preserve">21. KIM, Min Jae; CHO, Suk Won y RYU, Ilhyung. Corporate default predictions using machine learning: Literature review. Sustainability [en linea]. 2020, vol. 12, n. 16, 6325 [consulta: 23 mayo 2026]. DOI: 10.3390/su12166325.</w:t>
      </w:r>
    </w:p>
    <w:p>
      <w:pPr>
        <w:spacing w:after="60" w:before="100"/>
        <w:ind w:left="360" w:hanging="360"/>
        <w:jc w:val="both"/>
      </w:pPr>
      <w:r>
        <w:rPr>
          <w:rFonts w:ascii="Arial" w:cs="Arial" w:eastAsia="Arial" w:hAnsi="Arial"/>
          <w:sz w:val="18"/>
          <w:szCs w:val="18"/>
        </w:rPr>
        <w:t xml:space="preserve">22. DU JARDIN, Philippe. Dynamics of firm financial evolution and bankruptcy prediction. Expert Systems with Applications [en linea]. 2017, vol. 75, pp. 25-43 [consulta: 23 mayo 2026]. DOI: 10.1016/j.eswa.2017.03.063.</w:t>
      </w:r>
    </w:p>
    <w:p>
      <w:pPr>
        <w:spacing w:after="60" w:before="100"/>
        <w:ind w:left="360" w:hanging="360"/>
        <w:jc w:val="both"/>
      </w:pPr>
      <w:r>
        <w:rPr>
          <w:rFonts w:ascii="Arial" w:cs="Arial" w:eastAsia="Arial" w:hAnsi="Arial"/>
          <w:sz w:val="18"/>
          <w:szCs w:val="18"/>
        </w:rPr>
        <w:t xml:space="preserve">23. LIANG, Deron; LU, Chang-Chun; TSAI, Chih-Fong y SHIH, Guan-An. Financial ratios and corporate governance indicators in bankruptcy prediction: A comprehensive study. European Journal of Operational Research [en linea]. 2016, vol. 252, n. 2, pp. 561-572 [consulta: 23 mayo 2026]. DOI: 10.1016/j.ejor.2016.01.012.</w:t>
      </w:r>
    </w:p>
    <w:p>
      <w:pPr>
        <w:spacing w:after="60" w:before="100"/>
        <w:ind w:left="360" w:hanging="360"/>
        <w:jc w:val="both"/>
      </w:pPr>
      <w:r>
        <w:rPr>
          <w:rFonts w:ascii="Arial" w:cs="Arial" w:eastAsia="Arial" w:hAnsi="Arial"/>
          <w:sz w:val="18"/>
          <w:szCs w:val="18"/>
        </w:rPr>
        <w:t xml:space="preserve">24. MAI, Feng; TIAN, Shaonan; LEE, Chihoon y MA, Ling. Deep learning models for bankruptcy prediction using textual disclosures. European Journal of Operational Research [en linea]. 2019, vol. 274, n. 2, pp. 743-758 [consulta: 23 mayo 2026]. DOI: 10.1016/j.ejor.2018.10.024.</w:t>
      </w:r>
    </w:p>
    <w:p>
      <w:pPr>
        <w:spacing w:after="60" w:before="100"/>
        <w:ind w:left="360" w:hanging="360"/>
        <w:jc w:val="both"/>
      </w:pPr>
      <w:r>
        <w:rPr>
          <w:rFonts w:ascii="Arial" w:cs="Arial" w:eastAsia="Arial" w:hAnsi="Arial"/>
          <w:sz w:val="18"/>
          <w:szCs w:val="18"/>
        </w:rPr>
        <w:t xml:space="preserve">25. TIAN, Shaonan; YU, Yan y GUO, Hui. Variable selection and corporate bankruptcy forecasts. Journal of Banking and Finance [en linea]. 2015, vol. 52, pp. 89-100 [consulta: 23 mayo 2026]. DOI: 10.1016/j.jbankfin.2014.12.003.</w:t>
      </w:r>
    </w:p>
    <w:p>
      <w:pPr>
        <w:spacing w:after="60" w:before="100"/>
        <w:ind w:left="360" w:hanging="360"/>
        <w:jc w:val="both"/>
      </w:pPr>
      <w:r>
        <w:rPr>
          <w:rFonts w:ascii="Arial" w:cs="Arial" w:eastAsia="Arial" w:hAnsi="Arial"/>
          <w:sz w:val="18"/>
          <w:szCs w:val="18"/>
        </w:rPr>
        <w:t xml:space="preserve">26. ALTMAN, Edward I. Financial ratios, discriminant analysis and the prediction of corporate bankruptcy. The Journal of Finance [en linea]. 1968, vol. 23, n. 4, pp. 589-609 [consulta: 23 mayo 2026]. DOI: 10.1111/j.1540-6261.1968.tb00843.x.</w:t>
      </w:r>
    </w:p>
    <w:p>
      <w:pPr>
        <w:spacing w:after="60" w:before="100"/>
        <w:ind w:left="360" w:hanging="360"/>
        <w:jc w:val="both"/>
      </w:pPr>
      <w:r>
        <w:rPr>
          <w:rFonts w:ascii="Arial" w:cs="Arial" w:eastAsia="Arial" w:hAnsi="Arial"/>
          <w:sz w:val="18"/>
          <w:szCs w:val="18"/>
        </w:rPr>
        <w:t xml:space="preserve">27. BEAVER, William H. Financial ratios as predictors of failure. Journal of Accounting Research [en linea]. 1966, vol. 4, pp. 71-111 [consulta: 23 mayo 2026]. DOI: 10.2307/2490171.</w:t>
      </w:r>
    </w:p>
    <w:p>
      <w:pPr>
        <w:spacing w:after="60" w:before="100"/>
        <w:ind w:left="360" w:hanging="360"/>
        <w:jc w:val="both"/>
      </w:pPr>
      <w:r>
        <w:rPr>
          <w:rFonts w:ascii="Arial" w:cs="Arial" w:eastAsia="Arial" w:hAnsi="Arial"/>
          <w:sz w:val="18"/>
          <w:szCs w:val="18"/>
        </w:rPr>
        <w:t xml:space="preserve">28. JAMSHIDI, Pooyan; PAHL, Claus; MENDONCA, Nabor C.; LEWIS, James y TILKOV, Stefan. Microservices: The journey so far and challenges ahead. IEEE Software [en linea]. 2018, vol. 35, n. 3, pp. 24-35 [consulta: 23 mayo 2026]. DOI: 10.1109/MS.2018.2141039.</w:t>
      </w:r>
    </w:p>
    <w:p>
      <w:pPr>
        <w:spacing w:after="60" w:before="100"/>
        <w:ind w:left="360" w:hanging="360"/>
        <w:jc w:val="both"/>
      </w:pPr>
      <w:r>
        <w:rPr>
          <w:rFonts w:ascii="Arial" w:cs="Arial" w:eastAsia="Arial" w:hAnsi="Arial"/>
          <w:sz w:val="18"/>
          <w:szCs w:val="18"/>
        </w:rPr>
        <w:t xml:space="preserve">29. LWAKATARE, Lucy Ellen; RAJ, Aiswarya; CRNKOVIC, Ivica; BOSCH, Jan y OLSSON, Helena H. Large-scale machine learning systems in real-world industrial settings: A review of challenges and solutions with ML systems. Information and Software Technology [en linea]. 2020, vol. 127, 106368 [consulta: 23 mayo 2026]. DOI: 10.1016/j.infsof.2020.106368.</w:t>
      </w:r>
    </w:p>
    <w:p>
      <w:pPr>
        <w:spacing w:after="60" w:before="100"/>
        <w:ind w:left="360" w:hanging="360"/>
        <w:jc w:val="both"/>
      </w:pPr>
      <w:r>
        <w:rPr>
          <w:rFonts w:ascii="Arial" w:cs="Arial" w:eastAsia="Arial" w:hAnsi="Arial"/>
          <w:sz w:val="18"/>
          <w:szCs w:val="18"/>
        </w:rPr>
        <w:t xml:space="preserve">30. KHALID, Umair [et al.]. Predicting risk through artificial intelligence based on machine learning algorithms and advanced features. Complexity [en linea]. 2022, vol. 2022, 6858916 [consulta: 23 mayo 2026]. DOI: 10.1155/2022/6858916.</w:t>
      </w:r>
    </w:p>
    <w:p>
      <w:pPr>
        <w:spacing w:after="60" w:before="100"/>
        <w:ind w:left="360" w:hanging="360"/>
        <w:jc w:val="both"/>
      </w:pPr>
      <w:r>
        <w:rPr>
          <w:rFonts w:ascii="Arial" w:cs="Arial" w:eastAsia="Arial" w:hAnsi="Arial"/>
          <w:sz w:val="18"/>
          <w:szCs w:val="18"/>
        </w:rPr>
        <w:t xml:space="preserve">31. FISCHER, Thomas y KRAUSS, Christopher. Deep learning with long short-term memory networks for financial market predictions. European Journal of Operational Research [en linea]. 2018, vol. 270, n. 2, pp. 654-669 [consulta: 23 mayo 2026]. DOI: 10.1016/j.ejor.2017.11.054.</w:t>
      </w:r>
    </w:p>
    <w:p>
      <w:pPr>
        <w:spacing w:after="60" w:before="100"/>
        <w:ind w:left="360" w:hanging="360"/>
        <w:jc w:val="both"/>
      </w:pPr>
      <w:r>
        <w:rPr>
          <w:rFonts w:ascii="Arial" w:cs="Arial" w:eastAsia="Arial" w:hAnsi="Arial"/>
          <w:sz w:val="18"/>
          <w:szCs w:val="18"/>
        </w:rPr>
        <w:t xml:space="preserve">32. PALEYES, Andrei; URMA, Raoul-Gabriel y LAWRENCE, Neil D. Challenges in deploying machine learning: A survey of case studies. ACM Computing Surveys [en linea]. 2022, vol. 55, n. 6, pp. 1-29 [consulta: 23 mayo 2026]. DOI: 10.1145/3533378.</w:t>
      </w:r>
    </w:p>
    <w:p>
      <w:pPr>
        <w:spacing w:after="60" w:before="100"/>
        <w:ind w:left="360" w:hanging="360"/>
        <w:jc w:val="both"/>
      </w:pPr>
      <w:r>
        <w:rPr>
          <w:rFonts w:ascii="Arial" w:cs="Arial" w:eastAsia="Arial" w:hAnsi="Arial"/>
          <w:sz w:val="18"/>
          <w:szCs w:val="18"/>
        </w:rPr>
        <w:t xml:space="preserve">33. MARTINEZ-FERNANDEZ, Silverio [et al.]. Software engineering for AI-based systems: A survey. ACM Transactions on Software Engineering and Methodology [en linea]. 2022, vol. 31, n. 2, pp. 1-59 [consulta: 23 mayo 2026]. DOI: 10.1145/3487043.</w:t>
      </w:r>
    </w:p>
    <w:p>
      <w:pPr>
        <w:spacing w:after="60" w:before="100"/>
        <w:ind w:left="360" w:hanging="360"/>
        <w:jc w:val="both"/>
      </w:pPr>
      <w:r>
        <w:rPr>
          <w:rFonts w:ascii="Arial" w:cs="Arial" w:eastAsia="Arial" w:hAnsi="Arial"/>
          <w:sz w:val="18"/>
          <w:szCs w:val="18"/>
        </w:rPr>
        <w:t xml:space="preserve">34. LI, Shanshan [et al.]. Understanding and addressing quality attributes of microservices architecture: A systematic literature review. Information and Software Technology [en linea]. 2021, vol. 131, 106449 [consulta: 23 mayo 2026]. DOI: 10.1016/j.infsof.2020.106449.</w:t>
      </w:r>
    </w:p>
    <w:p>
      <w:pPr>
        <w:spacing w:after="60" w:before="100"/>
        <w:ind w:left="360" w:hanging="360"/>
        <w:jc w:val="both"/>
      </w:pPr>
      <w:r>
        <w:rPr>
          <w:rFonts w:ascii="Arial" w:cs="Arial" w:eastAsia="Arial" w:hAnsi="Arial"/>
          <w:sz w:val="18"/>
          <w:szCs w:val="18"/>
        </w:rPr>
        <w:t xml:space="preserve">35. BREIMAN, Leo. Random forests. Machine Learning [en linea]. 2001, vol. 45, n. 1, pp. 5-32 [consulta: 23 mayo 2026]. DOI: 10.1023/A:1010933404324.</w:t>
      </w:r>
    </w:p>
    <w:p>
      <w:pPr>
        <w:spacing w:after="60" w:before="100"/>
        <w:ind w:left="360" w:hanging="360"/>
        <w:jc w:val="both"/>
      </w:pPr>
      <w:r>
        <w:rPr>
          <w:rFonts w:ascii="Arial" w:cs="Arial" w:eastAsia="Arial" w:hAnsi="Arial"/>
          <w:sz w:val="18"/>
          <w:szCs w:val="18"/>
        </w:rPr>
        <w:t xml:space="preserve">36. DINGSOYR, Torgeir; NERUR, Sridhar; BALIJEPALLY, VenuGopal y MOE, Nils Brede. A decade of agile methodologies: Towards explaining agile software development. Journal of Systems and Software [en linea]. 2012, vol. 85, n. 6, pp. 1213-1221 [consulta: 23 mayo 2026]. DOI: 10.1016/j.jss.2012.02.033.</w:t>
      </w:r>
    </w:p>
    <w:p>
      <w:pPr>
        <w:spacing w:after="60" w:before="100"/>
        <w:ind w:left="360" w:hanging="360"/>
        <w:jc w:val="both"/>
      </w:pPr>
      <w:r>
        <w:rPr>
          <w:rFonts w:ascii="Arial" w:cs="Arial" w:eastAsia="Arial" w:hAnsi="Arial"/>
          <w:sz w:val="18"/>
          <w:szCs w:val="18"/>
        </w:rPr>
        <w:t xml:space="preserve">37. MALGONDE, Onkar y CHARI, Krishnamurthy. Predicting sprint performance for agile software development using machine learning. Decision Support Systems [en linea]. 2019, vol. 121, pp. 1-10 [consulta: 23 mayo 2026]. DOI: 10.1016/j.dss.2018.11.005.</w:t>
      </w:r>
    </w:p>
    <w:p>
      <w:pPr>
        <w:spacing w:after="60" w:before="100"/>
        <w:ind w:left="360" w:hanging="360"/>
        <w:jc w:val="both"/>
      </w:pPr>
      <w:r>
        <w:rPr>
          <w:rFonts w:ascii="Arial" w:cs="Arial" w:eastAsia="Arial" w:hAnsi="Arial"/>
          <w:sz w:val="18"/>
          <w:szCs w:val="18"/>
        </w:rPr>
        <w:t xml:space="preserve">38. KUHRMANN, Marco [et al.]. Hybrid development approaches in software engineering: A systematic mapping study. Empirical Software Engineering [en linea]. 2019, vol. 24, n. 5, pp. 2853-2912 [consulta: 23 mayo 2026]. DOI: 10.1007/s10664-019-09753-8.</w:t>
      </w:r>
    </w:p>
    <w:p>
      <w:pPr>
        <w:spacing w:after="60" w:before="100"/>
        <w:ind w:left="360" w:hanging="360"/>
        <w:jc w:val="both"/>
      </w:pPr>
      <w:r>
        <w:rPr>
          <w:rFonts w:ascii="Arial" w:cs="Arial" w:eastAsia="Arial" w:hAnsi="Arial"/>
          <w:sz w:val="18"/>
          <w:szCs w:val="18"/>
        </w:rPr>
        <w:t xml:space="preserve">39. LEPENIOTI, Katerina; BOUSDEKIS, Alexandros; APOSTOLOU, Dimitris y MENTZAS, Gregoris. Prescriptive analytics: Literature review and research challenges. Information Systems [en linea]. 2020, vol. 50, pp. 57-70 [consulta: 23 mayo 2026]. DOI: 10.1016/j.is.2019.05.003.</w:t>
      </w:r>
    </w:p>
    <w:p>
      <w:pPr>
        <w:spacing w:after="60" w:before="100"/>
        <w:ind w:left="360" w:hanging="360"/>
        <w:jc w:val="both"/>
      </w:pPr>
      <w:r>
        <w:rPr>
          <w:rFonts w:ascii="Arial" w:cs="Arial" w:eastAsia="Arial" w:hAnsi="Arial"/>
          <w:sz w:val="18"/>
          <w:szCs w:val="18"/>
        </w:rPr>
        <w:t xml:space="preserve">40. CHOI, Tsan-Ming; WALLACE, Stein W. y WANG, Yulan. Big data analytics in operations management. Production and Operations Management [en linea]. 2018, vol. 27, n. 10, pp. 1868-1883 [consulta: 23 mayo 2026]. DOI: 10.1111/poms.12838.</w:t>
      </w:r>
    </w:p>
    <w:p>
      <w:pPr>
        <w:spacing w:after="60" w:before="100"/>
        <w:ind w:left="360" w:hanging="360"/>
        <w:jc w:val="both"/>
      </w:pPr>
      <w:r>
        <w:rPr>
          <w:rFonts w:ascii="Arial" w:cs="Arial" w:eastAsia="Arial" w:hAnsi="Arial"/>
          <w:sz w:val="18"/>
          <w:szCs w:val="18"/>
        </w:rPr>
        <w:t xml:space="preserve">41. HAAKMAN, Mark; CRUZ, Luis; HUIJGENS, Hennie y VAN DEURSEN, Arie. AI lifecycle models need to be revised: An exploratory study in Fintech. Empirical Software Engineering [en linea]. 2021, vol. 26, n. 5, pp. 1-29 [consulta: 23 mayo 2026]. DOI: 10.1007/s10664-021-09993-0.</w:t>
      </w:r>
    </w:p>
    <w:p>
      <w:pPr>
        <w:spacing w:after="60" w:before="100"/>
        <w:ind w:left="360" w:hanging="360"/>
        <w:jc w:val="both"/>
      </w:pPr>
      <w:r>
        <w:rPr>
          <w:rFonts w:ascii="Arial" w:cs="Arial" w:eastAsia="Arial" w:hAnsi="Arial"/>
          <w:sz w:val="18"/>
          <w:szCs w:val="18"/>
        </w:rPr>
        <w:t xml:space="preserve">42. MELVILLE, Nigel; KRAEMER, Kenneth y GURBAXANI, Vijay. Information technology and organizational performance: An integrative model of IT business value. MIS Quarterly [en linea]. 2004, vol. 28, n. 2, pp. 283-322 [consulta: 23 mayo 2026]. DOI: 10.2307/25148636.</w:t>
      </w:r>
    </w:p>
    <w:p>
      <w:pPr>
        <w:spacing w:after="60" w:before="60"/>
      </w:pPr>
      <w:r>
        <w:t xml:space="preserve"/>
      </w:r>
    </w:p>
    <w:p>
      <w:pPr>
        <w:pBdr>
          <w:bottom w:val="single" w:color="2E75B6" w:sz="4"/>
        </w:pBdr>
        <w:spacing w:after="100" w:before="240"/>
      </w:pPr>
      <w:r>
        <w:rPr>
          <w:rFonts w:ascii="Arial" w:cs="Arial" w:eastAsia="Arial" w:hAnsi="Arial"/>
          <w:b/>
          <w:bCs/>
          <w:color w:val="1F4E79"/>
          <w:sz w:val="24"/>
          <w:szCs w:val="24"/>
        </w:rPr>
        <w:t xml:space="preserve">6.2 Referencias Metodologicas de Apoyo (no contadas como Q1)</w:t>
      </w:r>
    </w:p>
    <w:p>
      <w:pPr>
        <w:spacing w:after="80" w:before="80"/>
        <w:jc w:val="both"/>
      </w:pPr>
      <w:r>
        <w:rPr>
          <w:rFonts w:ascii="Arial" w:cs="Arial" w:eastAsia="Arial" w:hAnsi="Arial"/>
          <w:sz w:val="20"/>
          <w:szCs w:val="20"/>
        </w:rPr>
        <w:t xml:space="preserve">Las siguientes fuentes son referencias de apoyo para metodologia, normas y guias. No forman parte del conteo de 42 articulos Q1.</w:t>
      </w:r>
    </w:p>
    <w:p>
      <w:pPr>
        <w:spacing w:after="60" w:before="60"/>
      </w:pPr>
      <w:r>
        <w:t xml:space="preserve"/>
      </w:r>
    </w:p>
    <w:p>
      <w:pPr>
        <w:spacing w:after="60" w:before="100"/>
        <w:ind w:left="360" w:hanging="360"/>
        <w:jc w:val="both"/>
      </w:pPr>
      <w:r>
        <w:rPr>
          <w:rFonts w:ascii="Arial" w:cs="Arial" w:eastAsia="Arial" w:hAnsi="Arial"/>
          <w:color w:val="444444"/>
          <w:sz w:val="18"/>
          <w:szCs w:val="18"/>
        </w:rPr>
        <w:t xml:space="preserve">HAAKMAN, Mark [et al.]. AI lifecycle models need to be revised: An exploratory study in Fintech. Empirical Software Engineering [en linea]. 2021 [ya incluido en lista Q1 como referencia #41].</w:t>
      </w:r>
    </w:p>
    <w:p>
      <w:pPr>
        <w:spacing w:after="60" w:before="100"/>
        <w:ind w:left="360" w:hanging="360"/>
        <w:jc w:val="both"/>
      </w:pPr>
      <w:r>
        <w:rPr>
          <w:rFonts w:ascii="Arial" w:cs="Arial" w:eastAsia="Arial" w:hAnsi="Arial"/>
          <w:color w:val="444444"/>
          <w:sz w:val="18"/>
          <w:szCs w:val="18"/>
        </w:rPr>
        <w:t xml:space="preserve">SALTZ, Jeffrey S.; SHAMSHURIN, Ivan y CROWSTON, Kevin. Comparing data science project management methodologies via a controlled experiment. En: Proc. Hawaii International Conference on System Sciences (HICSS-50) [en linea]. 2017, pp. 1013-1022 [consulta: 23 mayo 2026]. DOI: 10.24251/hicss.2017.120. [Referencia metodologica - conferencia]</w:t>
      </w:r>
    </w:p>
    <w:p>
      <w:pPr>
        <w:spacing w:after="60" w:before="100"/>
        <w:ind w:left="360" w:hanging="360"/>
        <w:jc w:val="both"/>
      </w:pPr>
      <w:r>
        <w:rPr>
          <w:rFonts w:ascii="Arial" w:cs="Arial" w:eastAsia="Arial" w:hAnsi="Arial"/>
          <w:color w:val="444444"/>
          <w:sz w:val="18"/>
          <w:szCs w:val="18"/>
        </w:rPr>
        <w:t xml:space="preserve">WIRTH, Rudiger y HIPP, Jochen. CRISP-DM: Towards a standard process model for data mining. En: Proc. 4th International Conference on Practical Applications of Knowledge Discovery and Data Mining. 2000, pp. 29-39. [Referencia metodologica - conferencia]</w:t>
      </w:r>
    </w:p>
    <w:p>
      <w:pPr>
        <w:spacing w:after="60" w:before="100"/>
        <w:ind w:left="360" w:hanging="360"/>
        <w:jc w:val="both"/>
      </w:pPr>
      <w:r>
        <w:rPr>
          <w:rFonts w:ascii="Arial" w:cs="Arial" w:eastAsia="Arial" w:hAnsi="Arial"/>
          <w:color w:val="444444"/>
          <w:sz w:val="18"/>
          <w:szCs w:val="18"/>
        </w:rPr>
        <w:t xml:space="preserve">SCHROER, Christoph; KRUSE, Felix y GOMEZ, Jorge Marx. A systematic literature review on applying CRISP-DM process model. Procedia Computer Science [en linea]. 2021, vol. 181, pp. 526-534 [consulta: 23 mayo 2026]. DOI: 10.1016/j.procs.2021.01.199. [Scopus-indexado - referencia metodologica]</w:t>
      </w:r>
    </w:p>
    <w:p>
      <w:pPr>
        <w:spacing w:after="60" w:before="100"/>
        <w:ind w:left="360" w:hanging="360"/>
        <w:jc w:val="both"/>
      </w:pPr>
      <w:r>
        <w:rPr>
          <w:rFonts w:ascii="Arial" w:cs="Arial" w:eastAsia="Arial" w:hAnsi="Arial"/>
          <w:color w:val="444444"/>
          <w:sz w:val="18"/>
          <w:szCs w:val="18"/>
        </w:rPr>
        <w:t xml:space="preserve">STUDER, Stefan [et al.]. Towards CRISP-ML(Q): A machine learning process model with quality assurance methodology. Machine Learning and Knowledge Extraction [en linea]. 2021, vol. 3, n. 2, pp. 392-413 [consulta: 23 mayo 2026]. DOI: 10.3390/make3020020. [Scopus-indexado - referencia metodologica]</w:t>
      </w:r>
    </w:p>
    <w:p>
      <w:pPr>
        <w:spacing w:after="60" w:before="100"/>
        <w:ind w:left="360" w:hanging="360"/>
        <w:jc w:val="both"/>
      </w:pPr>
      <w:r>
        <w:rPr>
          <w:rFonts w:ascii="Arial" w:cs="Arial" w:eastAsia="Arial" w:hAnsi="Arial"/>
          <w:color w:val="444444"/>
          <w:sz w:val="18"/>
          <w:szCs w:val="18"/>
        </w:rPr>
        <w:t xml:space="preserve">SCHWABER, Ken y SUTHERLAND, Jeff. The Scrum Guide: The Definitive Guide to Scrum: The Rules of the Game [en linea]. 2020 [consulta: 23 mayo 2026]. Disponible en: https://scrumguides.org/scrum-guide.html. [Guia oficial metodologica]</w:t>
      </w:r>
    </w:p>
    <w:p>
      <w:pPr>
        <w:spacing w:after="60" w:before="100"/>
        <w:ind w:left="360" w:hanging="360"/>
        <w:jc w:val="both"/>
      </w:pPr>
      <w:r>
        <w:rPr>
          <w:rFonts w:ascii="Arial" w:cs="Arial" w:eastAsia="Arial" w:hAnsi="Arial"/>
          <w:color w:val="444444"/>
          <w:sz w:val="18"/>
          <w:szCs w:val="18"/>
        </w:rPr>
        <w:t xml:space="preserve">ISO/IEC 25010:2011. Systems and software engineering - Systems and software Quality Requirements and Evaluation (SQuaRE) - System and software quality models [en linea]. Geneva: ISO/IEC, 2011 [consulta: 23 mayo 2026]. Disponible en: https://www.iso.org/standard/35733.html. [Norma tecnica internacional]</w:t>
      </w:r>
    </w:p>
    <w:p>
      <w:pPr>
        <w:spacing w:after="60" w:before="60"/>
      </w:pPr>
      <w:r>
        <w:t xml:space="preserve"/>
      </w:r>
    </w:p>
    <w:sectPr>
      <w:headerReference w:type="default" r:id="rId7"/>
      <w:pgSz w:w="2448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2E75B6"/>
        <w:sz w:val="16"/>
        <w:szCs w:val="16"/>
      </w:rPr>
      <w:t xml:space="preserve">Revision Academica v3.0 - Calzatura Vilchez - 42 Articulos Q1 | ISO 690-2  </w:t>
    </w:r>
    <w:r>
      <w:rPr>
        <w:rFonts w:ascii="Arial" w:cs="Arial" w:eastAsia="Arial" w:hAnsi="Arial"/>
        <w:color w:val="2E75B6"/>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2026-05-24T01:10:25.181Z</dcterms:created>
  <dcterms:modified xsi:type="dcterms:W3CDTF">2026-05-24T01:10:25.183Z</dcterms:modified>
</cp:coreProperties>
</file>

<file path=docProps/custom.xml><?xml version="1.0" encoding="utf-8"?>
<Properties xmlns="http://schemas.openxmlformats.org/officeDocument/2006/custom-properties" xmlns:vt="http://schemas.openxmlformats.org/officeDocument/2006/docPropsVTypes"/>
</file>