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3864"/>
          <w:sz w:val="32"/>
        </w:rPr>
        <w:t>TABLA GENERAL DEL ESTADO DEL ARTE</w:t>
      </w:r>
    </w:p>
    <w:p>
      <w:pPr>
        <w:spacing w:before="0" w:after="120"/>
        <w:jc w:val="center"/>
      </w:pPr>
      <w:r>
        <w:rPr>
          <w:rFonts w:ascii="Calibri" w:hAnsi="Calibri"/>
          <w:i/>
          <w:color w:val="595959"/>
          <w:sz w:val="18"/>
        </w:rPr>
        <w:t>"Sistema web de comercio electrónico con modelo de Inteligencia Artificial</w:t>
        <w:br/>
        <w:t>para la predicción del riesgo empresarial en la empresa Calzatura Vilchez"</w:t>
        <w:br/>
        <w:t>Autor: Piero Vilchez  |  Universidad Continental  |  Ingeniería de Sistemas  |  2026</w:t>
        <w:br/>
        <w:t>Sustentada en 42 artículos científicos Q1 organizados en 5 ejes temáticos</w:t>
      </w:r>
    </w:p>
    <w:p>
      <w:pPr>
        <w:spacing w:before="40" w:after="120"/>
        <w:jc w:val="center"/>
      </w:pPr>
      <w:r>
        <w:rPr>
          <w:rFonts w:ascii="Calibri" w:hAnsi="Calibri"/>
          <w:color w:val="2E75B6"/>
          <w:sz w:val="15"/>
        </w:rPr>
        <w:t>Eje 1: E-Commerce y TD (8 arts.)  ·  Eje 2: IA y Big Data (9 arts.)  ·  Eje 3: Predicción de riesgo con ML (10 arts.)  ·  Eje 4: Arquitectura SW y MLOps (7 arts.)  ·  Eje 5: Metodología y ciclo de vida ML (8 arts.)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w="198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Variables</w:t>
            </w:r>
          </w:p>
        </w:tc>
        <w:tc>
          <w:tcPr>
            <w:tcW w:w="3118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Dimensiones</w:t>
            </w:r>
          </w:p>
        </w:tc>
        <w:tc>
          <w:tcPr>
            <w:tcW w:w="4536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Indicadores</w:t>
            </w:r>
          </w:p>
        </w:tc>
        <w:tc>
          <w:tcPr>
            <w:tcW w:w="2268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Instrumentos</w:t>
            </w:r>
          </w:p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Sistema web de comercio electrónico</w:t>
              <w:br/>
              <w:t>con modelo de Inteligencia Artificial</w:t>
            </w:r>
          </w:p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7"/>
              </w:rPr>
              <w:t>E-Commerce y transformación digital del negocio</w:t>
            </w:r>
            <w:r>
              <w:br/>
            </w:r>
            <w:r>
              <w:rPr>
                <w:rFonts w:ascii="Calibri" w:hAnsi="Calibri"/>
                <w:b w:val="0"/>
                <w:color w:val="1F3864"/>
                <w:sz w:val="17"/>
              </w:rPr>
              <w:t>Eje 1 — 8 artículos Q1 (Verhoef 2021; Soto-Acosta 2020; Nambisan 2017; Li 2020; Chatterjee 2020; Kannan 2017; Reinartz 2019; Hagberg 2016)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Nivel de madurez digital de la empresa (escala 1–5)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✔ Revisión sistemática de literatura (Scopus/WoS)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Encuesta de adopción digital (Likert 5 puntos)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Análisis de datos de punto de venta (POS)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Google Analytics / CRM del sistema web</w:t>
            </w:r>
          </w:p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digitalización de procesos de venta y gestión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canales digitales activos integrados al sistema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conversión del canal digital (ventas en línea / ventas totales, 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NPS digital — Net Promoter Score del canal web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procesamiento de pedidos en el sistema (horas)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Rotación de inventario gestionado vía e-commerce (veces/año)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adopción del sistema web por clientes de Calzatura Vilchez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7"/>
              </w:rPr>
              <w:t>Inteligencia Artificial y analítica de datos empresariales</w:t>
            </w:r>
            <w:r>
              <w:br/>
            </w:r>
            <w:r>
              <w:rPr>
                <w:rFonts w:ascii="Calibri" w:hAnsi="Calibri"/>
                <w:b w:val="0"/>
                <w:color w:val="1F3864"/>
                <w:sz w:val="17"/>
              </w:rPr>
              <w:t>Eje 2 — 9 artículos Q1 (Yuan 2021; Davenport 2020; Shrestha 2019; Amba 2017; Makridakis 2018; Fildes 2019; Syam 2018; Haefner 2021; Paschen 2019)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Accuracy del modelo de predicción de demanda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✔ Python (scikit-learn, FastAPI, Pandas, NumPy)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RandomForestRegressor + modelo híbrido (lm + MA-7)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Validación cruzada k-fold (k=5)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Competencia M4 / benchmarking de series temporales</w:t>
            </w:r>
          </w:p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sMAPE — Error porcentual absoluto simétrico del pronóstico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RMSE — Raíz del error cuadrático medio del modelo de IA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Velocidad de inferencia del microservicio de IA (ms por predicción)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variables (features) utilizadas por el modelo de ML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adopción del sistema de IA por el equipo de gestión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ROI de la implementación del modelo de IA en la empresa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Reducción del tiempo de decisión empresarial con IA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F1-score del clasificador de riesgo empresarial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7"/>
              </w:rPr>
              <w:t>Arquitectura de software y despliegue del modelo ML en producción</w:t>
            </w:r>
            <w:r>
              <w:br/>
            </w:r>
            <w:r>
              <w:rPr>
                <w:rFonts w:ascii="Calibri" w:hAnsi="Calibri"/>
                <w:b w:val="0"/>
                <w:color w:val="1F3864"/>
                <w:sz w:val="17"/>
              </w:rPr>
              <w:t>Eje 4 — 7 artículos Q1 (Jamshidi 2018; Swakatare 2019; Khalid 2022; Fischer 2018; Paleyes 2022; Martinez-Fernandez 2022; Li 2021)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Latencia de la API del microservicio de predicción p95 (ms)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✔ React + TypeScript (frontend web)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FastAPI + Python (microservicio IA)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Firebase Firestore (webapp) + Supabase/PostgreSQL (IA)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Docker / CI-CD pipeline</w:t>
            </w:r>
          </w:p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Uptime del sistema web y del microservicio de IA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despliegue de nueva versión del modelo (minutos)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integraciones API activas (Firebase ↔ Supabase ↔ FastAPI)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Cobertura de pruebas automatizadas del sistema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fallos de predicción en producción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MTTR — Tiempo medio de recuperación ante incidentes (horas)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7"/>
              </w:rPr>
              <w:t>Metodología de desarrollo ágil e híbrida del sistema</w:t>
            </w:r>
            <w:r>
              <w:br/>
            </w:r>
            <w:r>
              <w:rPr>
                <w:rFonts w:ascii="Calibri" w:hAnsi="Calibri"/>
                <w:b w:val="0"/>
                <w:color w:val="1F3864"/>
                <w:sz w:val="17"/>
              </w:rPr>
              <w:t>Eje 5 — 8 artículos Q1 (Breiman 2001; Dingsøyr 2012; Salgonde 2021; Kuhrmann 2018; Lepenioti 2020; Choi 2018; Haakman 2021; Melville 2004)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Velocidad del equipo de desarrollo (story points/sprint)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✔ CRISP-ML(Q) — Metodología de ciclo de vida ML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Scrum (sprints de 2 semanas)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MLflow para versionado de experimentos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Jira / GitHub Projects para seguimiento</w:t>
            </w:r>
          </w:p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completitud de sprints del proyecto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fases definidas en CRISP-ML(Q) cubiertas por el sistema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Nivel de madurez del proceso MLOps alcanzado (escala 1–5)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Cobertura de fases con criterios de calidad definidos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entrega de cada incremento funcional (días)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ROI de la inversión en TI del sistema (Melville, 2004) (%)</w:t>
            </w:r>
          </w:p>
        </w:tc>
        <w:tc>
          <w:tcPr>
            <w:tcW w:w="2268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Predicción del riesgo empresarial</w:t>
              <w:br/>
              <w:t>(Índice de Riesgo Empresarial — IRE)</w:t>
              <w:br/>
              <w:t>en la empresa Calzatura Vilchez</w:t>
            </w:r>
          </w:p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7"/>
              </w:rPr>
              <w:t>Modelos de predicción de riesgo empresarial con Machine Learning</w:t>
            </w:r>
            <w:r>
              <w:br/>
            </w:r>
            <w:r>
              <w:rPr>
                <w:rFonts w:ascii="Calibri" w:hAnsi="Calibri"/>
                <w:b w:val="0"/>
                <w:color w:val="1F3864"/>
                <w:sz w:val="17"/>
              </w:rPr>
              <w:t>Eje 3 — 10 artículos Q1 (Ozbayoglu 2020; Barboza 2017; Osaka 2019; Kim 2021; Du Jardin 2021; Jiang 2018; Cai 2019; Tian 2015; Altman 1968; Beaver 1966)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AUC-ROC del modelo de predicción de riesgo empresarial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✔ RandomForestRegressor (scikit-learn, Python)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Modelo híbrido: regresión lineal + media móvil 7 días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Supabase/PostgreSQL (base de datos de ventas para IA)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SHAP values para interpretabilidad del modelo IRE</w:t>
            </w:r>
          </w:p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Accuracy del modelo de clasificación de riesgo (%)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Recall (sensibilidad) del modelo — detección de empresas en riesgo (%)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MAE — Error absoluto medio de la predicción de IRE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Mejora del AUC vs. modelo Altman Z-score (benchmark clásico)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ratios financieros y variables de ventas utilizados como features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Horizonte de predicción del modelo (días de anticipación)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Estabilidad del modelo ante data drift mensual (delta accuracy)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7"/>
              </w:rPr>
              <w:t>Índice de Riesgo Empresarial compuesto (IRE) de Calzatura Vilchez</w:t>
            </w:r>
            <w:r>
              <w:br/>
            </w:r>
            <w:r>
              <w:rPr>
                <w:rFonts w:ascii="Calibri" w:hAnsi="Calibri"/>
                <w:b w:val="0"/>
                <w:color w:val="1F3864"/>
                <w:sz w:val="17"/>
              </w:rPr>
              <w:t>Modelo propio de la tesis — adaptado de Altman Z-score para PYMEs de retail de calzado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IRE = 0.40×riesgo_stock + 0.35×riesgo_ingreso + 0.25×riesgo_demanda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6"/>
              </w:rPr>
              <w:t>✔ Fórmula IRE ponderada (adaptación Altman Z-score para retail PYME)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Dashboard web en React/TypeScript para visualización del IRE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Alerta automática vía Firebase (IRE &gt; umbral configurado)</w:t>
            </w:r>
            <w:r>
              <w:br/>
            </w:r>
            <w:r>
              <w:rPr>
                <w:rFonts w:ascii="Calibri" w:hAnsi="Calibri"/>
                <w:b w:val="0"/>
                <w:color w:val="2C3E50"/>
                <w:sz w:val="16"/>
              </w:rPr>
              <w:t>✔ Validación histórica con datos reales de Calzatura Vilchez</w:t>
            </w:r>
          </w:p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Riesgo de stock: nivel de inventario vs. demanda predicha (ratio)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Riesgo de ingreso: variación de ingresos vs. umbral mínimo operativo (%)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Riesgo de demanda: error del pronóstico de ventas para los próximos 14–30 días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Umbral de alerta temprana: IRE &gt; 0.70 → riesgo alto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5F5F5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Frecuencia de actualización del IRE (diaria / semanal)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1984" w:type="dxa"/>
            <w:shd w:val="clear" w:color="auto" w:fill="E2EFD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EFF7E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reducción de riesgo operativo tras implementación del sistema (%)</w:t>
            </w:r>
          </w:p>
        </w:tc>
        <w:tc>
          <w:tcPr>
            <w:tcW w:w="2268" w:type="dxa"/>
            <w:shd w:val="clear" w:color="auto" w:fill="E8F8E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before="80"/>
      </w:pPr>
      <w:r>
        <w:rPr>
          <w:rFonts w:ascii="Calibri" w:hAnsi="Calibri"/>
          <w:i/>
          <w:color w:val="777777"/>
          <w:sz w:val="14"/>
        </w:rPr>
        <w:t>Nota: la Variable Independiente agrupa los ejes 1, 2, 4 y 5 (sistema web + IA + arquitectura + metodología); la Variable Dependiente agrupa el eje 3 (predicción del riesgo) y el modelo IRE propio de la tesis. Todos los artículos corresponden a revistas Q1 verificadas en Scimago Journal Rankings (SJR) y/o Journal Citation Reports (JCR). Fecha de consulta: 23 de mayo de 2026.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