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Calibri" w:hAnsi="Calibri"/>
          <w:b/>
          <w:color w:val="1F3864"/>
          <w:sz w:val="32"/>
        </w:rPr>
        <w:t>TABLA GENERAL DEL ESTADO DEL ARTE</w:t>
      </w:r>
    </w:p>
    <w:p>
      <w:pPr>
        <w:spacing w:before="0" w:after="60"/>
        <w:jc w:val="center"/>
      </w:pPr>
      <w:r>
        <w:rPr>
          <w:rFonts w:ascii="Calibri" w:hAnsi="Calibri"/>
          <w:b/>
          <w:color w:val="1F3864"/>
          <w:sz w:val="20"/>
        </w:rPr>
        <w:t>"Sistema web de comercio electrónico con modelo de Inteligencia Artificial</w:t>
        <w:br/>
      </w:r>
      <w:r>
        <w:rPr>
          <w:rFonts w:ascii="Calibri" w:hAnsi="Calibri"/>
          <w:b/>
          <w:color w:val="1F3864"/>
          <w:sz w:val="20"/>
        </w:rPr>
        <w:t>para la predicción del riesgo empresarial en la empresa Calzatura Vilchez"</w:t>
      </w:r>
      <w:r>
        <w:rPr>
          <w:rFonts w:ascii="Calibri" w:hAnsi="Calibri"/>
          <w:b w:val="0"/>
          <w:color w:val="595959"/>
          <w:sz w:val="16"/>
        </w:rPr>
        <w:br/>
        <w:t>Autor: Piero Vilchez  ·  Universidad Continental  ·  Ingeniería de Sistemas  ·  2026</w:t>
      </w:r>
      <w:r>
        <w:rPr>
          <w:rFonts w:ascii="Calibri" w:hAnsi="Calibri"/>
          <w:b w:val="0"/>
          <w:color w:val="2E75B6"/>
          <w:sz w:val="16"/>
        </w:rPr>
        <w:br/>
        <w:t>42 artículos Q1 — Scimago JR / JCR · Ejes 1–5 · Fecha de consulta: 23 mayo 2026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c>
          <w:tcPr>
            <w:tcW w:w="2154" w:type="dxa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Variables</w:t>
            </w:r>
          </w:p>
        </w:tc>
        <w:tc>
          <w:tcPr>
            <w:tcW w:w="3118" w:type="dxa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Dimensiones</w:t>
            </w:r>
          </w:p>
        </w:tc>
        <w:tc>
          <w:tcPr>
            <w:tcW w:w="4706" w:type="dxa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Indicadores</w:t>
            </w:r>
          </w:p>
        </w:tc>
        <w:tc>
          <w:tcPr>
            <w:tcW w:w="2494" w:type="dxa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Instrumentos</w:t>
            </w:r>
          </w:p>
        </w:tc>
      </w:tr>
      <w:tr>
        <w:tc>
          <w:tcPr>
            <w:tcW w:w="2154" w:type="dxa"/>
            <w:shd w:val="clear" w:color="auto" w:fill="D6E4F0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  <w:vMerge w:val="restart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595959"/>
                <w:sz w:val="16"/>
              </w:rPr>
              <w:t>Variable independiente:</w:t>
            </w:r>
            <w:r>
              <w:br/>
            </w:r>
            <w:r>
              <w:rPr>
                <w:rFonts w:ascii="Calibri" w:hAnsi="Calibri"/>
                <w:b/>
                <w:i w:val="0"/>
                <w:color w:val="1F3864"/>
                <w:sz w:val="18"/>
              </w:rPr>
              <w:t>Sistema web de comercio electrónico</w:t>
            </w:r>
            <w:r>
              <w:br/>
            </w:r>
            <w:r>
              <w:rPr>
                <w:rFonts w:ascii="Calibri" w:hAnsi="Calibri"/>
                <w:b w:val="0"/>
                <w:i w:val="0"/>
                <w:color w:val="2E75B6"/>
                <w:sz w:val="18"/>
              </w:rPr>
              <w:t>con modelo de Inteligencia Artificial</w:t>
            </w:r>
          </w:p>
        </w:tc>
        <w:tc>
          <w:tcPr>
            <w:tcW w:w="3118" w:type="dxa"/>
            <w:shd w:val="clear" w:color="auto" w:fill="BDD7EE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  <w:vMerge w:val="restart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1F3864"/>
                <w:sz w:val="18"/>
              </w:rPr>
              <w:t>E-Commerce y transformación digital del negocio</w:t>
            </w:r>
            <w:r>
              <w:br/>
            </w:r>
            <w:r>
              <w:rPr>
                <w:rFonts w:ascii="Calibri" w:hAnsi="Calibri"/>
                <w:b w:val="0"/>
                <w:i w:val="0"/>
                <w:color w:val="595959"/>
                <w:sz w:val="15"/>
              </w:rPr>
              <w:t>Eje 1 · 8 artículos Q1 · JBR, ISM, MISQ, BJM, IJRM, IJRDM</w:t>
            </w:r>
          </w:p>
        </w:tc>
        <w:tc>
          <w:tcPr>
            <w:tcW w:w="4706" w:type="dxa"/>
            <w:shd w:val="clear" w:color="auto" w:fill="EBF5FB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7"/>
              </w:rPr>
              <w:t>• Nivel de madurez digital de la empresa (escala 1–5)</w:t>
            </w:r>
          </w:p>
        </w:tc>
        <w:tc>
          <w:tcPr>
            <w:tcW w:w="2494" w:type="dxa"/>
            <w:shd w:val="clear" w:color="auto" w:fill="FEF9E7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  <w:vMerge w:val="restart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2C3E50"/>
                <w:sz w:val="16"/>
              </w:rPr>
              <w:t>✔ Revisión sistemática de literatura (Scopus / WoS)</w:t>
            </w:r>
            <w:r>
              <w:br/>
            </w:r>
            <w:r>
              <w:rPr>
                <w:rFonts w:ascii="Calibri" w:hAnsi="Calibri"/>
                <w:b w:val="0"/>
                <w:i w:val="0"/>
                <w:color w:val="2C3E50"/>
                <w:sz w:val="16"/>
              </w:rPr>
              <w:t>✔ Encuesta de adopción digital (escala Likert 5 puntos)</w:t>
            </w:r>
            <w:r>
              <w:br/>
            </w:r>
            <w:r>
              <w:rPr>
                <w:rFonts w:ascii="Calibri" w:hAnsi="Calibri"/>
                <w:b w:val="0"/>
                <w:i w:val="0"/>
                <w:color w:val="2C3E50"/>
                <w:sz w:val="16"/>
              </w:rPr>
              <w:t>✔ Modelado PLS-SEM (SmartPLS 3)</w:t>
            </w:r>
            <w:r>
              <w:br/>
            </w:r>
            <w:r>
              <w:rPr>
                <w:rFonts w:ascii="Calibri" w:hAnsi="Calibri"/>
                <w:b w:val="0"/>
                <w:i w:val="0"/>
                <w:color w:val="2C3E50"/>
                <w:sz w:val="16"/>
              </w:rPr>
              <w:t>✔ Análisis de cadena de valor (Porter adaptado)</w:t>
            </w:r>
            <w:r>
              <w:br/>
            </w:r>
            <w:r>
              <w:rPr>
                <w:rFonts w:ascii="Calibri" w:hAnsi="Calibri"/>
                <w:b w:val="0"/>
                <w:i w:val="0"/>
                <w:color w:val="2C3E50"/>
                <w:sz w:val="16"/>
              </w:rPr>
              <w:t>✔ Datos de punto de venta — POS (análisis cuantitativo)</w:t>
            </w:r>
          </w:p>
        </w:tc>
      </w:tr>
      <w:tr>
        <w:tc>
          <w:tcPr>
            <w:tcW w:w="2154" w:type="dxa"/>
            <w:shd w:val="clear" w:color="auto" w:fill="D6E4F0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  <w:vMerge/>
          </w:tcPr>
          <w:p/>
        </w:tc>
        <w:tc>
          <w:tcPr>
            <w:tcW w:w="3118" w:type="dxa"/>
            <w:shd w:val="clear" w:color="auto" w:fill="BDD7EE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  <w:vMerge/>
          </w:tcPr>
          <w:p/>
        </w:tc>
        <w:tc>
          <w:tcPr>
            <w:tcW w:w="4706" w:type="dxa"/>
            <w:shd w:val="clear" w:color="auto" w:fill="F8FBFE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7"/>
              </w:rPr>
              <w:t>• Tasa de digitalización de procesos de venta y gestión (%)</w:t>
            </w:r>
          </w:p>
        </w:tc>
        <w:tc>
          <w:tcPr>
            <w:tcW w:w="2494" w:type="dxa"/>
            <w:shd w:val="clear" w:color="auto" w:fill="FEF9E7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  <w:vMerge/>
          </w:tcPr>
          <w:p/>
        </w:tc>
      </w:tr>
      <w:tr>
        <w:tc>
          <w:tcPr>
            <w:tcW w:w="2154" w:type="dxa"/>
            <w:shd w:val="clear" w:color="auto" w:fill="D6E4F0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  <w:vMerge/>
          </w:tcPr>
          <w:p/>
        </w:tc>
        <w:tc>
          <w:tcPr>
            <w:tcW w:w="3118" w:type="dxa"/>
            <w:shd w:val="clear" w:color="auto" w:fill="BDD7EE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  <w:vMerge/>
          </w:tcPr>
          <w:p/>
        </w:tc>
        <w:tc>
          <w:tcPr>
            <w:tcW w:w="4706" w:type="dxa"/>
            <w:shd w:val="clear" w:color="auto" w:fill="EBF5FB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7"/>
              </w:rPr>
              <w:t>• N.° de canales digitales activos integrados al sistema</w:t>
            </w:r>
          </w:p>
        </w:tc>
        <w:tc>
          <w:tcPr>
            <w:tcW w:w="2494" w:type="dxa"/>
            <w:shd w:val="clear" w:color="auto" w:fill="FEF9E7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  <w:vMerge/>
          </w:tcPr>
          <w:p/>
        </w:tc>
      </w:tr>
      <w:tr>
        <w:tc>
          <w:tcPr>
            <w:tcW w:w="2154" w:type="dxa"/>
            <w:shd w:val="clear" w:color="auto" w:fill="D6E4F0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  <w:vMerge/>
          </w:tcPr>
          <w:p/>
        </w:tc>
        <w:tc>
          <w:tcPr>
            <w:tcW w:w="3118" w:type="dxa"/>
            <w:shd w:val="clear" w:color="auto" w:fill="BDD7EE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  <w:vMerge/>
          </w:tcPr>
          <w:p/>
        </w:tc>
        <w:tc>
          <w:tcPr>
            <w:tcW w:w="4706" w:type="dxa"/>
            <w:shd w:val="clear" w:color="auto" w:fill="F8FBFE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7"/>
              </w:rPr>
              <w:t>• Tasa de conversión digital: ventas en línea / ventas totales (%)</w:t>
            </w:r>
          </w:p>
        </w:tc>
        <w:tc>
          <w:tcPr>
            <w:tcW w:w="2494" w:type="dxa"/>
            <w:shd w:val="clear" w:color="auto" w:fill="FEF9E7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  <w:vMerge/>
          </w:tcPr>
          <w:p/>
        </w:tc>
      </w:tr>
      <w:tr>
        <w:tc>
          <w:tcPr>
            <w:tcW w:w="2154" w:type="dxa"/>
            <w:shd w:val="clear" w:color="auto" w:fill="D6E4F0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  <w:vMerge/>
          </w:tcPr>
          <w:p/>
        </w:tc>
        <w:tc>
          <w:tcPr>
            <w:tcW w:w="3118" w:type="dxa"/>
            <w:shd w:val="clear" w:color="auto" w:fill="BDD7EE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  <w:vMerge/>
          </w:tcPr>
          <w:p/>
        </w:tc>
        <w:tc>
          <w:tcPr>
            <w:tcW w:w="4706" w:type="dxa"/>
            <w:shd w:val="clear" w:color="auto" w:fill="EBF5FB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7"/>
              </w:rPr>
              <w:t>• NPS digital — Net Promoter Score del canal web</w:t>
            </w:r>
          </w:p>
        </w:tc>
        <w:tc>
          <w:tcPr>
            <w:tcW w:w="2494" w:type="dxa"/>
            <w:shd w:val="clear" w:color="auto" w:fill="FEF9E7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  <w:vMerge/>
          </w:tcPr>
          <w:p/>
        </w:tc>
      </w:tr>
      <w:tr>
        <w:tc>
          <w:tcPr>
            <w:tcW w:w="2154" w:type="dxa"/>
            <w:shd w:val="clear" w:color="auto" w:fill="D6E4F0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  <w:vMerge/>
          </w:tcPr>
          <w:p/>
        </w:tc>
        <w:tc>
          <w:tcPr>
            <w:tcW w:w="3118" w:type="dxa"/>
            <w:shd w:val="clear" w:color="auto" w:fill="BDD7EE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  <w:vMerge/>
          </w:tcPr>
          <w:p/>
        </w:tc>
        <w:tc>
          <w:tcPr>
            <w:tcW w:w="4706" w:type="dxa"/>
            <w:shd w:val="clear" w:color="auto" w:fill="F8FBFE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7"/>
              </w:rPr>
              <w:t>• Tiempo de ciclo de procesamiento de pedidos en el sistema (horas)</w:t>
            </w:r>
          </w:p>
        </w:tc>
        <w:tc>
          <w:tcPr>
            <w:tcW w:w="2494" w:type="dxa"/>
            <w:shd w:val="clear" w:color="auto" w:fill="FEF9E7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  <w:vMerge/>
          </w:tcPr>
          <w:p/>
        </w:tc>
      </w:tr>
      <w:tr>
        <w:tc>
          <w:tcPr>
            <w:tcW w:w="2154" w:type="dxa"/>
            <w:shd w:val="clear" w:color="auto" w:fill="D6E4F0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  <w:vMerge/>
          </w:tcPr>
          <w:p/>
        </w:tc>
        <w:tc>
          <w:tcPr>
            <w:tcW w:w="3118" w:type="dxa"/>
            <w:shd w:val="clear" w:color="auto" w:fill="BDD7EE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  <w:vMerge/>
          </w:tcPr>
          <w:p/>
        </w:tc>
        <w:tc>
          <w:tcPr>
            <w:tcW w:w="4706" w:type="dxa"/>
            <w:shd w:val="clear" w:color="auto" w:fill="EBF5FB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7"/>
              </w:rPr>
              <w:t>• Rotación de inventario gestionado vía e-commerce (veces/año)</w:t>
            </w:r>
          </w:p>
        </w:tc>
        <w:tc>
          <w:tcPr>
            <w:tcW w:w="2494" w:type="dxa"/>
            <w:shd w:val="clear" w:color="auto" w:fill="FEF9E7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  <w:vMerge/>
          </w:tcPr>
          <w:p/>
        </w:tc>
      </w:tr>
      <w:tr>
        <w:tc>
          <w:tcPr>
            <w:tcW w:w="2154" w:type="dxa"/>
            <w:shd w:val="clear" w:color="auto" w:fill="D6E4F0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  <w:vMerge/>
          </w:tcPr>
          <w:p/>
        </w:tc>
        <w:tc>
          <w:tcPr>
            <w:tcW w:w="3118" w:type="dxa"/>
            <w:shd w:val="clear" w:color="auto" w:fill="BDD7EE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  <w:vMerge/>
          </w:tcPr>
          <w:p/>
        </w:tc>
        <w:tc>
          <w:tcPr>
            <w:tcW w:w="4706" w:type="dxa"/>
            <w:shd w:val="clear" w:color="auto" w:fill="F8FBFE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7"/>
              </w:rPr>
              <w:t>• Tasa de adopción del sistema web por clientes de Calzatura Vilchez (%)</w:t>
            </w:r>
          </w:p>
        </w:tc>
        <w:tc>
          <w:tcPr>
            <w:tcW w:w="2494" w:type="dxa"/>
            <w:shd w:val="clear" w:color="auto" w:fill="FEF9E7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  <w:vMerge/>
          </w:tcPr>
          <w:p/>
        </w:tc>
      </w:tr>
      <w:tr>
        <w:tc>
          <w:tcPr>
            <w:tcW w:w="2154" w:type="dxa"/>
            <w:shd w:val="clear" w:color="auto" w:fill="D6E4F0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  <w:vMerge/>
          </w:tcPr>
          <w:p/>
        </w:tc>
        <w:tc>
          <w:tcPr>
            <w:tcW w:w="3118" w:type="dxa"/>
            <w:shd w:val="clear" w:color="auto" w:fill="BDD7EE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  <w:vMerge w:val="restart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1F3864"/>
                <w:sz w:val="18"/>
              </w:rPr>
              <w:t>Inteligencia Artificial y analítica de datos empresariales</w:t>
            </w:r>
            <w:r>
              <w:br/>
            </w:r>
            <w:r>
              <w:rPr>
                <w:rFonts w:ascii="Calibri" w:hAnsi="Calibri"/>
                <w:b w:val="0"/>
                <w:i w:val="0"/>
                <w:color w:val="595959"/>
                <w:sz w:val="15"/>
              </w:rPr>
              <w:t>Eje 2 · 9 artículos Q1 · JAMS, IJIS, AME, IJPE, PLOS ONE, IJF, IMM, R&amp;D Mgmt</w:t>
            </w:r>
          </w:p>
        </w:tc>
        <w:tc>
          <w:tcPr>
            <w:tcW w:w="4706" w:type="dxa"/>
            <w:shd w:val="clear" w:color="auto" w:fill="EBF5FB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7"/>
              </w:rPr>
              <w:t>• Accuracy del modelo de predicción de demanda (%)</w:t>
            </w:r>
          </w:p>
        </w:tc>
        <w:tc>
          <w:tcPr>
            <w:tcW w:w="2494" w:type="dxa"/>
            <w:shd w:val="clear" w:color="auto" w:fill="FEF9E7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  <w:vMerge w:val="restart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2C3E50"/>
                <w:sz w:val="16"/>
              </w:rPr>
              <w:t>✔ Competencia de pronóstico M4 (100.000 series temporales)</w:t>
            </w:r>
            <w:r>
              <w:br/>
            </w:r>
            <w:r>
              <w:rPr>
                <w:rFonts w:ascii="Calibri" w:hAnsi="Calibri"/>
                <w:b w:val="0"/>
                <w:i w:val="0"/>
                <w:color w:val="2C3E50"/>
                <w:sz w:val="16"/>
              </w:rPr>
              <w:t>✔ Validación cruzada k-fold (k=5 y k=10)</w:t>
            </w:r>
            <w:r>
              <w:br/>
            </w:r>
            <w:r>
              <w:rPr>
                <w:rFonts w:ascii="Calibri" w:hAnsi="Calibri"/>
                <w:b w:val="0"/>
                <w:i w:val="0"/>
                <w:color w:val="2C3E50"/>
                <w:sz w:val="16"/>
              </w:rPr>
              <w:t>✔ Encuesta a tomadores de decisión (Likert 5 puntos)</w:t>
            </w:r>
            <w:r>
              <w:br/>
            </w:r>
            <w:r>
              <w:rPr>
                <w:rFonts w:ascii="Calibri" w:hAnsi="Calibri"/>
                <w:b w:val="0"/>
                <w:i w:val="0"/>
                <w:color w:val="2C3E50"/>
                <w:sz w:val="16"/>
              </w:rPr>
              <w:t>✔ Análisis Delphi (rondas de expertos)</w:t>
            </w:r>
            <w:r>
              <w:br/>
            </w:r>
            <w:r>
              <w:rPr>
                <w:rFonts w:ascii="Calibri" w:hAnsi="Calibri"/>
                <w:b w:val="0"/>
                <w:i w:val="0"/>
                <w:color w:val="2C3E50"/>
                <w:sz w:val="16"/>
              </w:rPr>
              <w:t>✔ Benchmarking estadístico comparativo (ARIMA vs. ML)</w:t>
            </w:r>
          </w:p>
        </w:tc>
      </w:tr>
      <w:tr>
        <w:tc>
          <w:tcPr>
            <w:tcW w:w="2154" w:type="dxa"/>
            <w:shd w:val="clear" w:color="auto" w:fill="D6E4F0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  <w:vMerge/>
          </w:tcPr>
          <w:p/>
        </w:tc>
        <w:tc>
          <w:tcPr>
            <w:tcW w:w="3118" w:type="dxa"/>
            <w:shd w:val="clear" w:color="auto" w:fill="BDD7EE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  <w:vMerge/>
          </w:tcPr>
          <w:p/>
        </w:tc>
        <w:tc>
          <w:tcPr>
            <w:tcW w:w="4706" w:type="dxa"/>
            <w:shd w:val="clear" w:color="auto" w:fill="F8FBFE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7"/>
              </w:rPr>
              <w:t>• sMAPE — Error porcentual absoluto simétrico del pronóstico de ventas</w:t>
            </w:r>
          </w:p>
        </w:tc>
        <w:tc>
          <w:tcPr>
            <w:tcW w:w="2494" w:type="dxa"/>
            <w:shd w:val="clear" w:color="auto" w:fill="FEF9E7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  <w:vMerge/>
          </w:tcPr>
          <w:p/>
        </w:tc>
      </w:tr>
      <w:tr>
        <w:tc>
          <w:tcPr>
            <w:tcW w:w="2154" w:type="dxa"/>
            <w:shd w:val="clear" w:color="auto" w:fill="D6E4F0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  <w:vMerge/>
          </w:tcPr>
          <w:p/>
        </w:tc>
        <w:tc>
          <w:tcPr>
            <w:tcW w:w="3118" w:type="dxa"/>
            <w:shd w:val="clear" w:color="auto" w:fill="BDD7EE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  <w:vMerge/>
          </w:tcPr>
          <w:p/>
        </w:tc>
        <w:tc>
          <w:tcPr>
            <w:tcW w:w="4706" w:type="dxa"/>
            <w:shd w:val="clear" w:color="auto" w:fill="EBF5FB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7"/>
              </w:rPr>
              <w:t>• RMSE — Raíz del error cuadrático medio del modelo de IA</w:t>
            </w:r>
          </w:p>
        </w:tc>
        <w:tc>
          <w:tcPr>
            <w:tcW w:w="2494" w:type="dxa"/>
            <w:shd w:val="clear" w:color="auto" w:fill="FEF9E7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  <w:vMerge/>
          </w:tcPr>
          <w:p/>
        </w:tc>
      </w:tr>
      <w:tr>
        <w:tc>
          <w:tcPr>
            <w:tcW w:w="2154" w:type="dxa"/>
            <w:shd w:val="clear" w:color="auto" w:fill="D6E4F0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  <w:vMerge/>
          </w:tcPr>
          <w:p/>
        </w:tc>
        <w:tc>
          <w:tcPr>
            <w:tcW w:w="3118" w:type="dxa"/>
            <w:shd w:val="clear" w:color="auto" w:fill="BDD7EE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  <w:vMerge/>
          </w:tcPr>
          <w:p/>
        </w:tc>
        <w:tc>
          <w:tcPr>
            <w:tcW w:w="4706" w:type="dxa"/>
            <w:shd w:val="clear" w:color="auto" w:fill="F8FBFE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7"/>
              </w:rPr>
              <w:t>• Velocidad de inferencia del microservicio de predicción (ms por llamada)</w:t>
            </w:r>
          </w:p>
        </w:tc>
        <w:tc>
          <w:tcPr>
            <w:tcW w:w="2494" w:type="dxa"/>
            <w:shd w:val="clear" w:color="auto" w:fill="FEF9E7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  <w:vMerge/>
          </w:tcPr>
          <w:p/>
        </w:tc>
      </w:tr>
      <w:tr>
        <w:tc>
          <w:tcPr>
            <w:tcW w:w="2154" w:type="dxa"/>
            <w:shd w:val="clear" w:color="auto" w:fill="D6E4F0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  <w:vMerge/>
          </w:tcPr>
          <w:p/>
        </w:tc>
        <w:tc>
          <w:tcPr>
            <w:tcW w:w="3118" w:type="dxa"/>
            <w:shd w:val="clear" w:color="auto" w:fill="BDD7EE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  <w:vMerge/>
          </w:tcPr>
          <w:p/>
        </w:tc>
        <w:tc>
          <w:tcPr>
            <w:tcW w:w="4706" w:type="dxa"/>
            <w:shd w:val="clear" w:color="auto" w:fill="EBF5FB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7"/>
              </w:rPr>
              <w:t>• N.° de variables (features) con importancia significativa en el modelo</w:t>
            </w:r>
          </w:p>
        </w:tc>
        <w:tc>
          <w:tcPr>
            <w:tcW w:w="2494" w:type="dxa"/>
            <w:shd w:val="clear" w:color="auto" w:fill="FEF9E7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  <w:vMerge/>
          </w:tcPr>
          <w:p/>
        </w:tc>
      </w:tr>
      <w:tr>
        <w:tc>
          <w:tcPr>
            <w:tcW w:w="2154" w:type="dxa"/>
            <w:shd w:val="clear" w:color="auto" w:fill="D6E4F0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  <w:vMerge/>
          </w:tcPr>
          <w:p/>
        </w:tc>
        <w:tc>
          <w:tcPr>
            <w:tcW w:w="3118" w:type="dxa"/>
            <w:shd w:val="clear" w:color="auto" w:fill="BDD7EE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  <w:vMerge/>
          </w:tcPr>
          <w:p/>
        </w:tc>
        <w:tc>
          <w:tcPr>
            <w:tcW w:w="4706" w:type="dxa"/>
            <w:shd w:val="clear" w:color="auto" w:fill="F8FBFE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7"/>
              </w:rPr>
              <w:t>• Tasa de adopción del sistema de IA por el equipo de gestión (%)</w:t>
            </w:r>
          </w:p>
        </w:tc>
        <w:tc>
          <w:tcPr>
            <w:tcW w:w="2494" w:type="dxa"/>
            <w:shd w:val="clear" w:color="auto" w:fill="FEF9E7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  <w:vMerge/>
          </w:tcPr>
          <w:p/>
        </w:tc>
      </w:tr>
      <w:tr>
        <w:tc>
          <w:tcPr>
            <w:tcW w:w="2154" w:type="dxa"/>
            <w:shd w:val="clear" w:color="auto" w:fill="D6E4F0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  <w:vMerge/>
          </w:tcPr>
          <w:p/>
        </w:tc>
        <w:tc>
          <w:tcPr>
            <w:tcW w:w="3118" w:type="dxa"/>
            <w:shd w:val="clear" w:color="auto" w:fill="BDD7EE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  <w:vMerge/>
          </w:tcPr>
          <w:p/>
        </w:tc>
        <w:tc>
          <w:tcPr>
            <w:tcW w:w="4706" w:type="dxa"/>
            <w:shd w:val="clear" w:color="auto" w:fill="EBF5FB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7"/>
              </w:rPr>
              <w:t>• Reducción del tiempo de toma de decisiones comerciales con IA (%)</w:t>
            </w:r>
          </w:p>
        </w:tc>
        <w:tc>
          <w:tcPr>
            <w:tcW w:w="2494" w:type="dxa"/>
            <w:shd w:val="clear" w:color="auto" w:fill="FEF9E7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  <w:vMerge/>
          </w:tcPr>
          <w:p/>
        </w:tc>
      </w:tr>
      <w:tr>
        <w:tc>
          <w:tcPr>
            <w:tcW w:w="2154" w:type="dxa"/>
            <w:shd w:val="clear" w:color="auto" w:fill="D6E4F0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  <w:vMerge/>
          </w:tcPr>
          <w:p/>
        </w:tc>
        <w:tc>
          <w:tcPr>
            <w:tcW w:w="3118" w:type="dxa"/>
            <w:shd w:val="clear" w:color="auto" w:fill="BDD7EE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  <w:vMerge/>
          </w:tcPr>
          <w:p/>
        </w:tc>
        <w:tc>
          <w:tcPr>
            <w:tcW w:w="4706" w:type="dxa"/>
            <w:shd w:val="clear" w:color="auto" w:fill="F8FBFE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7"/>
              </w:rPr>
              <w:t>• ROI de la implementación del modelo predictivo en la empresa (%)</w:t>
            </w:r>
          </w:p>
        </w:tc>
        <w:tc>
          <w:tcPr>
            <w:tcW w:w="2494" w:type="dxa"/>
            <w:shd w:val="clear" w:color="auto" w:fill="FEF9E7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  <w:vMerge/>
          </w:tcPr>
          <w:p/>
        </w:tc>
      </w:tr>
      <w:tr>
        <w:tc>
          <w:tcPr>
            <w:tcW w:w="2154" w:type="dxa"/>
            <w:shd w:val="clear" w:color="auto" w:fill="D6E4F0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  <w:vMerge/>
          </w:tcPr>
          <w:p/>
        </w:tc>
        <w:tc>
          <w:tcPr>
            <w:tcW w:w="3118" w:type="dxa"/>
            <w:shd w:val="clear" w:color="auto" w:fill="BDD7EE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  <w:vMerge/>
          </w:tcPr>
          <w:p/>
        </w:tc>
        <w:tc>
          <w:tcPr>
            <w:tcW w:w="4706" w:type="dxa"/>
            <w:shd w:val="clear" w:color="auto" w:fill="EBF5FB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7"/>
              </w:rPr>
              <w:t>• AUC-ROC del modelo de clasificación de nivel de riesgo</w:t>
            </w:r>
          </w:p>
        </w:tc>
        <w:tc>
          <w:tcPr>
            <w:tcW w:w="2494" w:type="dxa"/>
            <w:shd w:val="clear" w:color="auto" w:fill="FEF9E7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  <w:vMerge/>
          </w:tcPr>
          <w:p/>
        </w:tc>
      </w:tr>
      <w:tr>
        <w:tc>
          <w:tcPr>
            <w:tcW w:w="2154" w:type="dxa"/>
            <w:shd w:val="clear" w:color="auto" w:fill="D6E4F0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  <w:vMerge/>
          </w:tcPr>
          <w:p/>
        </w:tc>
        <w:tc>
          <w:tcPr>
            <w:tcW w:w="3118" w:type="dxa"/>
            <w:shd w:val="clear" w:color="auto" w:fill="BDD7EE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  <w:vMerge w:val="restart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1F3864"/>
                <w:sz w:val="18"/>
              </w:rPr>
              <w:t>Arquitectura de software y despliegue del modelo ML</w:t>
            </w:r>
            <w:r>
              <w:br/>
            </w:r>
            <w:r>
              <w:rPr>
                <w:rFonts w:ascii="Calibri" w:hAnsi="Calibri"/>
                <w:b w:val="0"/>
                <w:i w:val="0"/>
                <w:color w:val="595959"/>
                <w:sz w:val="15"/>
              </w:rPr>
              <w:t>Eje 4 · 7 artículos Q1 · IEEE Software, EJOR, ACM CSUR, ACM TOSEM, IST</w:t>
            </w:r>
          </w:p>
        </w:tc>
        <w:tc>
          <w:tcPr>
            <w:tcW w:w="4706" w:type="dxa"/>
            <w:shd w:val="clear" w:color="auto" w:fill="EBF5FB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7"/>
              </w:rPr>
              <w:t>• Latencia de la API del microservicio de predicción p95 (ms)</w:t>
            </w:r>
          </w:p>
        </w:tc>
        <w:tc>
          <w:tcPr>
            <w:tcW w:w="2494" w:type="dxa"/>
            <w:shd w:val="clear" w:color="auto" w:fill="FEF9E7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  <w:vMerge w:val="restart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2C3E50"/>
                <w:sz w:val="16"/>
              </w:rPr>
              <w:t>✔ Systematic Mapping Study — SMS (60+ estudios primarios)</w:t>
            </w:r>
            <w:r>
              <w:br/>
            </w:r>
            <w:r>
              <w:rPr>
                <w:rFonts w:ascii="Calibri" w:hAnsi="Calibri"/>
                <w:b w:val="0"/>
                <w:i w:val="0"/>
                <w:color w:val="2C3E50"/>
                <w:sz w:val="16"/>
              </w:rPr>
              <w:t>✔ Revisión de 209 casos de despliegue real (Paleyes, 2022)</w:t>
            </w:r>
            <w:r>
              <w:br/>
            </w:r>
            <w:r>
              <w:rPr>
                <w:rFonts w:ascii="Calibri" w:hAnsi="Calibri"/>
                <w:b w:val="0"/>
                <w:i w:val="0"/>
                <w:color w:val="2C3E50"/>
                <w:sz w:val="16"/>
              </w:rPr>
              <w:t>✔ Pruebas de rendimiento y carga (JMeter / k6)</w:t>
            </w:r>
            <w:r>
              <w:br/>
            </w:r>
            <w:r>
              <w:rPr>
                <w:rFonts w:ascii="Calibri" w:hAnsi="Calibri"/>
                <w:b w:val="0"/>
                <w:i w:val="0"/>
                <w:color w:val="2C3E50"/>
                <w:sz w:val="16"/>
              </w:rPr>
              <w:t>✔ Monitoreo con Prometheus + Grafana</w:t>
            </w:r>
            <w:r>
              <w:br/>
            </w:r>
            <w:r>
              <w:rPr>
                <w:rFonts w:ascii="Calibri" w:hAnsi="Calibri"/>
                <w:b w:val="0"/>
                <w:i w:val="0"/>
                <w:color w:val="2C3E50"/>
                <w:sz w:val="16"/>
              </w:rPr>
              <w:t>✔ Análisis de logs de producción (MLflow)</w:t>
            </w:r>
          </w:p>
        </w:tc>
      </w:tr>
      <w:tr>
        <w:tc>
          <w:tcPr>
            <w:tcW w:w="2154" w:type="dxa"/>
            <w:shd w:val="clear" w:color="auto" w:fill="D6E4F0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  <w:vMerge/>
          </w:tcPr>
          <w:p/>
        </w:tc>
        <w:tc>
          <w:tcPr>
            <w:tcW w:w="3118" w:type="dxa"/>
            <w:shd w:val="clear" w:color="auto" w:fill="BDD7EE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  <w:vMerge/>
          </w:tcPr>
          <w:p/>
        </w:tc>
        <w:tc>
          <w:tcPr>
            <w:tcW w:w="4706" w:type="dxa"/>
            <w:shd w:val="clear" w:color="auto" w:fill="F8FBFE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7"/>
              </w:rPr>
              <w:t>• Disponibilidad del sistema web y del microservicio de IA (%)</w:t>
            </w:r>
          </w:p>
        </w:tc>
        <w:tc>
          <w:tcPr>
            <w:tcW w:w="2494" w:type="dxa"/>
            <w:shd w:val="clear" w:color="auto" w:fill="FEF9E7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  <w:vMerge/>
          </w:tcPr>
          <w:p/>
        </w:tc>
      </w:tr>
      <w:tr>
        <w:tc>
          <w:tcPr>
            <w:tcW w:w="2154" w:type="dxa"/>
            <w:shd w:val="clear" w:color="auto" w:fill="D6E4F0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  <w:vMerge/>
          </w:tcPr>
          <w:p/>
        </w:tc>
        <w:tc>
          <w:tcPr>
            <w:tcW w:w="3118" w:type="dxa"/>
            <w:shd w:val="clear" w:color="auto" w:fill="BDD7EE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  <w:vMerge/>
          </w:tcPr>
          <w:p/>
        </w:tc>
        <w:tc>
          <w:tcPr>
            <w:tcW w:w="4706" w:type="dxa"/>
            <w:shd w:val="clear" w:color="auto" w:fill="EBF5FB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7"/>
              </w:rPr>
              <w:t>• Tiempo de despliegue de una nueva versión del modelo (minutos)</w:t>
            </w:r>
          </w:p>
        </w:tc>
        <w:tc>
          <w:tcPr>
            <w:tcW w:w="2494" w:type="dxa"/>
            <w:shd w:val="clear" w:color="auto" w:fill="FEF9E7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  <w:vMerge/>
          </w:tcPr>
          <w:p/>
        </w:tc>
      </w:tr>
      <w:tr>
        <w:tc>
          <w:tcPr>
            <w:tcW w:w="2154" w:type="dxa"/>
            <w:shd w:val="clear" w:color="auto" w:fill="D6E4F0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  <w:vMerge/>
          </w:tcPr>
          <w:p/>
        </w:tc>
        <w:tc>
          <w:tcPr>
            <w:tcW w:w="3118" w:type="dxa"/>
            <w:shd w:val="clear" w:color="auto" w:fill="BDD7EE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  <w:vMerge/>
          </w:tcPr>
          <w:p/>
        </w:tc>
        <w:tc>
          <w:tcPr>
            <w:tcW w:w="4706" w:type="dxa"/>
            <w:shd w:val="clear" w:color="auto" w:fill="F8FBFE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7"/>
              </w:rPr>
              <w:t>• N.° de integraciones API activas entre subsistemas (Firebase ↔ FastAPI ↔ Supabase)</w:t>
            </w:r>
          </w:p>
        </w:tc>
        <w:tc>
          <w:tcPr>
            <w:tcW w:w="2494" w:type="dxa"/>
            <w:shd w:val="clear" w:color="auto" w:fill="FEF9E7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  <w:vMerge/>
          </w:tcPr>
          <w:p/>
        </w:tc>
      </w:tr>
      <w:tr>
        <w:tc>
          <w:tcPr>
            <w:tcW w:w="2154" w:type="dxa"/>
            <w:shd w:val="clear" w:color="auto" w:fill="D6E4F0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  <w:vMerge/>
          </w:tcPr>
          <w:p/>
        </w:tc>
        <w:tc>
          <w:tcPr>
            <w:tcW w:w="3118" w:type="dxa"/>
            <w:shd w:val="clear" w:color="auto" w:fill="BDD7EE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  <w:vMerge/>
          </w:tcPr>
          <w:p/>
        </w:tc>
        <w:tc>
          <w:tcPr>
            <w:tcW w:w="4706" w:type="dxa"/>
            <w:shd w:val="clear" w:color="auto" w:fill="EBF5FB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7"/>
              </w:rPr>
              <w:t>• Cobertura de pruebas automatizadas del sistema completo (%)</w:t>
            </w:r>
          </w:p>
        </w:tc>
        <w:tc>
          <w:tcPr>
            <w:tcW w:w="2494" w:type="dxa"/>
            <w:shd w:val="clear" w:color="auto" w:fill="FEF9E7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  <w:vMerge/>
          </w:tcPr>
          <w:p/>
        </w:tc>
      </w:tr>
      <w:tr>
        <w:tc>
          <w:tcPr>
            <w:tcW w:w="2154" w:type="dxa"/>
            <w:shd w:val="clear" w:color="auto" w:fill="D6E4F0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  <w:vMerge/>
          </w:tcPr>
          <w:p/>
        </w:tc>
        <w:tc>
          <w:tcPr>
            <w:tcW w:w="3118" w:type="dxa"/>
            <w:shd w:val="clear" w:color="auto" w:fill="BDD7EE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  <w:vMerge/>
          </w:tcPr>
          <w:p/>
        </w:tc>
        <w:tc>
          <w:tcPr>
            <w:tcW w:w="4706" w:type="dxa"/>
            <w:shd w:val="clear" w:color="auto" w:fill="F8FBFE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7"/>
              </w:rPr>
              <w:t>• Tasa de predicciones fallidas o erróneas en producción (%)</w:t>
            </w:r>
          </w:p>
        </w:tc>
        <w:tc>
          <w:tcPr>
            <w:tcW w:w="2494" w:type="dxa"/>
            <w:shd w:val="clear" w:color="auto" w:fill="FEF9E7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  <w:vMerge/>
          </w:tcPr>
          <w:p/>
        </w:tc>
      </w:tr>
      <w:tr>
        <w:tc>
          <w:tcPr>
            <w:tcW w:w="2154" w:type="dxa"/>
            <w:shd w:val="clear" w:color="auto" w:fill="D6E4F0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  <w:vMerge/>
          </w:tcPr>
          <w:p/>
        </w:tc>
        <w:tc>
          <w:tcPr>
            <w:tcW w:w="3118" w:type="dxa"/>
            <w:shd w:val="clear" w:color="auto" w:fill="BDD7EE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  <w:vMerge/>
          </w:tcPr>
          <w:p/>
        </w:tc>
        <w:tc>
          <w:tcPr>
            <w:tcW w:w="4706" w:type="dxa"/>
            <w:shd w:val="clear" w:color="auto" w:fill="EBF5FB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7"/>
              </w:rPr>
              <w:t>• MTTR — Tiempo medio de recuperación ante incidentes (horas)</w:t>
            </w:r>
          </w:p>
        </w:tc>
        <w:tc>
          <w:tcPr>
            <w:tcW w:w="2494" w:type="dxa"/>
            <w:shd w:val="clear" w:color="auto" w:fill="FEF9E7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  <w:vMerge/>
          </w:tcPr>
          <w:p/>
        </w:tc>
      </w:tr>
      <w:tr>
        <w:tc>
          <w:tcPr>
            <w:tcW w:w="2154" w:type="dxa"/>
            <w:shd w:val="clear" w:color="auto" w:fill="D6E4F0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  <w:vMerge/>
          </w:tcPr>
          <w:p/>
        </w:tc>
        <w:tc>
          <w:tcPr>
            <w:tcW w:w="3118" w:type="dxa"/>
            <w:shd w:val="clear" w:color="auto" w:fill="BDD7EE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  <w:vMerge w:val="restart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1F3864"/>
                <w:sz w:val="18"/>
              </w:rPr>
              <w:t>Metodología de desarrollo ágil e híbrida del sistema</w:t>
            </w:r>
            <w:r>
              <w:br/>
            </w:r>
            <w:r>
              <w:rPr>
                <w:rFonts w:ascii="Calibri" w:hAnsi="Calibri"/>
                <w:b w:val="0"/>
                <w:i w:val="0"/>
                <w:color w:val="595959"/>
                <w:sz w:val="15"/>
              </w:rPr>
              <w:t>Eje 5 · 8 artículos Q1 · ML Journal, JSS, ISM, IEEE SW, IJIM, POM, EMSE, MISQ</w:t>
            </w:r>
          </w:p>
        </w:tc>
        <w:tc>
          <w:tcPr>
            <w:tcW w:w="4706" w:type="dxa"/>
            <w:shd w:val="clear" w:color="auto" w:fill="EBF5FB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7"/>
              </w:rPr>
              <w:t>• Velocidad del equipo de desarrollo (story points completados/sprint)</w:t>
            </w:r>
          </w:p>
        </w:tc>
        <w:tc>
          <w:tcPr>
            <w:tcW w:w="2494" w:type="dxa"/>
            <w:shd w:val="clear" w:color="auto" w:fill="FEF9E7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  <w:vMerge w:val="restart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2C3E50"/>
                <w:sz w:val="16"/>
              </w:rPr>
              <w:t>✔ CRISP-ML(Q) — Marco de calidad del ciclo de vida ML (Haakman, 2021)</w:t>
            </w:r>
            <w:r>
              <w:br/>
            </w:r>
            <w:r>
              <w:rPr>
                <w:rFonts w:ascii="Calibri" w:hAnsi="Calibri"/>
                <w:b w:val="0"/>
                <w:i w:val="0"/>
                <w:color w:val="2C3E50"/>
                <w:sz w:val="16"/>
              </w:rPr>
              <w:t>✔ Scrum — análisis de velocidad y retrospectiva de sprints</w:t>
            </w:r>
            <w:r>
              <w:br/>
            </w:r>
            <w:r>
              <w:rPr>
                <w:rFonts w:ascii="Calibri" w:hAnsi="Calibri"/>
                <w:b w:val="0"/>
                <w:i w:val="0"/>
                <w:color w:val="2C3E50"/>
                <w:sz w:val="16"/>
              </w:rPr>
              <w:t>✔ Encuesta a organizaciones ágiles/híbridas (Kuhrmann, n=732)</w:t>
            </w:r>
            <w:r>
              <w:br/>
            </w:r>
            <w:r>
              <w:rPr>
                <w:rFonts w:ascii="Calibri" w:hAnsi="Calibri"/>
                <w:b w:val="0"/>
                <w:i w:val="0"/>
                <w:color w:val="2C3E50"/>
                <w:sz w:val="16"/>
              </w:rPr>
              <w:t>✔ Análisis bibliométrico (Dingsøyr, 2012 — década de metodologías ágiles)</w:t>
            </w:r>
            <w:r>
              <w:br/>
            </w:r>
            <w:r>
              <w:rPr>
                <w:rFonts w:ascii="Calibri" w:hAnsi="Calibri"/>
                <w:b w:val="0"/>
                <w:i w:val="0"/>
                <w:color w:val="2C3E50"/>
                <w:sz w:val="16"/>
              </w:rPr>
              <w:t>✔ Entrevistas a equipos de ML en Fintech (Haakman, n=17)</w:t>
            </w:r>
          </w:p>
        </w:tc>
      </w:tr>
      <w:tr>
        <w:tc>
          <w:tcPr>
            <w:tcW w:w="2154" w:type="dxa"/>
            <w:shd w:val="clear" w:color="auto" w:fill="D6E4F0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  <w:vMerge/>
          </w:tcPr>
          <w:p/>
        </w:tc>
        <w:tc>
          <w:tcPr>
            <w:tcW w:w="3118" w:type="dxa"/>
            <w:shd w:val="clear" w:color="auto" w:fill="BDD7EE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  <w:vMerge/>
          </w:tcPr>
          <w:p/>
        </w:tc>
        <w:tc>
          <w:tcPr>
            <w:tcW w:w="4706" w:type="dxa"/>
            <w:shd w:val="clear" w:color="auto" w:fill="F8FBFE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7"/>
              </w:rPr>
              <w:t>• Tasa de completitud de sprints del proyecto (%)</w:t>
            </w:r>
          </w:p>
        </w:tc>
        <w:tc>
          <w:tcPr>
            <w:tcW w:w="2494" w:type="dxa"/>
            <w:shd w:val="clear" w:color="auto" w:fill="FEF9E7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  <w:vMerge/>
          </w:tcPr>
          <w:p/>
        </w:tc>
      </w:tr>
      <w:tr>
        <w:tc>
          <w:tcPr>
            <w:tcW w:w="2154" w:type="dxa"/>
            <w:shd w:val="clear" w:color="auto" w:fill="D6E4F0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  <w:vMerge/>
          </w:tcPr>
          <w:p/>
        </w:tc>
        <w:tc>
          <w:tcPr>
            <w:tcW w:w="3118" w:type="dxa"/>
            <w:shd w:val="clear" w:color="auto" w:fill="BDD7EE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  <w:vMerge/>
          </w:tcPr>
          <w:p/>
        </w:tc>
        <w:tc>
          <w:tcPr>
            <w:tcW w:w="4706" w:type="dxa"/>
            <w:shd w:val="clear" w:color="auto" w:fill="EBF5FB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7"/>
              </w:rPr>
              <w:t>• N.° de fases del CRISP-ML(Q) cubiertas con criterios de calidad definidos</w:t>
            </w:r>
          </w:p>
        </w:tc>
        <w:tc>
          <w:tcPr>
            <w:tcW w:w="2494" w:type="dxa"/>
            <w:shd w:val="clear" w:color="auto" w:fill="FEF9E7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  <w:vMerge/>
          </w:tcPr>
          <w:p/>
        </w:tc>
      </w:tr>
      <w:tr>
        <w:tc>
          <w:tcPr>
            <w:tcW w:w="2154" w:type="dxa"/>
            <w:shd w:val="clear" w:color="auto" w:fill="D6E4F0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  <w:vMerge/>
          </w:tcPr>
          <w:p/>
        </w:tc>
        <w:tc>
          <w:tcPr>
            <w:tcW w:w="3118" w:type="dxa"/>
            <w:shd w:val="clear" w:color="auto" w:fill="BDD7EE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  <w:vMerge/>
          </w:tcPr>
          <w:p/>
        </w:tc>
        <w:tc>
          <w:tcPr>
            <w:tcW w:w="4706" w:type="dxa"/>
            <w:shd w:val="clear" w:color="auto" w:fill="F8FBFE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7"/>
              </w:rPr>
              <w:t>• Nivel de madurez MLOps del proceso de desarrollo (escala 1–5)</w:t>
            </w:r>
          </w:p>
        </w:tc>
        <w:tc>
          <w:tcPr>
            <w:tcW w:w="2494" w:type="dxa"/>
            <w:shd w:val="clear" w:color="auto" w:fill="FEF9E7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  <w:vMerge/>
          </w:tcPr>
          <w:p/>
        </w:tc>
      </w:tr>
      <w:tr>
        <w:tc>
          <w:tcPr>
            <w:tcW w:w="2154" w:type="dxa"/>
            <w:shd w:val="clear" w:color="auto" w:fill="D6E4F0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  <w:vMerge/>
          </w:tcPr>
          <w:p/>
        </w:tc>
        <w:tc>
          <w:tcPr>
            <w:tcW w:w="3118" w:type="dxa"/>
            <w:shd w:val="clear" w:color="auto" w:fill="BDD7EE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  <w:vMerge/>
          </w:tcPr>
          <w:p/>
        </w:tc>
        <w:tc>
          <w:tcPr>
            <w:tcW w:w="4706" w:type="dxa"/>
            <w:shd w:val="clear" w:color="auto" w:fill="EBF5FB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7"/>
              </w:rPr>
              <w:t>• Tiempo de entrega de cada incremento funcional del sistema (días)</w:t>
            </w:r>
          </w:p>
        </w:tc>
        <w:tc>
          <w:tcPr>
            <w:tcW w:w="2494" w:type="dxa"/>
            <w:shd w:val="clear" w:color="auto" w:fill="FEF9E7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  <w:vMerge/>
          </w:tcPr>
          <w:p/>
        </w:tc>
      </w:tr>
      <w:tr>
        <w:tc>
          <w:tcPr>
            <w:tcW w:w="2154" w:type="dxa"/>
            <w:shd w:val="clear" w:color="auto" w:fill="D6E4F0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  <w:vMerge/>
          </w:tcPr>
          <w:p/>
        </w:tc>
        <w:tc>
          <w:tcPr>
            <w:tcW w:w="3118" w:type="dxa"/>
            <w:shd w:val="clear" w:color="auto" w:fill="BDD7EE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  <w:vMerge/>
          </w:tcPr>
          <w:p/>
        </w:tc>
        <w:tc>
          <w:tcPr>
            <w:tcW w:w="4706" w:type="dxa"/>
            <w:shd w:val="clear" w:color="auto" w:fill="F8FBFE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7"/>
              </w:rPr>
              <w:t>• N.° de experimentos registrados con trazabilidad completa (MLflow)</w:t>
            </w:r>
          </w:p>
        </w:tc>
        <w:tc>
          <w:tcPr>
            <w:tcW w:w="2494" w:type="dxa"/>
            <w:shd w:val="clear" w:color="auto" w:fill="FEF9E7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  <w:vMerge/>
          </w:tcPr>
          <w:p/>
        </w:tc>
      </w:tr>
      <w:tr>
        <w:tc>
          <w:tcPr>
            <w:tcW w:w="2154" w:type="dxa"/>
            <w:shd w:val="clear" w:color="auto" w:fill="D6E4F0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  <w:vMerge/>
          </w:tcPr>
          <w:p/>
        </w:tc>
        <w:tc>
          <w:tcPr>
            <w:tcW w:w="3118" w:type="dxa"/>
            <w:shd w:val="clear" w:color="auto" w:fill="BDD7EE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  <w:vMerge/>
          </w:tcPr>
          <w:p/>
        </w:tc>
        <w:tc>
          <w:tcPr>
            <w:tcW w:w="4706" w:type="dxa"/>
            <w:shd w:val="clear" w:color="auto" w:fill="EBF5FB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7"/>
              </w:rPr>
              <w:t>• ROI de la inversión en TI del sistema (% sobre costo total del proyecto)</w:t>
            </w:r>
          </w:p>
        </w:tc>
        <w:tc>
          <w:tcPr>
            <w:tcW w:w="2494" w:type="dxa"/>
            <w:shd w:val="clear" w:color="auto" w:fill="FEF9E7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  <w:vMerge/>
          </w:tcPr>
          <w:p/>
        </w:tc>
      </w:tr>
      <w:tr>
        <w:tc>
          <w:tcPr>
            <w:tcW w:w="2154" w:type="dxa"/>
            <w:shd w:val="clear" w:color="auto" w:fill="E2EFDA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vAlign w:val="center"/>
            <w:vMerge w:val="restart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595959"/>
                <w:sz w:val="16"/>
              </w:rPr>
              <w:t>Variable dependiente:</w:t>
            </w:r>
            <w:r>
              <w:br/>
            </w:r>
            <w:r>
              <w:rPr>
                <w:rFonts w:ascii="Calibri" w:hAnsi="Calibri"/>
                <w:b/>
                <w:i w:val="0"/>
                <w:color w:val="1F3864"/>
                <w:sz w:val="18"/>
              </w:rPr>
              <w:t>Predicción del riesgo empresarial</w:t>
            </w:r>
            <w:r>
              <w:br/>
            </w:r>
            <w:r>
              <w:rPr>
                <w:rFonts w:ascii="Calibri" w:hAnsi="Calibri"/>
                <w:b w:val="0"/>
                <w:i w:val="0"/>
                <w:color w:val="2E75B6"/>
                <w:sz w:val="18"/>
              </w:rPr>
              <w:t>(Índice de Riesgo Empresarial — IRE)</w:t>
            </w:r>
            <w:r>
              <w:br/>
            </w:r>
            <w:r>
              <w:rPr>
                <w:rFonts w:ascii="Calibri" w:hAnsi="Calibri"/>
                <w:b w:val="0"/>
                <w:i w:val="0"/>
                <w:color w:val="2E75B6"/>
                <w:sz w:val="18"/>
              </w:rPr>
              <w:t>en la empresa Calzatura Vilchez</w:t>
            </w:r>
          </w:p>
        </w:tc>
        <w:tc>
          <w:tcPr>
            <w:tcW w:w="3118" w:type="dxa"/>
            <w:shd w:val="clear" w:color="auto" w:fill="C6EFCE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vAlign w:val="center"/>
            <w:vMerge w:val="restart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1F3864"/>
                <w:sz w:val="18"/>
              </w:rPr>
              <w:t>Modelos de predicción de riesgo empresarial con ML</w:t>
            </w:r>
            <w:r>
              <w:br/>
            </w:r>
            <w:r>
              <w:rPr>
                <w:rFonts w:ascii="Calibri" w:hAnsi="Calibri"/>
                <w:b w:val="0"/>
                <w:i w:val="0"/>
                <w:color w:val="595959"/>
                <w:sz w:val="15"/>
              </w:rPr>
              <w:t>Eje 3 · 10 artículos Q1 · ESWA, JF, JAR, EJOR, ASC, Sustainability, JAPP, EAR, JBF</w:t>
            </w:r>
          </w:p>
        </w:tc>
        <w:tc>
          <w:tcPr>
            <w:tcW w:w="4706" w:type="dxa"/>
            <w:shd w:val="clear" w:color="auto" w:fill="F0FAF0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7"/>
              </w:rPr>
              <w:t>• AUC-ROC del modelo de predicción de riesgo empresarial</w:t>
            </w:r>
          </w:p>
        </w:tc>
        <w:tc>
          <w:tcPr>
            <w:tcW w:w="2494" w:type="dxa"/>
            <w:shd w:val="clear" w:color="auto" w:fill="F0FFF0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vAlign w:val="center"/>
            <w:vMerge w:val="restart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2C3E50"/>
                <w:sz w:val="16"/>
              </w:rPr>
              <w:t>✔ Análisis discriminante múltiple — MDA (Altman, 1968)</w:t>
            </w:r>
            <w:r>
              <w:br/>
            </w:r>
            <w:r>
              <w:rPr>
                <w:rFonts w:ascii="Calibri" w:hAnsi="Calibri"/>
                <w:b w:val="0"/>
                <w:i w:val="0"/>
                <w:color w:val="2C3E50"/>
                <w:sz w:val="16"/>
              </w:rPr>
              <w:t>✔ Regresión logística binaria — Logit (Jiang, 2018)</w:t>
            </w:r>
            <w:r>
              <w:br/>
            </w:r>
            <w:r>
              <w:rPr>
                <w:rFonts w:ascii="Calibri" w:hAnsi="Calibri"/>
                <w:b w:val="0"/>
                <w:i w:val="0"/>
                <w:color w:val="2C3E50"/>
                <w:sz w:val="16"/>
              </w:rPr>
              <w:t>✔ Random Forest + Gradient Boosting (Barboza, 2017; Khalid, 2022)</w:t>
            </w:r>
            <w:r>
              <w:br/>
            </w:r>
            <w:r>
              <w:rPr>
                <w:rFonts w:ascii="Calibri" w:hAnsi="Calibri"/>
                <w:b w:val="0"/>
                <w:i w:val="0"/>
                <w:color w:val="2C3E50"/>
                <w:sz w:val="16"/>
              </w:rPr>
              <w:t>✔ Matriz de confusión y curva ROC-AUC (Python: scikit-learn)</w:t>
            </w:r>
            <w:r>
              <w:br/>
            </w:r>
            <w:r>
              <w:rPr>
                <w:rFonts w:ascii="Calibri" w:hAnsi="Calibri"/>
                <w:b w:val="0"/>
                <w:i w:val="0"/>
                <w:color w:val="2C3E50"/>
                <w:sz w:val="16"/>
              </w:rPr>
              <w:t>✔ SHAP values para interpretabilidad de predicciones (Kim, 2021)</w:t>
            </w:r>
          </w:p>
        </w:tc>
      </w:tr>
      <w:tr>
        <w:tc>
          <w:tcPr>
            <w:tcW w:w="2154" w:type="dxa"/>
            <w:shd w:val="clear" w:color="auto" w:fill="E2EFDA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vAlign w:val="center"/>
            <w:vMerge/>
          </w:tcPr>
          <w:p/>
        </w:tc>
        <w:tc>
          <w:tcPr>
            <w:tcW w:w="3118" w:type="dxa"/>
            <w:shd w:val="clear" w:color="auto" w:fill="C6EFCE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vAlign w:val="center"/>
            <w:vMerge/>
          </w:tcPr>
          <w:p/>
        </w:tc>
        <w:tc>
          <w:tcPr>
            <w:tcW w:w="4706" w:type="dxa"/>
            <w:shd w:val="clear" w:color="auto" w:fill="F5FDF5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7"/>
              </w:rPr>
              <w:t>• Accuracy del clasificador de nivel de riesgo (%)</w:t>
            </w:r>
          </w:p>
        </w:tc>
        <w:tc>
          <w:tcPr>
            <w:tcW w:w="2494" w:type="dxa"/>
            <w:shd w:val="clear" w:color="auto" w:fill="F0FFF0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vAlign w:val="center"/>
            <w:vMerge/>
          </w:tcPr>
          <w:p/>
        </w:tc>
      </w:tr>
      <w:tr>
        <w:tc>
          <w:tcPr>
            <w:tcW w:w="2154" w:type="dxa"/>
            <w:shd w:val="clear" w:color="auto" w:fill="E2EFDA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vAlign w:val="center"/>
            <w:vMerge/>
          </w:tcPr>
          <w:p/>
        </w:tc>
        <w:tc>
          <w:tcPr>
            <w:tcW w:w="3118" w:type="dxa"/>
            <w:shd w:val="clear" w:color="auto" w:fill="C6EFCE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vAlign w:val="center"/>
            <w:vMerge/>
          </w:tcPr>
          <w:p/>
        </w:tc>
        <w:tc>
          <w:tcPr>
            <w:tcW w:w="4706" w:type="dxa"/>
            <w:shd w:val="clear" w:color="auto" w:fill="F0FAF0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7"/>
              </w:rPr>
              <w:t>• Recall — sensibilidad del modelo: detección de situaciones de riesgo (%)</w:t>
            </w:r>
          </w:p>
        </w:tc>
        <w:tc>
          <w:tcPr>
            <w:tcW w:w="2494" w:type="dxa"/>
            <w:shd w:val="clear" w:color="auto" w:fill="F0FFF0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vAlign w:val="center"/>
            <w:vMerge/>
          </w:tcPr>
          <w:p/>
        </w:tc>
      </w:tr>
      <w:tr>
        <w:tc>
          <w:tcPr>
            <w:tcW w:w="2154" w:type="dxa"/>
            <w:shd w:val="clear" w:color="auto" w:fill="E2EFDA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vAlign w:val="center"/>
            <w:vMerge/>
          </w:tcPr>
          <w:p/>
        </w:tc>
        <w:tc>
          <w:tcPr>
            <w:tcW w:w="3118" w:type="dxa"/>
            <w:shd w:val="clear" w:color="auto" w:fill="C6EFCE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vAlign w:val="center"/>
            <w:vMerge/>
          </w:tcPr>
          <w:p/>
        </w:tc>
        <w:tc>
          <w:tcPr>
            <w:tcW w:w="4706" w:type="dxa"/>
            <w:shd w:val="clear" w:color="auto" w:fill="F5FDF5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7"/>
              </w:rPr>
              <w:t>• MAE — Error absoluto medio de la predicción del IRE</w:t>
            </w:r>
          </w:p>
        </w:tc>
        <w:tc>
          <w:tcPr>
            <w:tcW w:w="2494" w:type="dxa"/>
            <w:shd w:val="clear" w:color="auto" w:fill="F0FFF0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vAlign w:val="center"/>
            <w:vMerge/>
          </w:tcPr>
          <w:p/>
        </w:tc>
      </w:tr>
      <w:tr>
        <w:tc>
          <w:tcPr>
            <w:tcW w:w="2154" w:type="dxa"/>
            <w:shd w:val="clear" w:color="auto" w:fill="E2EFDA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vAlign w:val="center"/>
            <w:vMerge/>
          </w:tcPr>
          <w:p/>
        </w:tc>
        <w:tc>
          <w:tcPr>
            <w:tcW w:w="3118" w:type="dxa"/>
            <w:shd w:val="clear" w:color="auto" w:fill="C6EFCE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vAlign w:val="center"/>
            <w:vMerge/>
          </w:tcPr>
          <w:p/>
        </w:tc>
        <w:tc>
          <w:tcPr>
            <w:tcW w:w="4706" w:type="dxa"/>
            <w:shd w:val="clear" w:color="auto" w:fill="F0FAF0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7"/>
              </w:rPr>
              <w:t>• F1-score del modelo de clasificación de riesgo de quiebra / distress</w:t>
            </w:r>
          </w:p>
        </w:tc>
        <w:tc>
          <w:tcPr>
            <w:tcW w:w="2494" w:type="dxa"/>
            <w:shd w:val="clear" w:color="auto" w:fill="F0FFF0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vAlign w:val="center"/>
            <w:vMerge/>
          </w:tcPr>
          <w:p/>
        </w:tc>
      </w:tr>
      <w:tr>
        <w:tc>
          <w:tcPr>
            <w:tcW w:w="2154" w:type="dxa"/>
            <w:shd w:val="clear" w:color="auto" w:fill="E2EFDA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vAlign w:val="center"/>
            <w:vMerge/>
          </w:tcPr>
          <w:p/>
        </w:tc>
        <w:tc>
          <w:tcPr>
            <w:tcW w:w="3118" w:type="dxa"/>
            <w:shd w:val="clear" w:color="auto" w:fill="C6EFCE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vAlign w:val="center"/>
            <w:vMerge/>
          </w:tcPr>
          <w:p/>
        </w:tc>
        <w:tc>
          <w:tcPr>
            <w:tcW w:w="4706" w:type="dxa"/>
            <w:shd w:val="clear" w:color="auto" w:fill="F5FDF5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7"/>
              </w:rPr>
              <w:t>• Mejora del AUC vs. modelo clásico Altman Z-score (benchmark)</w:t>
            </w:r>
          </w:p>
        </w:tc>
        <w:tc>
          <w:tcPr>
            <w:tcW w:w="2494" w:type="dxa"/>
            <w:shd w:val="clear" w:color="auto" w:fill="F0FFF0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vAlign w:val="center"/>
            <w:vMerge/>
          </w:tcPr>
          <w:p/>
        </w:tc>
      </w:tr>
      <w:tr>
        <w:tc>
          <w:tcPr>
            <w:tcW w:w="2154" w:type="dxa"/>
            <w:shd w:val="clear" w:color="auto" w:fill="E2EFDA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vAlign w:val="center"/>
            <w:vMerge/>
          </w:tcPr>
          <w:p/>
        </w:tc>
        <w:tc>
          <w:tcPr>
            <w:tcW w:w="3118" w:type="dxa"/>
            <w:shd w:val="clear" w:color="auto" w:fill="C6EFCE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vAlign w:val="center"/>
            <w:vMerge/>
          </w:tcPr>
          <w:p/>
        </w:tc>
        <w:tc>
          <w:tcPr>
            <w:tcW w:w="4706" w:type="dxa"/>
            <w:shd w:val="clear" w:color="auto" w:fill="F0FAF0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7"/>
              </w:rPr>
              <w:t>• N.° de ratios financieros y variables de ventas con importancia &gt; umbral</w:t>
            </w:r>
          </w:p>
        </w:tc>
        <w:tc>
          <w:tcPr>
            <w:tcW w:w="2494" w:type="dxa"/>
            <w:shd w:val="clear" w:color="auto" w:fill="F0FFF0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vAlign w:val="center"/>
            <w:vMerge/>
          </w:tcPr>
          <w:p/>
        </w:tc>
      </w:tr>
      <w:tr>
        <w:tc>
          <w:tcPr>
            <w:tcW w:w="2154" w:type="dxa"/>
            <w:shd w:val="clear" w:color="auto" w:fill="E2EFDA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vAlign w:val="center"/>
            <w:vMerge/>
          </w:tcPr>
          <w:p/>
        </w:tc>
        <w:tc>
          <w:tcPr>
            <w:tcW w:w="3118" w:type="dxa"/>
            <w:shd w:val="clear" w:color="auto" w:fill="C6EFCE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vAlign w:val="center"/>
            <w:vMerge/>
          </w:tcPr>
          <w:p/>
        </w:tc>
        <w:tc>
          <w:tcPr>
            <w:tcW w:w="4706" w:type="dxa"/>
            <w:shd w:val="clear" w:color="auto" w:fill="F5FDF5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7"/>
              </w:rPr>
              <w:t>• Horizonte de anticipación del modelo (días antes del evento de riesgo)</w:t>
            </w:r>
          </w:p>
        </w:tc>
        <w:tc>
          <w:tcPr>
            <w:tcW w:w="2494" w:type="dxa"/>
            <w:shd w:val="clear" w:color="auto" w:fill="F0FFF0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vAlign w:val="center"/>
            <w:vMerge/>
          </w:tcPr>
          <w:p/>
        </w:tc>
      </w:tr>
      <w:tr>
        <w:tc>
          <w:tcPr>
            <w:tcW w:w="2154" w:type="dxa"/>
            <w:shd w:val="clear" w:color="auto" w:fill="E2EFDA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vAlign w:val="center"/>
            <w:vMerge/>
          </w:tcPr>
          <w:p/>
        </w:tc>
        <w:tc>
          <w:tcPr>
            <w:tcW w:w="3118" w:type="dxa"/>
            <w:shd w:val="clear" w:color="auto" w:fill="C6EFCE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vAlign w:val="center"/>
            <w:vMerge/>
          </w:tcPr>
          <w:p/>
        </w:tc>
        <w:tc>
          <w:tcPr>
            <w:tcW w:w="4706" w:type="dxa"/>
            <w:shd w:val="clear" w:color="auto" w:fill="F0FAF0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7"/>
              </w:rPr>
              <w:t>• Delta de accuracy por data drift mensual (estabilidad del modelo)</w:t>
            </w:r>
          </w:p>
        </w:tc>
        <w:tc>
          <w:tcPr>
            <w:tcW w:w="2494" w:type="dxa"/>
            <w:shd w:val="clear" w:color="auto" w:fill="F0FFF0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vAlign w:val="center"/>
            <w:vMerge/>
          </w:tcPr>
          <w:p/>
        </w:tc>
      </w:tr>
      <w:tr>
        <w:tc>
          <w:tcPr>
            <w:tcW w:w="2154" w:type="dxa"/>
            <w:shd w:val="clear" w:color="auto" w:fill="E2EFDA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vAlign w:val="center"/>
            <w:vMerge/>
          </w:tcPr>
          <w:p/>
        </w:tc>
        <w:tc>
          <w:tcPr>
            <w:tcW w:w="3118" w:type="dxa"/>
            <w:shd w:val="clear" w:color="auto" w:fill="C6EFCE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vAlign w:val="center"/>
            <w:vMerge w:val="restart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1F3864"/>
                <w:sz w:val="18"/>
              </w:rPr>
              <w:t>Índice de Riesgo Empresarial (IRE) — modelo de la tesis</w:t>
            </w:r>
            <w:r>
              <w:br/>
            </w:r>
            <w:r>
              <w:rPr>
                <w:rFonts w:ascii="Calibri" w:hAnsi="Calibri"/>
                <w:b w:val="0"/>
                <w:i w:val="0"/>
                <w:color w:val="595959"/>
                <w:sz w:val="15"/>
              </w:rPr>
              <w:t>Adaptado de: Altman (1968) · Beaver (1966) · Fildes (2019) · Khalid (2022)</w:t>
            </w:r>
          </w:p>
        </w:tc>
        <w:tc>
          <w:tcPr>
            <w:tcW w:w="4706" w:type="dxa"/>
            <w:shd w:val="clear" w:color="auto" w:fill="F0FAF0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7"/>
              </w:rPr>
              <w:t>• Valor del IRE calculado: escala 0.0 (sin riesgo) — 1.0 (riesgo crítico)</w:t>
            </w:r>
          </w:p>
        </w:tc>
        <w:tc>
          <w:tcPr>
            <w:tcW w:w="2494" w:type="dxa"/>
            <w:shd w:val="clear" w:color="auto" w:fill="F0FFF0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vAlign w:val="center"/>
            <w:vMerge w:val="restart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2C3E50"/>
                <w:sz w:val="16"/>
              </w:rPr>
              <w:t>✔ Ponderación empírica validada por expertos del sector calzado</w:t>
            </w:r>
            <w:r>
              <w:br/>
            </w:r>
            <w:r>
              <w:rPr>
                <w:rFonts w:ascii="Calibri" w:hAnsi="Calibri"/>
                <w:b w:val="0"/>
                <w:i w:val="0"/>
                <w:color w:val="2C3E50"/>
                <w:sz w:val="16"/>
              </w:rPr>
              <w:t>✔ Validación histórica del IRE con datos reales de Calzatura Vilchez</w:t>
            </w:r>
            <w:r>
              <w:br/>
            </w:r>
            <w:r>
              <w:rPr>
                <w:rFonts w:ascii="Calibri" w:hAnsi="Calibri"/>
                <w:b w:val="0"/>
                <w:i w:val="0"/>
                <w:color w:val="2C3E50"/>
                <w:sz w:val="16"/>
              </w:rPr>
              <w:t>✔ Prueba A/B: IRE calculado vs. juicio gerencial (concordancia kappa)</w:t>
            </w:r>
            <w:r>
              <w:br/>
            </w:r>
            <w:r>
              <w:rPr>
                <w:rFonts w:ascii="Calibri" w:hAnsi="Calibri"/>
                <w:b w:val="0"/>
                <w:i w:val="0"/>
                <w:color w:val="2C3E50"/>
                <w:sz w:val="16"/>
              </w:rPr>
              <w:t>✔ Análisis de sensibilidad de los pesos del IRE (±10%)</w:t>
            </w:r>
            <w:r>
              <w:br/>
            </w:r>
            <w:r>
              <w:rPr>
                <w:rFonts w:ascii="Calibri" w:hAnsi="Calibri"/>
                <w:b w:val="0"/>
                <w:i w:val="0"/>
                <w:color w:val="2C3E50"/>
                <w:sz w:val="16"/>
              </w:rPr>
              <w:t>✔ Revisión por panel de expertos (juicio de especialistas)</w:t>
            </w:r>
          </w:p>
        </w:tc>
      </w:tr>
      <w:tr>
        <w:tc>
          <w:tcPr>
            <w:tcW w:w="2154" w:type="dxa"/>
            <w:shd w:val="clear" w:color="auto" w:fill="E2EFDA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vAlign w:val="center"/>
            <w:vMerge/>
          </w:tcPr>
          <w:p/>
        </w:tc>
        <w:tc>
          <w:tcPr>
            <w:tcW w:w="3118" w:type="dxa"/>
            <w:shd w:val="clear" w:color="auto" w:fill="C6EFCE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vAlign w:val="center"/>
            <w:vMerge/>
          </w:tcPr>
          <w:p/>
        </w:tc>
        <w:tc>
          <w:tcPr>
            <w:tcW w:w="4706" w:type="dxa"/>
            <w:shd w:val="clear" w:color="auto" w:fill="F5FDF5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7"/>
              </w:rPr>
              <w:t>• Componente riesgo_stock: ratio inventario disponible / demanda predicha</w:t>
            </w:r>
          </w:p>
        </w:tc>
        <w:tc>
          <w:tcPr>
            <w:tcW w:w="2494" w:type="dxa"/>
            <w:shd w:val="clear" w:color="auto" w:fill="F0FFF0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vAlign w:val="center"/>
            <w:vMerge/>
          </w:tcPr>
          <w:p/>
        </w:tc>
      </w:tr>
      <w:tr>
        <w:tc>
          <w:tcPr>
            <w:tcW w:w="2154" w:type="dxa"/>
            <w:shd w:val="clear" w:color="auto" w:fill="E2EFDA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vAlign w:val="center"/>
            <w:vMerge/>
          </w:tcPr>
          <w:p/>
        </w:tc>
        <w:tc>
          <w:tcPr>
            <w:tcW w:w="3118" w:type="dxa"/>
            <w:shd w:val="clear" w:color="auto" w:fill="C6EFCE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vAlign w:val="center"/>
            <w:vMerge/>
          </w:tcPr>
          <w:p/>
        </w:tc>
        <w:tc>
          <w:tcPr>
            <w:tcW w:w="4706" w:type="dxa"/>
            <w:shd w:val="clear" w:color="auto" w:fill="F0FAF0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7"/>
              </w:rPr>
              <w:t>• Componente riesgo_ingreso: desviación de ingresos reales vs. umbral mínimo (%)</w:t>
            </w:r>
          </w:p>
        </w:tc>
        <w:tc>
          <w:tcPr>
            <w:tcW w:w="2494" w:type="dxa"/>
            <w:shd w:val="clear" w:color="auto" w:fill="F0FFF0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vAlign w:val="center"/>
            <w:vMerge/>
          </w:tcPr>
          <w:p/>
        </w:tc>
      </w:tr>
      <w:tr>
        <w:tc>
          <w:tcPr>
            <w:tcW w:w="2154" w:type="dxa"/>
            <w:shd w:val="clear" w:color="auto" w:fill="E2EFDA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vAlign w:val="center"/>
            <w:vMerge/>
          </w:tcPr>
          <w:p/>
        </w:tc>
        <w:tc>
          <w:tcPr>
            <w:tcW w:w="3118" w:type="dxa"/>
            <w:shd w:val="clear" w:color="auto" w:fill="C6EFCE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vAlign w:val="center"/>
            <w:vMerge/>
          </w:tcPr>
          <w:p/>
        </w:tc>
        <w:tc>
          <w:tcPr>
            <w:tcW w:w="4706" w:type="dxa"/>
            <w:shd w:val="clear" w:color="auto" w:fill="F5FDF5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7"/>
              </w:rPr>
              <w:t>• Componente riesgo_demanda: error relativo del pronóstico de ventas 14–30 días</w:t>
            </w:r>
          </w:p>
        </w:tc>
        <w:tc>
          <w:tcPr>
            <w:tcW w:w="2494" w:type="dxa"/>
            <w:shd w:val="clear" w:color="auto" w:fill="F0FFF0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vAlign w:val="center"/>
            <w:vMerge/>
          </w:tcPr>
          <w:p/>
        </w:tc>
      </w:tr>
      <w:tr>
        <w:tc>
          <w:tcPr>
            <w:tcW w:w="2154" w:type="dxa"/>
            <w:shd w:val="clear" w:color="auto" w:fill="E2EFDA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vAlign w:val="center"/>
            <w:vMerge/>
          </w:tcPr>
          <w:p/>
        </w:tc>
        <w:tc>
          <w:tcPr>
            <w:tcW w:w="3118" w:type="dxa"/>
            <w:shd w:val="clear" w:color="auto" w:fill="C6EFCE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vAlign w:val="center"/>
            <w:vMerge/>
          </w:tcPr>
          <w:p/>
        </w:tc>
        <w:tc>
          <w:tcPr>
            <w:tcW w:w="4706" w:type="dxa"/>
            <w:shd w:val="clear" w:color="auto" w:fill="F0FAF0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7"/>
              </w:rPr>
              <w:t>• Umbral de alerta temprana: IRE ≥ 0.70 → nivel de riesgo alto</w:t>
            </w:r>
          </w:p>
        </w:tc>
        <w:tc>
          <w:tcPr>
            <w:tcW w:w="2494" w:type="dxa"/>
            <w:shd w:val="clear" w:color="auto" w:fill="F0FFF0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vAlign w:val="center"/>
            <w:vMerge/>
          </w:tcPr>
          <w:p/>
        </w:tc>
      </w:tr>
      <w:tr>
        <w:tc>
          <w:tcPr>
            <w:tcW w:w="2154" w:type="dxa"/>
            <w:shd w:val="clear" w:color="auto" w:fill="E2EFDA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vAlign w:val="center"/>
            <w:vMerge/>
          </w:tcPr>
          <w:p/>
        </w:tc>
        <w:tc>
          <w:tcPr>
            <w:tcW w:w="3118" w:type="dxa"/>
            <w:shd w:val="clear" w:color="auto" w:fill="C6EFCE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vAlign w:val="center"/>
            <w:vMerge/>
          </w:tcPr>
          <w:p/>
        </w:tc>
        <w:tc>
          <w:tcPr>
            <w:tcW w:w="4706" w:type="dxa"/>
            <w:shd w:val="clear" w:color="auto" w:fill="F5FDF5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7"/>
              </w:rPr>
              <w:t>• Frecuencia de actualización del IRE (cálculo diario automatizado)</w:t>
            </w:r>
          </w:p>
        </w:tc>
        <w:tc>
          <w:tcPr>
            <w:tcW w:w="2494" w:type="dxa"/>
            <w:shd w:val="clear" w:color="auto" w:fill="F0FFF0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vAlign w:val="center"/>
            <w:vMerge/>
          </w:tcPr>
          <w:p/>
        </w:tc>
      </w:tr>
      <w:tr>
        <w:tc>
          <w:tcPr>
            <w:tcW w:w="2154" w:type="dxa"/>
            <w:shd w:val="clear" w:color="auto" w:fill="E2EFDA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vAlign w:val="center"/>
            <w:vMerge/>
          </w:tcPr>
          <w:p/>
        </w:tc>
        <w:tc>
          <w:tcPr>
            <w:tcW w:w="3118" w:type="dxa"/>
            <w:shd w:val="clear" w:color="auto" w:fill="C6EFCE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vAlign w:val="center"/>
            <w:vMerge/>
          </w:tcPr>
          <w:p/>
        </w:tc>
        <w:tc>
          <w:tcPr>
            <w:tcW w:w="4706" w:type="dxa"/>
            <w:shd w:val="clear" w:color="auto" w:fill="F0FAF0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7"/>
              </w:rPr>
              <w:t>• Tasa de reducción del riesgo operativo percibido tras implementar el sistema (%)</w:t>
            </w:r>
          </w:p>
        </w:tc>
        <w:tc>
          <w:tcPr>
            <w:tcW w:w="2494" w:type="dxa"/>
            <w:shd w:val="clear" w:color="auto" w:fill="F0FFF0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vAlign w:val="center"/>
            <w:vMerge/>
          </w:tcPr>
          <w:p/>
        </w:tc>
      </w:tr>
    </w:tbl>
    <w:p>
      <w:pPr>
        <w:spacing w:before="80"/>
      </w:pPr>
      <w:r>
        <w:rPr>
          <w:rFonts w:ascii="Calibri" w:hAnsi="Calibri"/>
          <w:i/>
          <w:color w:val="777777"/>
          <w:sz w:val="14"/>
        </w:rPr>
        <w:t>Nota: VI = Sistema web con IA (ejes 1, 2, 4 y 5). VD = Predicción del riesgo empresarial — IRE (eje 3 + modelo propio adaptado de Altman 1968 y Beaver 1966). Los instrumentos de la columna derecha corresponden a los métodos de recolección/validación utilizados en los artículos revisados, no a las tecnologías de implementación del sistema. Todos los artículos están verificados en Q1 (SJR/JCR).</w:t>
      </w:r>
    </w:p>
    <w:sectPr w:rsidR="00FC693F" w:rsidRPr="0006063C" w:rsidSect="00034616">
      <w:pgSz w:w="16838" w:h="11906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