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color w:val="1F3864"/>
          <w:sz w:val="32"/>
        </w:rPr>
        <w:t>TABLA GENERAL DEL ESTADO DEL ARTE</w:t>
      </w:r>
    </w:p>
    <w:p>
      <w:pPr>
        <w:spacing w:before="0" w:after="80"/>
        <w:jc w:val="center"/>
      </w:pPr>
      <w:r>
        <w:rPr>
          <w:rFonts w:ascii="Calibri" w:hAnsi="Calibri"/>
          <w:b/>
          <w:color w:val="1F3864"/>
          <w:sz w:val="21"/>
        </w:rPr>
        <w:t>"Sistema web de comercio electrónico con modelo de Inteligencia Artificial</w:t>
        <w:br/>
      </w:r>
      <w:r>
        <w:rPr>
          <w:rFonts w:ascii="Calibri" w:hAnsi="Calibri"/>
          <w:b/>
          <w:color w:val="1F3864"/>
          <w:sz w:val="21"/>
        </w:rPr>
        <w:t>para la predicción del riesgo empresarial en la empresa Calzatura Vilchez"</w:t>
      </w:r>
      <w:r>
        <w:rPr>
          <w:rFonts w:ascii="Calibri" w:hAnsi="Calibri"/>
          <w:b w:val="0"/>
          <w:color w:val="595959"/>
          <w:sz w:val="16"/>
        </w:rPr>
        <w:br/>
        <w:t>Autor: Piero Vilchez  ·  Universidad Continental  ·  Ingeniería de Sistemas  ·  2026</w:t>
      </w:r>
      <w:r>
        <w:rPr>
          <w:rFonts w:ascii="Calibri" w:hAnsi="Calibri"/>
          <w:b w:val="0"/>
          <w:color w:val="2E75B6"/>
          <w:sz w:val="16"/>
        </w:rPr>
        <w:br/>
        <w:t>42 artículos científicos Q1 verificados — Scimago JR / JCR  ·  5 ejes temáticos  ·  Consulta: 23 mayo 2026</w:t>
      </w:r>
    </w:p>
    <w:p>
      <w:pPr>
        <w:spacing w:before="0" w:after="100"/>
        <w:jc w:val="center"/>
      </w:pPr>
      <w:r>
        <w:rPr>
          <w:rFonts w:ascii="Calibri" w:hAnsi="Calibri"/>
          <w:b/>
          <w:color w:val="C55A11"/>
          <w:sz w:val="17"/>
        </w:rPr>
        <w:t>Estructura balanceada: Variable Independiente = 4 dimensiones  ·  Variable Dependiente = 4 dimensiones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Variables</w:t>
            </w:r>
          </w:p>
        </w:tc>
        <w:tc>
          <w:tcPr>
            <w:tcW w:w="3288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Dimensiones</w:t>
            </w:r>
          </w:p>
        </w:tc>
        <w:tc>
          <w:tcPr>
            <w:tcW w:w="4536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Indicadores</w:t>
            </w:r>
          </w:p>
        </w:tc>
        <w:tc>
          <w:tcPr>
            <w:tcW w:w="2494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Instrumentos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Variable independiente:</w:t>
            </w:r>
            <w:r>
              <w:br/>
            </w:r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Sistema web de comercio</w:t>
            </w:r>
            <w:r>
              <w:br/>
            </w:r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electrónico con modelo de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E75B6"/>
                <w:sz w:val="16"/>
              </w:rPr>
              <w:t>Inteligencia Artificial</w:t>
            </w:r>
          </w:p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D1 — E-Commerce y transformación digital del negocio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595959"/>
                <w:sz w:val="14"/>
              </w:rPr>
              <w:t>Eje 1 · 8 artículos Q1  (Verhoef 2021; Soto-Acosta 2020; Nambisan 2017; Li 2020; Chatterjee 2020; Kannan 2017; Reinartz 2019; Hagberg 2016)</w:t>
            </w:r>
          </w:p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Nivel de madurez digital de la empresa (escala 1–5)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Revisión sistemática de literatura (Scopus / WoS)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Encuesta de adopción digital — escala Likert 5 puntos (Chatterjee, 2020)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Modelado PLS-SEM / SmartPLS 3 (Amba, 2017)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Análisis de datos de punto de venta — POS (Fildes, 2019)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Marco de análisis de cadena de valor (Reinartz, 2019)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Tasa de digitalización de procesos de venta y gestión (%)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N.° de canales de venta digitales activos integrados al sistema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Tasa de conversión digital: pedidos en línea / pedidos totales (%)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NPS digital — satisfacción del cliente en el canal web (escala –100 a 100)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Tiempo de ciclo de procesamiento de un pedido en el sistema (horas)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D2 — Inteligencia Artificial y analítica de datos empresariales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595959"/>
                <w:sz w:val="14"/>
              </w:rPr>
              <w:t>Eje 2 · 9 artículos Q1  (Yuan 2021; Davenport 2020; Shrestha 2019; Amba 2017; Makridakis 2018; Fildes 2019; Syam 2018; Haefner 2021; Paschen 2019)</w:t>
            </w:r>
          </w:p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Accuracy del modelo de pronóstico de demanda de calzado (%)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Competencia M4 de pronóstico — 100.000 series temporales (Makridakis, 2018)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Validación cruzada k-fold (k=5) — Python scikit-learn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Benchmarking estadístico ARIMA vs. Random Forest vs. híbrido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Encuesta a tomadores de decisión — Likert 5 puntos (Yuan, 2021)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Análisis Delphi — rondas de expertos en IA (Davenport, 2020)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sMAPE — error porcentual absoluto simétrico del pronóstico de ventas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RMSE — raíz del error cuadrático medio del modelo predictivo de IA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Velocidad de inferencia del microservicio de predicción (ms/llamada)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N.° de variables (features) con importancia significativa en el modelo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Reducción del tiempo de decisión empresarial asistida por IA (%)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D3 — Arquitectura de software y despliegue del modelo ML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595959"/>
                <w:sz w:val="14"/>
              </w:rPr>
              <w:t>Eje 4 · 7 artículos Q1  (Jamshidi 2018; Swakatare 2019; Khalid 2022; Fischer 2018; Paleyes 2022; Martinez-Fernandez 2022; Li 2021)</w:t>
            </w:r>
          </w:p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Latencia de la API del microservicio FastAPI — predicción p95 (ms)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Systematic Mapping Study — SMS sobre microservicios (Jamshidi, 2018; Li, 2021)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Revisión de 209 casos de despliegue real de ML (Paleyes, 2022)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Análisis de 106 estudios de ingeniería de SW para IA (Martinez-Fernandez, 2022)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Pruebas de rendimiento y carga — JMeter / k6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Monitoreo con Prometheus + Grafana en producción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Disponibilidad del sistema completo — web + microservicio IA (%)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Tiempo de despliegue de una nueva versión del modelo en producción (min)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N.° de integraciones API activas: Firebase ↔ FastAPI ↔ Supabase/PostgreSQL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Cobertura de pruebas automatizadas del sistema (tests unitarios + integración, %)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MTTR — tiempo medio de recuperación ante incidentes en producción (horas)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D4 — Metodología de desarrollo ágil e híbrida del sistema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595959"/>
                <w:sz w:val="14"/>
              </w:rPr>
              <w:t>Eje 5 · 8 artículos Q1  (Breiman 2001; Dingsøyr 2012; Salgonde 2021; Kuhrmann 2018; Lepenioti 2020; Choi 2018; Haakman 2021; Melville 2004)</w:t>
            </w:r>
          </w:p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Velocidad del equipo de desarrollo (story points completados / sprint)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CRISP-ML(Q) — marco de calidad del ciclo de vida ML (Haakman, 2021)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Análisis de velocidad y retrospectivas Scrum (Salgonde, 2021)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Encuesta a 732 organizaciones ágiles/híbridas europeas (Kuhrmann, 2018)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Análisis bibliométrico — década de metodologías ágiles (Dingsøyr, 2012)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Modelo integrador de valor de TI — IT Business Value (Melville, 2004)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Tasa de completitud de los sprints del proyecto (%)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N.° de fases del CRISP-ML(Q) cubiertas con criterios de calidad definidos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Nivel de madurez del proceso MLOps alcanzado (escala 1–5)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Tiempo de entrega de cada incremento funcional del sistema (días)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ROI de la inversión en TI del sistema sobre el costo total del proyecto (%)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Variable dependiente:</w:t>
            </w:r>
            <w:r>
              <w:br/>
            </w:r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Predicción del riesgo</w:t>
            </w:r>
            <w:r>
              <w:br/>
            </w:r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empresarial — IRE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E75B6"/>
                <w:sz w:val="16"/>
              </w:rPr>
              <w:t>en Calzatura Vilchez</w:t>
            </w:r>
          </w:p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D1 — Modelos de predicción del riesgo empresarial con ML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595959"/>
                <w:sz w:val="14"/>
              </w:rPr>
              <w:t>Eje 3 · 10 artículos Q1  (Altman 1968; Beaver 1966; Barboza 2017; Osaka 2019; Kim 2021; Du Jardin 2021; Jiang 2018; Cai 2019; Tian 2015; Ozbayoglu 2020)</w:t>
            </w:r>
          </w:p>
        </w:tc>
        <w:tc>
          <w:tcPr>
            <w:tcW w:w="4536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Tipo de modelo de ML utilizado para predicción de riesgo/quiebra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Análisis discriminante múltiple — MDA (Altman, 1968)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Dichotomous Classification Test univariado (Beaver, 1966)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Random Forest + Gradient Boosting / XGBoost (Barboza, 2017)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LASSO y regularización L1 para selección de variables (Tian, 2015)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Regresión logística binaria — Logit (Jiang, 2018; Kim, 2021)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0FA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N.° de variables financieras y de ventas usadas como features del modelo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Horizonte de predicción anticipada del modelo (días antes del evento de riesgo)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0FA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Técnica de selección de variables aplicada (LASSO, feature importance, PCA)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Método de validación del modelo empleado (k-fold CV, holdout, walk-forward)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0FA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Comparativa vs. modelo clásico de referencia (Altman Z-score, regresión logística)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D2 — Exactitud y validación del modelo predictivo del IRE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595959"/>
                <w:sz w:val="14"/>
              </w:rPr>
              <w:t>Eje 3 · sustentado en Barboza 2017; Kim 2021; Du Jardin 2021; Ozbayoglu 2020; Khalid 2022</w:t>
            </w:r>
          </w:p>
        </w:tc>
        <w:tc>
          <w:tcPr>
            <w:tcW w:w="4536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AUC-ROC del modelo de predicción del riesgo empresarial en Calzatura Vilchez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Matriz de confusión y curva ROC-AUC (Python: scikit-learn)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SHAP values — interpretabilidad de predicciones individuales (Kim, 2021)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Validación cruzada k-fold estratificada (k=5) en datos históricos de la empresa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Análisis de data drift mensual con Evidently AI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Prueba de Wilcoxon — comparación de modelos (Du Jardin, 2021)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0FA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Accuracy del clasificador de nivel de riesgo: bajo / medio / alto (%)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Recall — sensibilidad: tasa de detección correcta de situaciones de riesgo (%)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0FA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F1-score del modelo de predicción del riesgo empresarial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MAE — error absoluto medio de la predicción del valor numérico del IRE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0FA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Delta de accuracy por data drift mensual (estabilidad del modelo en producción)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D3 — Componentes del Índice de Riesgo Empresarial (IRE)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595959"/>
                <w:sz w:val="14"/>
              </w:rPr>
              <w:t>Adaptado de: Altman (1968) · Beaver (1966) · Fildes (2019) · Khalid (2022) · Choi (2018)</w:t>
            </w:r>
          </w:p>
        </w:tc>
        <w:tc>
          <w:tcPr>
            <w:tcW w:w="4536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IRE compuesto: 0.40×riesgo_stock + 0.35×riesgo_ingreso + 0.25×riesgo_demanda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Ponderación empírica del IRE validada por expertos del sector calzado (juicio)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Análisis de sensibilidad de los pesos del IRE ante variación ±10%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Validación histórica del IRE calculado vs. situaciones reales de Calzatura Vilchez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Prueba de concordancia Kappa: IRE calculado vs. juicio del gerente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Revisión por panel de expertos en gestión de PYMEs de calzado (Delphi)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0FA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Componente riesgo_stock: ratio inventario disponible / demanda predicha (0–1)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Componente riesgo_ingreso: desviación ingresos reales vs. umbral mínimo viable (%)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0FA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Componente riesgo_demanda: error relativo del pronóstico de ventas 14–30 días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Umbral de alerta temprana: IRE ≥ 0.70 → nivel de riesgo alto (acción requerida)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0FA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Frecuencia de actualización y recálculo automático del IRE (diaria)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D4 — Impacto del sistema en la gestión operativa de la PYME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595959"/>
                <w:sz w:val="14"/>
              </w:rPr>
              <w:t>Sustentado en: Melville 2004; Choi 2018; Lepenioti 2020; Soto-Acosta 2020; Verhoef 2021</w:t>
            </w:r>
          </w:p>
        </w:tc>
        <w:tc>
          <w:tcPr>
            <w:tcW w:w="4536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Reducción del riesgo operativo percibido por la gerencia tras implementar el sistema (%)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Modelo de valor de TI para organizaciones (Melville, 2004) — encuesta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Analítica prescriptiva — revisión de técnicas de optimización (Lepenioti, 2020)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Análisis de big data en operaciones — gestión de inventario (Choi, 2018)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Entrevista semiestructurada al gerente de Calzatura Vilchez (pre y post)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Análisis comparativo de KPIs operativos antes y después de la implementación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0FA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Mejora en la tasa de fulfillment de pedidos de calzado (pedidos entregados a tiempo, %)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Reducción de quiebres de stock evitados gracias al pronóstico de demanda (n.°/mes)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0FA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Ahorro estimado por mejor gestión de inventario con el IRE (S/. / mes)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Tasa de adopción y uso activo del dashboard del IRE por el equipo de gestión (%)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28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536" w:type="dxa"/>
            <w:shd w:val="clear" w:color="auto" w:fill="F0FA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ROI del sistema completo sobre la inversión total del proyecto (%)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</w:tbl>
    <w:p>
      <w:pPr>
        <w:spacing w:before="80"/>
      </w:pPr>
      <w:r>
        <w:rPr>
          <w:rFonts w:ascii="Calibri" w:hAnsi="Calibri"/>
          <w:i/>
          <w:color w:val="777777"/>
          <w:sz w:val="14"/>
        </w:rPr>
        <w:t>Nota: VI = Sistema web con IA (ejes 1, 2, 4 y 5 — e-commerce, IA, arquitectura y metodología). VD = Predicción del riesgo empresarial (eje 3 — modelos ML de riesgo/quiebra + validación + componentes del IRE + impacto operativo). Los instrumentos corresponden a los métodos de recolección y validación utilizados en los artículos Q1 revisados. IRE = Índice de Riesgo Empresarial propio de la tesis, adaptado de Altman (1968) y Beaver (1966). Todos los artículos verificados en Q1 — SJR / JCR.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