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74893">
      <w:pPr>
        <w:jc w:val="center"/>
      </w:pPr>
      <w:r>
        <w:rPr>
          <w:rFonts w:ascii="Arial" w:hAnsi="Arial"/>
          <w:b/>
          <w:sz w:val="28"/>
        </w:rPr>
        <w:t>MATRIZ DE PROPUESTA DE VALOR DEL PROYECTO</w:t>
      </w:r>
    </w:p>
    <w:p w14:paraId="0A317CD6">
      <w:pPr>
        <w:jc w:val="center"/>
      </w:pPr>
      <w:r>
        <w:rPr>
          <w:rFonts w:ascii="Arial" w:hAnsi="Arial"/>
          <w:sz w:val="18"/>
        </w:rPr>
        <w:t>Sistema web de comercio electrónico con modelo de Inteligencia Artificial para la predicción del riesgo empresarial en la empresa Calzatura Vilchez, Huancayo, 2026</w:t>
      </w:r>
    </w:p>
    <w:p w14:paraId="52CFAF21">
      <w:pPr>
        <w:jc w:val="both"/>
      </w:pPr>
      <w:r>
        <w:rPr>
          <w:rFonts w:ascii="Arial" w:hAnsi="Arial"/>
          <w:i/>
          <w:sz w:val="16"/>
        </w:rPr>
        <w:t>Metodología: Value Proposition Canvas (Osterwalder, Pigneur, Bernarda &amp; Smith, 2014). Cuadro trazable CU-T12 · documentacion/matriz-propuesta-valor-proyecto.md · formato-09-alcance-proyecto-software.md · 07-modulo-ia-riesgo-empresarial.md.</w:t>
      </w:r>
    </w:p>
    <w:p w14:paraId="55F0813D">
      <w:r>
        <w:rPr>
          <w:rFonts w:ascii="Arial" w:hAnsi="Arial"/>
          <w:sz w:val="16"/>
        </w:rPr>
        <w:t xml:space="preserve">Empresa: Calzatura Vilchez, Huancayo, Perú   |   Asesor: Dr. Maglioni Arana Caparachin   |   Versión: </w:t>
      </w:r>
      <w:r>
        <w:rPr>
          <w:rFonts w:hint="default" w:ascii="Arial" w:hAnsi="Arial"/>
          <w:sz w:val="16"/>
          <w:lang w:val="es-PE"/>
        </w:rPr>
        <w:t>2</w:t>
      </w:r>
      <w:r>
        <w:rPr>
          <w:rFonts w:ascii="Arial" w:hAnsi="Arial"/>
          <w:sz w:val="16"/>
        </w:rPr>
        <w:t>.</w:t>
      </w:r>
      <w:r>
        <w:rPr>
          <w:rFonts w:hint="default" w:ascii="Arial" w:hAnsi="Arial"/>
          <w:sz w:val="16"/>
          <w:lang w:val="es-PE"/>
        </w:rPr>
        <w:t>1</w:t>
      </w:r>
      <w:r>
        <w:rPr>
          <w:rFonts w:ascii="Arial" w:hAnsi="Arial"/>
          <w:sz w:val="16"/>
        </w:rPr>
        <w:t>0   |   Fecha: junio 2026</w:t>
      </w:r>
    </w:p>
    <w:p w14:paraId="5722D938">
      <w:pPr>
        <w:spacing w:before="200" w:after="80"/>
      </w:pPr>
      <w:r>
        <w:rPr>
          <w:rFonts w:ascii="Arial" w:hAnsi="Arial"/>
          <w:b/>
          <w:sz w:val="24"/>
        </w:rPr>
        <w:t>1. Fundamento metodológico</w:t>
      </w:r>
      <w:bookmarkStart w:id="0" w:name="_GoBack"/>
      <w:bookmarkEnd w:id="0"/>
    </w:p>
    <w:p w14:paraId="2DAF5C61">
      <w:pPr>
        <w:jc w:val="both"/>
      </w:pPr>
      <w:r>
        <w:rPr>
          <w:rFonts w:ascii="Arial" w:hAnsi="Arial"/>
          <w:i w:val="0"/>
          <w:sz w:val="18"/>
        </w:rPr>
        <w:t>La propuesta de valor es la promesa explícita de beneficios que el sistema entrega a cada segmento, alineada con trabajos (jobs to be done), frustraciones (pains) y beneficios esperados (gains). El instrumento articula el perfil del cliente, el mapa de valor y la matriz de encaje producto–mercado (problem–solution fit), vinculando cada elemento a requisitos RF/RNF implementados y evidencia verificable.</w:t>
      </w:r>
    </w:p>
    <w:p w14:paraId="5AE87EA6">
      <w:pPr>
        <w:spacing w:before="120" w:after="80"/>
      </w:pPr>
      <w:r>
        <w:rPr>
          <w:rFonts w:ascii="Arial" w:hAnsi="Arial"/>
          <w:b/>
          <w:sz w:val="22"/>
        </w:rPr>
        <w:t>1.1 Segmentos de cliente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47468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D9EAF7"/>
            <w:vAlign w:val="top"/>
          </w:tcPr>
          <w:p w14:paraId="3619CC4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w="2304" w:type="dxa"/>
            <w:shd w:val="clear" w:color="auto" w:fill="D9EAF7"/>
            <w:vAlign w:val="top"/>
          </w:tcPr>
          <w:p w14:paraId="11AB3ED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Segmento</w:t>
            </w:r>
          </w:p>
        </w:tc>
        <w:tc>
          <w:tcPr>
            <w:tcW w:w="1296" w:type="dxa"/>
            <w:shd w:val="clear" w:color="auto" w:fill="D9EAF7"/>
            <w:vAlign w:val="top"/>
          </w:tcPr>
          <w:p w14:paraId="1B83BD8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Stakeholder</w:t>
            </w:r>
          </w:p>
        </w:tc>
        <w:tc>
          <w:tcPr>
            <w:tcW w:w="1008" w:type="dxa"/>
            <w:shd w:val="clear" w:color="auto" w:fill="D9EAF7"/>
            <w:vAlign w:val="top"/>
          </w:tcPr>
          <w:p w14:paraId="1039498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Prioridad</w:t>
            </w:r>
          </w:p>
        </w:tc>
        <w:tc>
          <w:tcPr>
            <w:tcW w:w="4032" w:type="dxa"/>
            <w:shd w:val="clear" w:color="auto" w:fill="D9EAF7"/>
            <w:vAlign w:val="top"/>
          </w:tcPr>
          <w:p w14:paraId="0723C7F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Justificación</w:t>
            </w:r>
          </w:p>
        </w:tc>
      </w:tr>
      <w:tr w14:paraId="2F6A0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FFFFF"/>
            <w:vAlign w:val="top"/>
          </w:tcPr>
          <w:p w14:paraId="7E54423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w="2304" w:type="dxa"/>
            <w:shd w:val="clear" w:color="auto" w:fill="FFFFFF"/>
            <w:vAlign w:val="top"/>
          </w:tcPr>
          <w:p w14:paraId="234E8C1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Cliente web</w:t>
            </w:r>
          </w:p>
        </w:tc>
        <w:tc>
          <w:tcPr>
            <w:tcW w:w="1296" w:type="dxa"/>
            <w:shd w:val="clear" w:color="auto" w:fill="FFFFFF"/>
            <w:vAlign w:val="top"/>
          </w:tcPr>
          <w:p w14:paraId="06A373D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STK-02</w:t>
            </w:r>
          </w:p>
        </w:tc>
        <w:tc>
          <w:tcPr>
            <w:tcW w:w="1008" w:type="dxa"/>
            <w:shd w:val="clear" w:color="auto" w:fill="FFFFFF"/>
            <w:vAlign w:val="top"/>
          </w:tcPr>
          <w:p w14:paraId="3107BE0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2AA9B05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Genera datos de demanda y valida e-commerce</w:t>
            </w:r>
          </w:p>
        </w:tc>
      </w:tr>
      <w:tr w14:paraId="53A7C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9FBFD"/>
            <w:vAlign w:val="top"/>
          </w:tcPr>
          <w:p w14:paraId="2CFF9B2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SB</w:t>
            </w:r>
          </w:p>
        </w:tc>
        <w:tc>
          <w:tcPr>
            <w:tcW w:w="2304" w:type="dxa"/>
            <w:shd w:val="clear" w:color="auto" w:fill="F9FBFD"/>
            <w:vAlign w:val="top"/>
          </w:tcPr>
          <w:p w14:paraId="492CEDD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Administrador / Dirección</w:t>
            </w:r>
          </w:p>
        </w:tc>
        <w:tc>
          <w:tcPr>
            <w:tcW w:w="1296" w:type="dxa"/>
            <w:shd w:val="clear" w:color="auto" w:fill="F9FBFD"/>
            <w:vAlign w:val="top"/>
          </w:tcPr>
          <w:p w14:paraId="25B8F7E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STK-01</w:t>
            </w:r>
          </w:p>
        </w:tc>
        <w:tc>
          <w:tcPr>
            <w:tcW w:w="1008" w:type="dxa"/>
            <w:shd w:val="clear" w:color="auto" w:fill="F9FBFD"/>
            <w:vAlign w:val="top"/>
          </w:tcPr>
          <w:p w14:paraId="4B67DF9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Crítica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0C9D933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Usuario del IRE, inventario y decisiones operativas</w:t>
            </w:r>
          </w:p>
        </w:tc>
      </w:tr>
      <w:tr w14:paraId="094A2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FFFFF"/>
            <w:vAlign w:val="top"/>
          </w:tcPr>
          <w:p w14:paraId="7987561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SC</w:t>
            </w:r>
          </w:p>
        </w:tc>
        <w:tc>
          <w:tcPr>
            <w:tcW w:w="2304" w:type="dxa"/>
            <w:shd w:val="clear" w:color="auto" w:fill="FFFFFF"/>
            <w:vAlign w:val="top"/>
          </w:tcPr>
          <w:p w14:paraId="1B78D89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Visitante</w:t>
            </w:r>
          </w:p>
        </w:tc>
        <w:tc>
          <w:tcPr>
            <w:tcW w:w="1296" w:type="dxa"/>
            <w:shd w:val="clear" w:color="auto" w:fill="FFFFFF"/>
            <w:vAlign w:val="top"/>
          </w:tcPr>
          <w:p w14:paraId="554D486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w="1008" w:type="dxa"/>
            <w:shd w:val="clear" w:color="auto" w:fill="FFFFFF"/>
            <w:vAlign w:val="top"/>
          </w:tcPr>
          <w:p w14:paraId="690A4FE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Media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3CD8618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Embudo de conversión y descubrimiento de catálogo</w:t>
            </w:r>
          </w:p>
        </w:tc>
      </w:tr>
    </w:tbl>
    <w:p w14:paraId="52834E11">
      <w:pPr>
        <w:spacing w:before="200" w:after="80"/>
      </w:pPr>
      <w:r>
        <w:rPr>
          <w:rFonts w:ascii="Arial" w:hAnsi="Arial"/>
          <w:b/>
          <w:sz w:val="24"/>
        </w:rPr>
        <w:t>2. Propuesta de valor global (enunciado síntesis)</w:t>
      </w:r>
    </w:p>
    <w:p w14:paraId="37776CFF">
      <w:pPr>
        <w:jc w:val="both"/>
      </w:pPr>
      <w:r>
        <w:rPr>
          <w:rFonts w:ascii="Arial" w:hAnsi="Arial"/>
          <w:i w:val="0"/>
          <w:sz w:val="18"/>
        </w:rPr>
        <w:t>Para la dirección y el equipo administrativo de Calzatura Vilchez (PYME retail calzado, Huancayo), que enfrentan quiebres de stock, ventas no digitalizadas e imposibilidad de anticipar presión comercial-operativa, nuestro sistema es una plataforma web integrada de e-commerce con inteligencia artificial que centraliza catálogo, pedidos, inventario y analítica, calcula y proyecta el Índice de Riesgo Empresarial (IRE) y alerta antes de que el riesgo se materialice en pérdidas, a diferencia de hojas de cálculo, registros manuales y venta exclusivamente presencial, porque unifica datos en Supabase, expone predicción Random Forest con trazabilidad documentada y cumple requisitos legales peruanos de comercio electrónico (Ley 29571, Ley 29733).</w:t>
      </w:r>
    </w:p>
    <w:p w14:paraId="67EA1563">
      <w:pPr>
        <w:spacing w:before="200" w:after="80"/>
      </w:pPr>
      <w:r>
        <w:rPr>
          <w:rFonts w:ascii="Arial" w:hAnsi="Arial"/>
          <w:b/>
          <w:sz w:val="24"/>
        </w:rPr>
        <w:t>3. Segmento SB — Administrador / Dirección (núcleo)</w:t>
      </w:r>
    </w:p>
    <w:p w14:paraId="3147B12C">
      <w:pPr>
        <w:spacing w:before="120" w:after="80"/>
      </w:pPr>
      <w:r>
        <w:rPr>
          <w:rFonts w:ascii="Arial" w:hAnsi="Arial"/>
          <w:b/>
          <w:sz w:val="22"/>
        </w:rPr>
        <w:t>3.1 Perfil del cliente — Jobs to be done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224E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AF7"/>
            <w:vAlign w:val="top"/>
          </w:tcPr>
          <w:p w14:paraId="2417135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w="4032" w:type="dxa"/>
            <w:shd w:val="clear" w:color="auto" w:fill="D9EAF7"/>
            <w:vAlign w:val="top"/>
          </w:tcPr>
          <w:p w14:paraId="7316E5C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Trabajo a realizar</w:t>
            </w:r>
          </w:p>
        </w:tc>
        <w:tc>
          <w:tcPr>
            <w:tcW w:w="4032" w:type="dxa"/>
            <w:shd w:val="clear" w:color="auto" w:fill="D9EAF7"/>
            <w:vAlign w:val="top"/>
          </w:tcPr>
          <w:p w14:paraId="5869D55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Situación actual (sin sistema)</w:t>
            </w:r>
          </w:p>
        </w:tc>
      </w:tr>
      <w:tr w14:paraId="21D65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2716868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J-SB-01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760ADE2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Publicar y mantener catálogo de calzado con tallas, colores e imágenes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096F66A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Catálogo físico / WhatsApp / fotos sueltas</w:t>
            </w:r>
          </w:p>
        </w:tc>
      </w:tr>
      <w:tr w14:paraId="3B27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31C97D9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J-SB-02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19146DC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Controlar stock por variante y evitar vender lo inexistente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0BC8AE1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Conteo manual, errores entre tienda y depósito</w:t>
            </w:r>
          </w:p>
        </w:tc>
      </w:tr>
      <w:tr w14:paraId="476FC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27005C5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J-SB-03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062B1A2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Registrar ventas presenciales y online en un solo lugar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713EDB2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Libretas, Excel no sincronizado</w:t>
            </w:r>
          </w:p>
        </w:tc>
      </w:tr>
      <w:tr w14:paraId="0507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0ED219B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J-SB-04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4D4125F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Gestionar pedidos, pagos y estados de entrega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77D3CE2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Llamadas, papel, seguimiento ad hoc</w:t>
            </w:r>
          </w:p>
        </w:tc>
      </w:tr>
      <w:tr w14:paraId="0116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5586526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J-SB-05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12A3EFF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Conocer rentabilidad por producto (costo, margen)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3D85D4B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Cálculos esporádicos, sin dashboard</w:t>
            </w:r>
          </w:p>
        </w:tc>
      </w:tr>
      <w:tr w14:paraId="52C7F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5A6FD44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J-SB-06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33B1B91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Anticipar quiebre de stock y caída de ingresos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4E6CB81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Reacción tardía cuando ya faltó producto</w:t>
            </w:r>
          </w:p>
        </w:tc>
      </w:tr>
      <w:tr w14:paraId="3014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6EF2AD1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J-SB-07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7EF84DB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Monitorear riesgo comercial-operativo con indicador único (IRE)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1E67600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Intuición gerencial sin métrica formal</w:t>
            </w:r>
          </w:p>
        </w:tc>
      </w:tr>
      <w:tr w14:paraId="34514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7657D2D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J-SB-08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0230F63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Cumplir obligaciones legales (reclamaciones, privacidad)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7109154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Riesgo de incumplimiento Ley 29571 / 29733</w:t>
            </w:r>
          </w:p>
        </w:tc>
      </w:tr>
    </w:tbl>
    <w:p w14:paraId="3E29674C">
      <w:pPr>
        <w:spacing w:before="120" w:after="80"/>
      </w:pPr>
      <w:r>
        <w:rPr>
          <w:rFonts w:ascii="Arial" w:hAnsi="Arial"/>
          <w:b/>
          <w:sz w:val="22"/>
        </w:rPr>
        <w:t>3.2 Pains (frustraciones)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37E4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AF7"/>
            <w:vAlign w:val="top"/>
          </w:tcPr>
          <w:p w14:paraId="4868078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top"/>
          </w:tcPr>
          <w:p w14:paraId="374B86F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Pain</w:t>
            </w:r>
          </w:p>
        </w:tc>
        <w:tc>
          <w:tcPr>
            <w:tcW w:w="1440" w:type="dxa"/>
            <w:shd w:val="clear" w:color="auto" w:fill="D9EAF7"/>
            <w:vAlign w:val="top"/>
          </w:tcPr>
          <w:p w14:paraId="5F8ABDC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Severidad</w:t>
            </w:r>
          </w:p>
        </w:tc>
      </w:tr>
      <w:tr w14:paraId="628D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2942589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P-SB-01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00E43C6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Quiebre de stock en productos de alta rotación</w:t>
            </w:r>
          </w:p>
        </w:tc>
        <w:tc>
          <w:tcPr>
            <w:tcW w:w="1440" w:type="dxa"/>
            <w:shd w:val="clear" w:color="auto" w:fill="FFFFFF"/>
            <w:vAlign w:val="top"/>
          </w:tcPr>
          <w:p w14:paraId="6C5094A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</w:tr>
      <w:tr w14:paraId="176E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09B06DB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P-SB-02</w:t>
            </w:r>
          </w:p>
        </w:tc>
        <w:tc>
          <w:tcPr>
            <w:tcW w:w="5040" w:type="dxa"/>
            <w:shd w:val="clear" w:color="auto" w:fill="F9FBFD"/>
            <w:vAlign w:val="top"/>
          </w:tcPr>
          <w:p w14:paraId="377E1EC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Capital inmovilizado en productos de baja rotación</w:t>
            </w:r>
          </w:p>
        </w:tc>
        <w:tc>
          <w:tcPr>
            <w:tcW w:w="1440" w:type="dxa"/>
            <w:shd w:val="clear" w:color="auto" w:fill="F9FBFD"/>
            <w:vAlign w:val="top"/>
          </w:tcPr>
          <w:p w14:paraId="298F751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</w:tr>
      <w:tr w14:paraId="577C4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11198C1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P-SB-03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4D0C578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Pérdida de ventas online por información desactualizada</w:t>
            </w:r>
          </w:p>
        </w:tc>
        <w:tc>
          <w:tcPr>
            <w:tcW w:w="1440" w:type="dxa"/>
            <w:shd w:val="clear" w:color="auto" w:fill="FFFFFF"/>
            <w:vAlign w:val="top"/>
          </w:tcPr>
          <w:p w14:paraId="057730E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</w:tr>
      <w:tr w14:paraId="186AF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49AAFB6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P-SB-04</w:t>
            </w:r>
          </w:p>
        </w:tc>
        <w:tc>
          <w:tcPr>
            <w:tcW w:w="5040" w:type="dxa"/>
            <w:shd w:val="clear" w:color="auto" w:fill="F9FBFD"/>
            <w:vAlign w:val="top"/>
          </w:tcPr>
          <w:p w14:paraId="2C9ECDB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Datos dispersos (ventas, pedidos, inventario)</w:t>
            </w:r>
          </w:p>
        </w:tc>
        <w:tc>
          <w:tcPr>
            <w:tcW w:w="1440" w:type="dxa"/>
            <w:shd w:val="clear" w:color="auto" w:fill="F9FBFD"/>
            <w:vAlign w:val="top"/>
          </w:tcPr>
          <w:p w14:paraId="179E1B5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</w:tr>
      <w:tr w14:paraId="50A88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136FD42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P-SB-05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5FE3B81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Decisiones de reabastecimiento sin pronóstico</w:t>
            </w:r>
          </w:p>
        </w:tc>
        <w:tc>
          <w:tcPr>
            <w:tcW w:w="1440" w:type="dxa"/>
            <w:shd w:val="clear" w:color="auto" w:fill="FFFFFF"/>
            <w:vAlign w:val="top"/>
          </w:tcPr>
          <w:p w14:paraId="48971E3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</w:tr>
      <w:tr w14:paraId="3DF65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5D1656A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P-SB-06</w:t>
            </w:r>
          </w:p>
        </w:tc>
        <w:tc>
          <w:tcPr>
            <w:tcW w:w="5040" w:type="dxa"/>
            <w:shd w:val="clear" w:color="auto" w:fill="F9FBFD"/>
            <w:vAlign w:val="top"/>
          </w:tcPr>
          <w:p w14:paraId="591FC27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Sin visibilidad de riesgo agregado del negocio</w:t>
            </w:r>
          </w:p>
        </w:tc>
        <w:tc>
          <w:tcPr>
            <w:tcW w:w="1440" w:type="dxa"/>
            <w:shd w:val="clear" w:color="auto" w:fill="F9FBFD"/>
            <w:vAlign w:val="top"/>
          </w:tcPr>
          <w:p w14:paraId="4E66DE1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Crítica</w:t>
            </w:r>
          </w:p>
        </w:tc>
      </w:tr>
      <w:tr w14:paraId="51474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63774CC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P-SB-07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63D8150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Tiempo excesivo en tareas administrativas repetitivas</w:t>
            </w:r>
          </w:p>
        </w:tc>
        <w:tc>
          <w:tcPr>
            <w:tcW w:w="1440" w:type="dxa"/>
            <w:shd w:val="clear" w:color="auto" w:fill="FFFFFF"/>
            <w:vAlign w:val="top"/>
          </w:tcPr>
          <w:p w14:paraId="6164934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Media</w:t>
            </w:r>
          </w:p>
        </w:tc>
      </w:tr>
      <w:tr w14:paraId="6F88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7A706B0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P-SB-08</w:t>
            </w:r>
          </w:p>
        </w:tc>
        <w:tc>
          <w:tcPr>
            <w:tcW w:w="5040" w:type="dxa"/>
            <w:shd w:val="clear" w:color="auto" w:fill="F9FBFD"/>
            <w:vAlign w:val="top"/>
          </w:tcPr>
          <w:p w14:paraId="47A7923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Incertidumbre legal en e-commerce</w:t>
            </w:r>
          </w:p>
        </w:tc>
        <w:tc>
          <w:tcPr>
            <w:tcW w:w="1440" w:type="dxa"/>
            <w:shd w:val="clear" w:color="auto" w:fill="F9FBFD"/>
            <w:vAlign w:val="top"/>
          </w:tcPr>
          <w:p w14:paraId="5A22125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Media</w:t>
            </w:r>
          </w:p>
        </w:tc>
      </w:tr>
    </w:tbl>
    <w:p w14:paraId="5DEE3361">
      <w:pPr>
        <w:spacing w:before="120" w:after="80"/>
      </w:pPr>
      <w:r>
        <w:rPr>
          <w:rFonts w:ascii="Arial" w:hAnsi="Arial"/>
          <w:b/>
          <w:sz w:val="22"/>
        </w:rPr>
        <w:t>3.3 Gains (beneficios esperados)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9AC4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AF7"/>
            <w:vAlign w:val="top"/>
          </w:tcPr>
          <w:p w14:paraId="4DF3082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w="5040" w:type="dxa"/>
            <w:shd w:val="clear" w:color="auto" w:fill="D9EAF7"/>
            <w:vAlign w:val="top"/>
          </w:tcPr>
          <w:p w14:paraId="520D1DE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Gain</w:t>
            </w:r>
          </w:p>
        </w:tc>
        <w:tc>
          <w:tcPr>
            <w:tcW w:w="1440" w:type="dxa"/>
            <w:shd w:val="clear" w:color="auto" w:fill="D9EAF7"/>
            <w:vAlign w:val="top"/>
          </w:tcPr>
          <w:p w14:paraId="48FC8E4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Tipo</w:t>
            </w:r>
          </w:p>
        </w:tc>
      </w:tr>
      <w:tr w14:paraId="181CB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05D5762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G-SB-01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2107819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Un solo panel con KPIs de ventas, pedidos y productos</w:t>
            </w:r>
          </w:p>
        </w:tc>
        <w:tc>
          <w:tcPr>
            <w:tcW w:w="1440" w:type="dxa"/>
            <w:shd w:val="clear" w:color="auto" w:fill="FFFFFF"/>
            <w:vAlign w:val="top"/>
          </w:tcPr>
          <w:p w14:paraId="445D324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Esperado</w:t>
            </w:r>
          </w:p>
        </w:tc>
      </w:tr>
      <w:tr w14:paraId="0C89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325B885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G-SB-02</w:t>
            </w:r>
          </w:p>
        </w:tc>
        <w:tc>
          <w:tcPr>
            <w:tcW w:w="5040" w:type="dxa"/>
            <w:shd w:val="clear" w:color="auto" w:fill="F9FBFD"/>
            <w:vAlign w:val="top"/>
          </w:tcPr>
          <w:p w14:paraId="505E985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Alertas de stock con fecha estimada de quiebre</w:t>
            </w:r>
          </w:p>
        </w:tc>
        <w:tc>
          <w:tcPr>
            <w:tcW w:w="1440" w:type="dxa"/>
            <w:shd w:val="clear" w:color="auto" w:fill="F9FBFD"/>
            <w:vAlign w:val="top"/>
          </w:tcPr>
          <w:p w14:paraId="11271B3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Esperado</w:t>
            </w:r>
          </w:p>
        </w:tc>
      </w:tr>
      <w:tr w14:paraId="60726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096D8D9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G-SB-03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56AA3FB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IRE 0–100 con clasificación Bajo/Moderado/Alto/Crítico</w:t>
            </w:r>
          </w:p>
        </w:tc>
        <w:tc>
          <w:tcPr>
            <w:tcW w:w="1440" w:type="dxa"/>
            <w:shd w:val="clear" w:color="auto" w:fill="FFFFFF"/>
            <w:vAlign w:val="top"/>
          </w:tcPr>
          <w:p w14:paraId="251BEF5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Deseado</w:t>
            </w:r>
          </w:p>
        </w:tc>
      </w:tr>
      <w:tr w14:paraId="52A95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5026409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G-SB-04</w:t>
            </w:r>
          </w:p>
        </w:tc>
        <w:tc>
          <w:tcPr>
            <w:tcW w:w="5040" w:type="dxa"/>
            <w:shd w:val="clear" w:color="auto" w:fill="F9FBFD"/>
            <w:vAlign w:val="top"/>
          </w:tcPr>
          <w:p w14:paraId="7ACBFF5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Proyección de IRE a 7/15/30 días</w:t>
            </w:r>
          </w:p>
        </w:tc>
        <w:tc>
          <w:tcPr>
            <w:tcW w:w="1440" w:type="dxa"/>
            <w:shd w:val="clear" w:color="auto" w:fill="F9FBFD"/>
            <w:vAlign w:val="top"/>
          </w:tcPr>
          <w:p w14:paraId="2AF3B06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Deseado</w:t>
            </w:r>
          </w:p>
        </w:tc>
      </w:tr>
      <w:tr w14:paraId="7C77B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2878599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G-SB-05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4BA228E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Ranking de productos y recomendaciones automáticas</w:t>
            </w:r>
          </w:p>
        </w:tc>
        <w:tc>
          <w:tcPr>
            <w:tcW w:w="1440" w:type="dxa"/>
            <w:shd w:val="clear" w:color="auto" w:fill="FFFFFF"/>
            <w:vAlign w:val="top"/>
          </w:tcPr>
          <w:p w14:paraId="5170685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Deseado</w:t>
            </w:r>
          </w:p>
        </w:tc>
      </w:tr>
      <w:tr w14:paraId="211CA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0E8C20D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G-SB-06</w:t>
            </w:r>
          </w:p>
        </w:tc>
        <w:tc>
          <w:tcPr>
            <w:tcW w:w="5040" w:type="dxa"/>
            <w:shd w:val="clear" w:color="auto" w:fill="F9FBFD"/>
            <w:vAlign w:val="top"/>
          </w:tcPr>
          <w:p w14:paraId="4C52C48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Reducción de errores en precios y totales</w:t>
            </w:r>
          </w:p>
        </w:tc>
        <w:tc>
          <w:tcPr>
            <w:tcW w:w="1440" w:type="dxa"/>
            <w:shd w:val="clear" w:color="auto" w:fill="F9FBFD"/>
            <w:vAlign w:val="top"/>
          </w:tcPr>
          <w:p w14:paraId="0E66943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Esperado</w:t>
            </w:r>
          </w:p>
        </w:tc>
      </w:tr>
      <w:tr w14:paraId="10A6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15B58C0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G-SB-07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2B073D4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Trazabilidad de pedidos y auditoría admin</w:t>
            </w:r>
          </w:p>
        </w:tc>
        <w:tc>
          <w:tcPr>
            <w:tcW w:w="1440" w:type="dxa"/>
            <w:shd w:val="clear" w:color="auto" w:fill="FFFFFF"/>
            <w:vAlign w:val="top"/>
          </w:tcPr>
          <w:p w14:paraId="0EE86C3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Requerido</w:t>
            </w:r>
          </w:p>
        </w:tc>
      </w:tr>
      <w:tr w14:paraId="7F8A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13FED16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G-SB-08</w:t>
            </w:r>
          </w:p>
        </w:tc>
        <w:tc>
          <w:tcPr>
            <w:tcW w:w="5040" w:type="dxa"/>
            <w:shd w:val="clear" w:color="auto" w:fill="F9FBFD"/>
            <w:vAlign w:val="top"/>
          </w:tcPr>
          <w:p w14:paraId="5C43B58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Confianza en cumplimiento normativo peruano</w:t>
            </w:r>
          </w:p>
        </w:tc>
        <w:tc>
          <w:tcPr>
            <w:tcW w:w="1440" w:type="dxa"/>
            <w:shd w:val="clear" w:color="auto" w:fill="F9FBFD"/>
            <w:vAlign w:val="top"/>
          </w:tcPr>
          <w:p w14:paraId="5CAF193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Requerido</w:t>
            </w:r>
          </w:p>
        </w:tc>
      </w:tr>
    </w:tbl>
    <w:p w14:paraId="3EA23877">
      <w:pPr>
        <w:spacing w:before="120" w:after="80"/>
      </w:pPr>
      <w:r>
        <w:rPr>
          <w:rFonts w:ascii="Arial" w:hAnsi="Arial"/>
          <w:b/>
          <w:sz w:val="22"/>
        </w:rPr>
        <w:t>3.4 Mapa de valor — Pain relievers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FA37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E2F0D9"/>
            <w:vAlign w:val="top"/>
          </w:tcPr>
          <w:p w14:paraId="097DDA5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Pain ID</w:t>
            </w:r>
          </w:p>
        </w:tc>
        <w:tc>
          <w:tcPr>
            <w:tcW w:w="4032" w:type="dxa"/>
            <w:shd w:val="clear" w:color="auto" w:fill="E2F0D9"/>
            <w:vAlign w:val="top"/>
          </w:tcPr>
          <w:p w14:paraId="5169ED8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Aliviador (solución)</w:t>
            </w:r>
          </w:p>
        </w:tc>
        <w:tc>
          <w:tcPr>
            <w:tcW w:w="4032" w:type="dxa"/>
            <w:shd w:val="clear" w:color="auto" w:fill="E2F0D9"/>
            <w:vAlign w:val="top"/>
          </w:tcPr>
          <w:p w14:paraId="100957F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Evidencia implementada</w:t>
            </w:r>
          </w:p>
        </w:tc>
      </w:tr>
      <w:tr w14:paraId="5B0B6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62637B0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P-SB-01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381C176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Alertas stock + fecha quiebre + análisis ABC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06FBF89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AdminPredictionsDashboard, IN-27, IN-34</w:t>
            </w:r>
          </w:p>
        </w:tc>
      </w:tr>
      <w:tr w14:paraId="24498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4F89116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P-SB-02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4CA731F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Capital inmovilizado e ingresos en riesgo calculados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1EBE31A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IN-35, ai-service</w:t>
            </w:r>
          </w:p>
        </w:tc>
      </w:tr>
      <w:tr w14:paraId="25085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551FA2A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P-SB-03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241D581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Stock y precios validados server-side (BFF + triggers)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73405BB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RF-RN-01/02, precisionBffGuards</w:t>
            </w:r>
          </w:p>
        </w:tc>
      </w:tr>
      <w:tr w14:paraId="525D1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7E27D5A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P-SB-04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539867F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Supabase PostgreSQL único: ventas, pedidos, productos, IRE histórico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76949B8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ireHistorial, migraciones</w:t>
            </w:r>
          </w:p>
        </w:tc>
      </w:tr>
      <w:tr w14:paraId="1CA1A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7C6BA63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P-SB-05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4DC7F69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RandomForestRegressor + fallback conservador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422B443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ai-service/, RF-IA-02</w:t>
            </w:r>
          </w:p>
        </w:tc>
      </w:tr>
      <w:tr w14:paraId="4CD95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48BDAE7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P-SB-06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490E098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IRE compuesto (40% stock + 35% ingresos + 25% demanda)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2EA363E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07-modulo-ia, RF-IA-01</w:t>
            </w:r>
          </w:p>
        </w:tc>
      </w:tr>
      <w:tr w14:paraId="1C841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54504A6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P-SB-07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3527AC6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Automatización CRUD, import Excel, RPC atómicos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300C759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RF-ADM-*, RF-RN-02</w:t>
            </w:r>
          </w:p>
        </w:tc>
      </w:tr>
      <w:tr w14:paraId="78F02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2BCF41E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P-SB-08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4D3B023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Páginas legales + TC-CMP E2E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7D76879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RF-LEG-*, verify-cumplimiento</w:t>
            </w:r>
          </w:p>
        </w:tc>
      </w:tr>
    </w:tbl>
    <w:p w14:paraId="138A704B">
      <w:pPr>
        <w:spacing w:before="120" w:after="80"/>
      </w:pPr>
      <w:r>
        <w:rPr>
          <w:rFonts w:ascii="Arial" w:hAnsi="Arial"/>
          <w:b/>
          <w:sz w:val="22"/>
        </w:rPr>
        <w:t>3.5 Mapa de valor — Gain creators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BA87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96" w:type="dxa"/>
            <w:shd w:val="clear" w:color="auto" w:fill="E2F0D9"/>
            <w:vAlign w:val="top"/>
          </w:tcPr>
          <w:p w14:paraId="7C176DF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Gain ID</w:t>
            </w:r>
          </w:p>
        </w:tc>
        <w:tc>
          <w:tcPr>
            <w:tcW w:w="4032" w:type="dxa"/>
            <w:shd w:val="clear" w:color="auto" w:fill="E2F0D9"/>
            <w:vAlign w:val="top"/>
          </w:tcPr>
          <w:p w14:paraId="43BC966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Creador de beneficio</w:t>
            </w:r>
          </w:p>
        </w:tc>
        <w:tc>
          <w:tcPr>
            <w:tcW w:w="4032" w:type="dxa"/>
            <w:shd w:val="clear" w:color="auto" w:fill="E2F0D9"/>
            <w:vAlign w:val="top"/>
          </w:tcPr>
          <w:p w14:paraId="2121325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RF / evidencia</w:t>
            </w:r>
          </w:p>
        </w:tc>
      </w:tr>
      <w:tr w14:paraId="5BFA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2CBFA34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G-SB-01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1D227BF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Dashboard admin con KPIs en tiempo real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504AB4A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RF-ADM-01</w:t>
            </w:r>
          </w:p>
        </w:tc>
      </w:tr>
      <w:tr w14:paraId="77867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5565BF6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G-SB-02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0DCC2CA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Motor alertas con horizonte configurable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36B72D2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RF-IA-03, IN-27</w:t>
            </w:r>
          </w:p>
        </w:tc>
      </w:tr>
      <w:tr w14:paraId="1A61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1FD4914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G-SB-03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39694D0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Score IRE con niveles y contribuciones por variable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3DD2806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Panel IRE, tests invariantes</w:t>
            </w:r>
          </w:p>
        </w:tc>
      </w:tr>
      <w:tr w14:paraId="36A6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61A3F49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G-SB-04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1A31E5C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IRE proyectado descontando consumo estimado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70E8D85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IN-32, API /api/predict/combined</w:t>
            </w:r>
          </w:p>
        </w:tc>
      </w:tr>
      <w:tr w14:paraId="775A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57E1723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G-SB-05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2D2D1B2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Top vendidos + baja rotación por período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5B297E6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IN-36</w:t>
            </w:r>
          </w:p>
        </w:tc>
      </w:tr>
      <w:tr w14:paraId="763FA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7C0B8F5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G-SB-06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4FE7B34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Guards BFF totales/precios; reglas comerciales BD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5FAA6A6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verify-precision</w:t>
            </w:r>
          </w:p>
        </w:tc>
      </w:tr>
      <w:tr w14:paraId="1A3A2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  <w:vAlign w:val="top"/>
          </w:tcPr>
          <w:p w14:paraId="06CEDC8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G-SB-07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2C86250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Auditoría admin, PKCS#7 pedidos, RLS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743DADC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RF-SEG, Seguridad checklist</w:t>
            </w:r>
          </w:p>
        </w:tc>
      </w:tr>
      <w:tr w14:paraId="062CA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9FBFD"/>
            <w:vAlign w:val="top"/>
          </w:tcPr>
          <w:p w14:paraId="55D2257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G-SB-08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670EDE2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Ley 29571/29733 implementada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37B541D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TC-CMP-001…004</w:t>
            </w:r>
          </w:p>
        </w:tc>
      </w:tr>
    </w:tbl>
    <w:p w14:paraId="5CE5CE58">
      <w:pPr>
        <w:spacing w:before="120" w:after="80"/>
      </w:pPr>
      <w:r>
        <w:rPr>
          <w:rFonts w:ascii="Arial" w:hAnsi="Arial"/>
          <w:b/>
          <w:sz w:val="22"/>
        </w:rPr>
        <w:t>3.6 Veredicto de encaje segmento SB</w:t>
      </w:r>
    </w:p>
    <w:p w14:paraId="7B908CA8">
      <w:pPr>
        <w:jc w:val="both"/>
      </w:pPr>
      <w:r>
        <w:rPr>
          <w:rFonts w:ascii="Arial" w:hAnsi="Arial"/>
          <w:i w:val="0"/>
          <w:sz w:val="18"/>
        </w:rPr>
        <w:t>Elementos CU-T12 segmento SB: 27 filas — Logrado: 25, Parcial: 0. Jobs 8/8 · Pains con pain reliever 8/8 · Gains con gain creator 8/8 · Trazabilidad RF: CU-T05 · Gates: verify-idoneidad, verify-precision, verify-cumplimiento.</w:t>
      </w:r>
    </w:p>
    <w:p w14:paraId="5FB6FB97">
      <w:pPr>
        <w:spacing w:before="200" w:after="80"/>
      </w:pPr>
      <w:r>
        <w:rPr>
          <w:rFonts w:ascii="Arial" w:hAnsi="Arial"/>
          <w:b/>
          <w:sz w:val="24"/>
        </w:rPr>
        <w:t>4. Segmentos SA y SC (resumen)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4BB6E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D9EAF7"/>
            <w:vAlign w:val="top"/>
          </w:tcPr>
          <w:p w14:paraId="3E96532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Segmento</w:t>
            </w:r>
          </w:p>
        </w:tc>
        <w:tc>
          <w:tcPr>
            <w:tcW w:w="1152" w:type="dxa"/>
            <w:shd w:val="clear" w:color="auto" w:fill="D9EAF7"/>
            <w:vAlign w:val="top"/>
          </w:tcPr>
          <w:p w14:paraId="39A4988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w="1296" w:type="dxa"/>
            <w:shd w:val="clear" w:color="auto" w:fill="D9EAF7"/>
            <w:vAlign w:val="top"/>
          </w:tcPr>
          <w:p w14:paraId="57BFC9C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Tipo</w:t>
            </w:r>
          </w:p>
        </w:tc>
        <w:tc>
          <w:tcPr>
            <w:tcW w:w="4608" w:type="dxa"/>
            <w:shd w:val="clear" w:color="auto" w:fill="D9EAF7"/>
            <w:vAlign w:val="top"/>
          </w:tcPr>
          <w:p w14:paraId="1151A46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Descripción</w:t>
            </w:r>
          </w:p>
        </w:tc>
        <w:tc>
          <w:tcPr>
            <w:tcW w:w="1008" w:type="dxa"/>
            <w:shd w:val="clear" w:color="auto" w:fill="D9EAF7"/>
            <w:vAlign w:val="top"/>
          </w:tcPr>
          <w:p w14:paraId="0B3A2CC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Encaje</w:t>
            </w:r>
          </w:p>
        </w:tc>
      </w:tr>
      <w:tr w14:paraId="6C42B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FFFFF"/>
            <w:vAlign w:val="top"/>
          </w:tcPr>
          <w:p w14:paraId="12B41D2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w="1152" w:type="dxa"/>
            <w:shd w:val="clear" w:color="auto" w:fill="FFFFFF"/>
            <w:vAlign w:val="top"/>
          </w:tcPr>
          <w:p w14:paraId="38D8A06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J-SA-01</w:t>
            </w:r>
          </w:p>
        </w:tc>
        <w:tc>
          <w:tcPr>
            <w:tcW w:w="1296" w:type="dxa"/>
            <w:shd w:val="clear" w:color="auto" w:fill="FFFFFF"/>
            <w:vAlign w:val="top"/>
          </w:tcPr>
          <w:p w14:paraId="2AA9D2A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w="4608" w:type="dxa"/>
            <w:shd w:val="clear" w:color="auto" w:fill="FFFFFF"/>
            <w:vAlign w:val="top"/>
          </w:tcPr>
          <w:p w14:paraId="5C3C18C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Descubrir y filtrar calzado online</w:t>
            </w:r>
          </w:p>
        </w:tc>
        <w:tc>
          <w:tcPr>
            <w:tcW w:w="1008" w:type="dxa"/>
            <w:shd w:val="clear" w:color="auto" w:fill="FFFFFF"/>
            <w:vAlign w:val="top"/>
          </w:tcPr>
          <w:p w14:paraId="578EF48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 w14:paraId="13ECB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9FBFD"/>
            <w:vAlign w:val="top"/>
          </w:tcPr>
          <w:p w14:paraId="11C361A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w="1152" w:type="dxa"/>
            <w:shd w:val="clear" w:color="auto" w:fill="F9FBFD"/>
            <w:vAlign w:val="top"/>
          </w:tcPr>
          <w:p w14:paraId="722D94E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J-SA-02</w:t>
            </w:r>
          </w:p>
        </w:tc>
        <w:tc>
          <w:tcPr>
            <w:tcW w:w="1296" w:type="dxa"/>
            <w:shd w:val="clear" w:color="auto" w:fill="F9FBFD"/>
            <w:vAlign w:val="top"/>
          </w:tcPr>
          <w:p w14:paraId="5C83D76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w="4608" w:type="dxa"/>
            <w:shd w:val="clear" w:color="auto" w:fill="F9FBFD"/>
            <w:vAlign w:val="top"/>
          </w:tcPr>
          <w:p w14:paraId="71736EC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Comprar online con confianza</w:t>
            </w:r>
          </w:p>
        </w:tc>
        <w:tc>
          <w:tcPr>
            <w:tcW w:w="1008" w:type="dxa"/>
            <w:shd w:val="clear" w:color="auto" w:fill="F9FBFD"/>
            <w:vAlign w:val="top"/>
          </w:tcPr>
          <w:p w14:paraId="6EB50F0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 w14:paraId="7903E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FFFFF"/>
            <w:vAlign w:val="top"/>
          </w:tcPr>
          <w:p w14:paraId="0D146D7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w="1152" w:type="dxa"/>
            <w:shd w:val="clear" w:color="auto" w:fill="FFFFFF"/>
            <w:vAlign w:val="top"/>
          </w:tcPr>
          <w:p w14:paraId="1A84D4F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J-SA-03</w:t>
            </w:r>
          </w:p>
        </w:tc>
        <w:tc>
          <w:tcPr>
            <w:tcW w:w="1296" w:type="dxa"/>
            <w:shd w:val="clear" w:color="auto" w:fill="FFFFFF"/>
            <w:vAlign w:val="top"/>
          </w:tcPr>
          <w:p w14:paraId="0B9B4A2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w="4608" w:type="dxa"/>
            <w:shd w:val="clear" w:color="auto" w:fill="FFFFFF"/>
            <w:vAlign w:val="top"/>
          </w:tcPr>
          <w:p w14:paraId="5B4FE67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Registrarse con datos validos</w:t>
            </w:r>
          </w:p>
        </w:tc>
        <w:tc>
          <w:tcPr>
            <w:tcW w:w="1008" w:type="dxa"/>
            <w:shd w:val="clear" w:color="auto" w:fill="FFFFFF"/>
            <w:vAlign w:val="top"/>
          </w:tcPr>
          <w:p w14:paraId="3577037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 w14:paraId="7717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9FBFD"/>
            <w:vAlign w:val="top"/>
          </w:tcPr>
          <w:p w14:paraId="414BF54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w="1152" w:type="dxa"/>
            <w:shd w:val="clear" w:color="auto" w:fill="F9FBFD"/>
            <w:vAlign w:val="top"/>
          </w:tcPr>
          <w:p w14:paraId="0E7991F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J-SA-04</w:t>
            </w:r>
          </w:p>
        </w:tc>
        <w:tc>
          <w:tcPr>
            <w:tcW w:w="1296" w:type="dxa"/>
            <w:shd w:val="clear" w:color="auto" w:fill="F9FBFD"/>
            <w:vAlign w:val="top"/>
          </w:tcPr>
          <w:p w14:paraId="3E3BB9C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w="4608" w:type="dxa"/>
            <w:shd w:val="clear" w:color="auto" w:fill="F9FBFD"/>
            <w:vAlign w:val="top"/>
          </w:tcPr>
          <w:p w14:paraId="6DAF89A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Seguir pedidos y guardar favoritos</w:t>
            </w:r>
          </w:p>
        </w:tc>
        <w:tc>
          <w:tcPr>
            <w:tcW w:w="1008" w:type="dxa"/>
            <w:shd w:val="clear" w:color="auto" w:fill="F9FBFD"/>
            <w:vAlign w:val="top"/>
          </w:tcPr>
          <w:p w14:paraId="7979571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 w14:paraId="6FE3D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FFFFF"/>
            <w:vAlign w:val="top"/>
          </w:tcPr>
          <w:p w14:paraId="700A312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w="1152" w:type="dxa"/>
            <w:shd w:val="clear" w:color="auto" w:fill="FFFFFF"/>
            <w:vAlign w:val="top"/>
          </w:tcPr>
          <w:p w14:paraId="5FC250C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J-SA-05</w:t>
            </w:r>
          </w:p>
        </w:tc>
        <w:tc>
          <w:tcPr>
            <w:tcW w:w="1296" w:type="dxa"/>
            <w:shd w:val="clear" w:color="auto" w:fill="FFFFFF"/>
            <w:vAlign w:val="top"/>
          </w:tcPr>
          <w:p w14:paraId="10E126A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w="4608" w:type="dxa"/>
            <w:shd w:val="clear" w:color="auto" w:fill="FFFFFF"/>
            <w:vAlign w:val="top"/>
          </w:tcPr>
          <w:p w14:paraId="0BDD4B9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Comprar desde movil</w:t>
            </w:r>
          </w:p>
        </w:tc>
        <w:tc>
          <w:tcPr>
            <w:tcW w:w="1008" w:type="dxa"/>
            <w:shd w:val="clear" w:color="auto" w:fill="FFFFFF"/>
            <w:vAlign w:val="top"/>
          </w:tcPr>
          <w:p w14:paraId="75404CE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Parcial</w:t>
            </w:r>
          </w:p>
        </w:tc>
      </w:tr>
      <w:tr w14:paraId="30BC4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9FBFD"/>
            <w:vAlign w:val="top"/>
          </w:tcPr>
          <w:p w14:paraId="0602EF2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w="1152" w:type="dxa"/>
            <w:shd w:val="clear" w:color="auto" w:fill="F9FBFD"/>
            <w:vAlign w:val="top"/>
          </w:tcPr>
          <w:p w14:paraId="5055520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P-SA-01</w:t>
            </w:r>
          </w:p>
        </w:tc>
        <w:tc>
          <w:tcPr>
            <w:tcW w:w="1296" w:type="dxa"/>
            <w:shd w:val="clear" w:color="auto" w:fill="F9FBFD"/>
            <w:vAlign w:val="top"/>
          </w:tcPr>
          <w:p w14:paraId="2567B98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Pain</w:t>
            </w:r>
          </w:p>
        </w:tc>
        <w:tc>
          <w:tcPr>
            <w:tcW w:w="4608" w:type="dxa"/>
            <w:shd w:val="clear" w:color="auto" w:fill="F9FBFD"/>
            <w:vAlign w:val="top"/>
          </w:tcPr>
          <w:p w14:paraId="2F322C6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No encontrar talla color disponible</w:t>
            </w:r>
          </w:p>
        </w:tc>
        <w:tc>
          <w:tcPr>
            <w:tcW w:w="1008" w:type="dxa"/>
            <w:shd w:val="clear" w:color="auto" w:fill="F9FBFD"/>
            <w:vAlign w:val="top"/>
          </w:tcPr>
          <w:p w14:paraId="022C8D2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 w14:paraId="4E48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FFFFF"/>
            <w:vAlign w:val="top"/>
          </w:tcPr>
          <w:p w14:paraId="6D714C7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w="1152" w:type="dxa"/>
            <w:shd w:val="clear" w:color="auto" w:fill="FFFFFF"/>
            <w:vAlign w:val="top"/>
          </w:tcPr>
          <w:p w14:paraId="78C3AC5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P-SA-02</w:t>
            </w:r>
          </w:p>
        </w:tc>
        <w:tc>
          <w:tcPr>
            <w:tcW w:w="1296" w:type="dxa"/>
            <w:shd w:val="clear" w:color="auto" w:fill="FFFFFF"/>
            <w:vAlign w:val="top"/>
          </w:tcPr>
          <w:p w14:paraId="548BD11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Pain</w:t>
            </w:r>
          </w:p>
        </w:tc>
        <w:tc>
          <w:tcPr>
            <w:tcW w:w="4608" w:type="dxa"/>
            <w:shd w:val="clear" w:color="auto" w:fill="FFFFFF"/>
            <w:vAlign w:val="top"/>
          </w:tcPr>
          <w:p w14:paraId="26185E8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Desconfianza pago y datos personales</w:t>
            </w:r>
          </w:p>
        </w:tc>
        <w:tc>
          <w:tcPr>
            <w:tcW w:w="1008" w:type="dxa"/>
            <w:shd w:val="clear" w:color="auto" w:fill="FFFFFF"/>
            <w:vAlign w:val="top"/>
          </w:tcPr>
          <w:p w14:paraId="1A249BA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 w14:paraId="41E2F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9FBFD"/>
            <w:vAlign w:val="top"/>
          </w:tcPr>
          <w:p w14:paraId="5DB1CFE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w="1152" w:type="dxa"/>
            <w:shd w:val="clear" w:color="auto" w:fill="F9FBFD"/>
            <w:vAlign w:val="top"/>
          </w:tcPr>
          <w:p w14:paraId="17AC184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P-SA-03</w:t>
            </w:r>
          </w:p>
        </w:tc>
        <w:tc>
          <w:tcPr>
            <w:tcW w:w="1296" w:type="dxa"/>
            <w:shd w:val="clear" w:color="auto" w:fill="F9FBFD"/>
            <w:vAlign w:val="top"/>
          </w:tcPr>
          <w:p w14:paraId="260C410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Pain</w:t>
            </w:r>
          </w:p>
        </w:tc>
        <w:tc>
          <w:tcPr>
            <w:tcW w:w="4608" w:type="dxa"/>
            <w:shd w:val="clear" w:color="auto" w:fill="F9FBFD"/>
            <w:vAlign w:val="top"/>
          </w:tcPr>
          <w:p w14:paraId="05B34B9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Registro tedioso o invalido</w:t>
            </w:r>
          </w:p>
        </w:tc>
        <w:tc>
          <w:tcPr>
            <w:tcW w:w="1008" w:type="dxa"/>
            <w:shd w:val="clear" w:color="auto" w:fill="F9FBFD"/>
            <w:vAlign w:val="top"/>
          </w:tcPr>
          <w:p w14:paraId="1A6688F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 w14:paraId="69534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FFFFF"/>
            <w:vAlign w:val="top"/>
          </w:tcPr>
          <w:p w14:paraId="26588E1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w="1152" w:type="dxa"/>
            <w:shd w:val="clear" w:color="auto" w:fill="FFFFFF"/>
            <w:vAlign w:val="top"/>
          </w:tcPr>
          <w:p w14:paraId="031C3AD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G-SA-01</w:t>
            </w:r>
          </w:p>
        </w:tc>
        <w:tc>
          <w:tcPr>
            <w:tcW w:w="1296" w:type="dxa"/>
            <w:shd w:val="clear" w:color="auto" w:fill="FFFFFF"/>
            <w:vAlign w:val="top"/>
          </w:tcPr>
          <w:p w14:paraId="4CF223E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Gain</w:t>
            </w:r>
          </w:p>
        </w:tc>
        <w:tc>
          <w:tcPr>
            <w:tcW w:w="4608" w:type="dxa"/>
            <w:shd w:val="clear" w:color="auto" w:fill="FFFFFF"/>
            <w:vAlign w:val="top"/>
          </w:tcPr>
          <w:p w14:paraId="646709E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Catalogo claro filtros busqueda</w:t>
            </w:r>
          </w:p>
        </w:tc>
        <w:tc>
          <w:tcPr>
            <w:tcW w:w="1008" w:type="dxa"/>
            <w:shd w:val="clear" w:color="auto" w:fill="FFFFFF"/>
            <w:vAlign w:val="top"/>
          </w:tcPr>
          <w:p w14:paraId="5AAB933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 w14:paraId="7AEDB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9FBFD"/>
            <w:vAlign w:val="top"/>
          </w:tcPr>
          <w:p w14:paraId="2570AB1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w="1152" w:type="dxa"/>
            <w:shd w:val="clear" w:color="auto" w:fill="F9FBFD"/>
            <w:vAlign w:val="top"/>
          </w:tcPr>
          <w:p w14:paraId="09EDA0E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G-SA-02</w:t>
            </w:r>
          </w:p>
        </w:tc>
        <w:tc>
          <w:tcPr>
            <w:tcW w:w="1296" w:type="dxa"/>
            <w:shd w:val="clear" w:color="auto" w:fill="F9FBFD"/>
            <w:vAlign w:val="top"/>
          </w:tcPr>
          <w:p w14:paraId="0CAACCD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Gain</w:t>
            </w:r>
          </w:p>
        </w:tc>
        <w:tc>
          <w:tcPr>
            <w:tcW w:w="4608" w:type="dxa"/>
            <w:shd w:val="clear" w:color="auto" w:fill="F9FBFD"/>
            <w:vAlign w:val="top"/>
          </w:tcPr>
          <w:p w14:paraId="18B1341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Checkout seguro multi metodo pago</w:t>
            </w:r>
          </w:p>
        </w:tc>
        <w:tc>
          <w:tcPr>
            <w:tcW w:w="1008" w:type="dxa"/>
            <w:shd w:val="clear" w:color="auto" w:fill="F9FBFD"/>
            <w:vAlign w:val="top"/>
          </w:tcPr>
          <w:p w14:paraId="58525EE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 w14:paraId="6FDAB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FFFFF"/>
            <w:vAlign w:val="top"/>
          </w:tcPr>
          <w:p w14:paraId="765C5CA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SC</w:t>
            </w:r>
          </w:p>
        </w:tc>
        <w:tc>
          <w:tcPr>
            <w:tcW w:w="1152" w:type="dxa"/>
            <w:shd w:val="clear" w:color="auto" w:fill="FFFFFF"/>
            <w:vAlign w:val="top"/>
          </w:tcPr>
          <w:p w14:paraId="5D5713B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J-SC-01</w:t>
            </w:r>
          </w:p>
        </w:tc>
        <w:tc>
          <w:tcPr>
            <w:tcW w:w="1296" w:type="dxa"/>
            <w:shd w:val="clear" w:color="auto" w:fill="FFFFFF"/>
            <w:vAlign w:val="top"/>
          </w:tcPr>
          <w:p w14:paraId="23F6EEB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w="4608" w:type="dxa"/>
            <w:shd w:val="clear" w:color="auto" w:fill="FFFFFF"/>
            <w:vAlign w:val="top"/>
          </w:tcPr>
          <w:p w14:paraId="21581CA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Explorar catalogo sin registrarse</w:t>
            </w:r>
          </w:p>
        </w:tc>
        <w:tc>
          <w:tcPr>
            <w:tcW w:w="1008" w:type="dxa"/>
            <w:shd w:val="clear" w:color="auto" w:fill="FFFFFF"/>
            <w:vAlign w:val="top"/>
          </w:tcPr>
          <w:p w14:paraId="2F03ED1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 w14:paraId="563C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9FBFD"/>
            <w:vAlign w:val="top"/>
          </w:tcPr>
          <w:p w14:paraId="2BF19F4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SC</w:t>
            </w:r>
          </w:p>
        </w:tc>
        <w:tc>
          <w:tcPr>
            <w:tcW w:w="1152" w:type="dxa"/>
            <w:shd w:val="clear" w:color="auto" w:fill="F9FBFD"/>
            <w:vAlign w:val="top"/>
          </w:tcPr>
          <w:p w14:paraId="538B420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P-SC-01</w:t>
            </w:r>
          </w:p>
        </w:tc>
        <w:tc>
          <w:tcPr>
            <w:tcW w:w="1296" w:type="dxa"/>
            <w:shd w:val="clear" w:color="auto" w:fill="F9FBFD"/>
            <w:vAlign w:val="top"/>
          </w:tcPr>
          <w:p w14:paraId="102A720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Pain</w:t>
            </w:r>
          </w:p>
        </w:tc>
        <w:tc>
          <w:tcPr>
            <w:tcW w:w="4608" w:type="dxa"/>
            <w:shd w:val="clear" w:color="auto" w:fill="F9FBFD"/>
            <w:vAlign w:val="top"/>
          </w:tcPr>
          <w:p w14:paraId="656808F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Informacion pobre o carga lenta</w:t>
            </w:r>
          </w:p>
        </w:tc>
        <w:tc>
          <w:tcPr>
            <w:tcW w:w="1008" w:type="dxa"/>
            <w:shd w:val="clear" w:color="auto" w:fill="F9FBFD"/>
            <w:vAlign w:val="top"/>
          </w:tcPr>
          <w:p w14:paraId="75E2D19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Parcial</w:t>
            </w:r>
          </w:p>
        </w:tc>
      </w:tr>
      <w:tr w14:paraId="057AD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FFFFFF"/>
            <w:vAlign w:val="top"/>
          </w:tcPr>
          <w:p w14:paraId="45A9C81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SC</w:t>
            </w:r>
          </w:p>
        </w:tc>
        <w:tc>
          <w:tcPr>
            <w:tcW w:w="1152" w:type="dxa"/>
            <w:shd w:val="clear" w:color="auto" w:fill="FFFFFF"/>
            <w:vAlign w:val="top"/>
          </w:tcPr>
          <w:p w14:paraId="0B0CCFF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J-SC-02</w:t>
            </w:r>
          </w:p>
        </w:tc>
        <w:tc>
          <w:tcPr>
            <w:tcW w:w="1296" w:type="dxa"/>
            <w:shd w:val="clear" w:color="auto" w:fill="FFFFFF"/>
            <w:vAlign w:val="top"/>
          </w:tcPr>
          <w:p w14:paraId="26737CE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w="4608" w:type="dxa"/>
            <w:shd w:val="clear" w:color="auto" w:fill="FFFFFF"/>
            <w:vAlign w:val="top"/>
          </w:tcPr>
          <w:p w14:paraId="414704F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Conocer tienda y politicas</w:t>
            </w:r>
          </w:p>
        </w:tc>
        <w:tc>
          <w:tcPr>
            <w:tcW w:w="1008" w:type="dxa"/>
            <w:shd w:val="clear" w:color="auto" w:fill="FFFFFF"/>
            <w:vAlign w:val="top"/>
          </w:tcPr>
          <w:p w14:paraId="0023DF9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</w:tbl>
    <w:p w14:paraId="6D333822">
      <w:pPr>
        <w:jc w:val="both"/>
      </w:pPr>
      <w:r>
        <w:rPr>
          <w:rFonts w:ascii="Arial" w:hAnsi="Arial"/>
          <w:i/>
          <w:sz w:val="16"/>
        </w:rPr>
        <w:t>Nota SA: encaje Parcial en J-SA-05 (sesión SUS formal con usuarios reales pendiente). Nota SC: encaje Parcial en P-SC-01 (gate Lighthouse en CI pendiente).</w:t>
      </w:r>
    </w:p>
    <w:p w14:paraId="167BE4B6">
      <w:pPr>
        <w:spacing w:before="200" w:after="80"/>
      </w:pPr>
      <w:r>
        <w:rPr>
          <w:rFonts w:ascii="Arial" w:hAnsi="Arial"/>
          <w:b/>
          <w:sz w:val="24"/>
        </w:rPr>
        <w:t>5. Diferenciadores frente a alternativas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F84D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D9EAF7"/>
            <w:vAlign w:val="top"/>
          </w:tcPr>
          <w:p w14:paraId="4FEA806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Alternativa</w:t>
            </w:r>
          </w:p>
        </w:tc>
        <w:tc>
          <w:tcPr>
            <w:tcW w:w="3168" w:type="dxa"/>
            <w:shd w:val="clear" w:color="auto" w:fill="D9EAF7"/>
            <w:vAlign w:val="top"/>
          </w:tcPr>
          <w:p w14:paraId="0CF1856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Limitación</w:t>
            </w:r>
          </w:p>
        </w:tc>
        <w:tc>
          <w:tcPr>
            <w:tcW w:w="4032" w:type="dxa"/>
            <w:shd w:val="clear" w:color="auto" w:fill="D9EAF7"/>
            <w:vAlign w:val="top"/>
          </w:tcPr>
          <w:p w14:paraId="164BF56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Ventaja Calzatura Vilchez</w:t>
            </w:r>
          </w:p>
        </w:tc>
      </w:tr>
      <w:tr w14:paraId="0C3EC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vAlign w:val="top"/>
          </w:tcPr>
          <w:p w14:paraId="2946318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Venta solo presencial</w:t>
            </w:r>
          </w:p>
        </w:tc>
        <w:tc>
          <w:tcPr>
            <w:tcW w:w="3168" w:type="dxa"/>
            <w:shd w:val="clear" w:color="auto" w:fill="FFFFFF"/>
            <w:vAlign w:val="top"/>
          </w:tcPr>
          <w:p w14:paraId="30D9174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Sin datos online ni escala geográfica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355888C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E-commerce + app móvil Flutter</w:t>
            </w:r>
          </w:p>
        </w:tc>
      </w:tr>
      <w:tr w14:paraId="1A825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9FBFD"/>
            <w:vAlign w:val="top"/>
          </w:tcPr>
          <w:p w14:paraId="22C6FD7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Excel / cuaderno</w:t>
            </w:r>
          </w:p>
        </w:tc>
        <w:tc>
          <w:tcPr>
            <w:tcW w:w="3168" w:type="dxa"/>
            <w:shd w:val="clear" w:color="auto" w:fill="F9FBFD"/>
            <w:vAlign w:val="top"/>
          </w:tcPr>
          <w:p w14:paraId="429CD44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Sin tiempo real ni integración pagos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25698FC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Supabase + Stripe + BFF</w:t>
            </w:r>
          </w:p>
        </w:tc>
      </w:tr>
      <w:tr w14:paraId="7217A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vAlign w:val="top"/>
          </w:tcPr>
          <w:p w14:paraId="6B08EF4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E-commerce genérico (Shopify, etc.)</w:t>
            </w:r>
          </w:p>
        </w:tc>
        <w:tc>
          <w:tcPr>
            <w:tcW w:w="3168" w:type="dxa"/>
            <w:shd w:val="clear" w:color="auto" w:fill="FFFFFF"/>
            <w:vAlign w:val="top"/>
          </w:tcPr>
          <w:p w14:paraId="66271C5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Sin IRE ni predicción demanda calzado</w:t>
            </w:r>
          </w:p>
        </w:tc>
        <w:tc>
          <w:tcPr>
            <w:tcW w:w="4032" w:type="dxa"/>
            <w:shd w:val="clear" w:color="auto" w:fill="FFFFFF"/>
            <w:vAlign w:val="top"/>
          </w:tcPr>
          <w:p w14:paraId="099EFB1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IRE + Random Forest + analítica ABC</w:t>
            </w:r>
          </w:p>
        </w:tc>
      </w:tr>
      <w:tr w14:paraId="2537F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9FBFD"/>
            <w:vAlign w:val="top"/>
          </w:tcPr>
          <w:p w14:paraId="39489BD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ERP contable completo</w:t>
            </w:r>
          </w:p>
        </w:tc>
        <w:tc>
          <w:tcPr>
            <w:tcW w:w="3168" w:type="dxa"/>
            <w:shd w:val="clear" w:color="auto" w:fill="F9FBFD"/>
            <w:vAlign w:val="top"/>
          </w:tcPr>
          <w:p w14:paraId="0C0EE4E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Sobredimensionado para PYME</w:t>
            </w:r>
          </w:p>
        </w:tc>
        <w:tc>
          <w:tcPr>
            <w:tcW w:w="4032" w:type="dxa"/>
            <w:shd w:val="clear" w:color="auto" w:fill="F9FBFD"/>
            <w:vAlign w:val="top"/>
          </w:tcPr>
          <w:p w14:paraId="0F01D00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Enfoque retail calzado + IA acotada</w:t>
            </w:r>
          </w:p>
        </w:tc>
      </w:tr>
    </w:tbl>
    <w:p w14:paraId="20F1EB70">
      <w:pPr>
        <w:spacing w:before="200" w:after="80"/>
      </w:pPr>
      <w:r>
        <w:rPr>
          <w:rFonts w:ascii="Arial" w:hAnsi="Arial"/>
          <w:b/>
          <w:sz w:val="24"/>
        </w:rPr>
        <w:t>6. Matriz consolidada CU-T12 (trazabilidad completa)</w:t>
      </w:r>
    </w:p>
    <w:p w14:paraId="0CFE2CD5">
      <w:pPr>
        <w:jc w:val="both"/>
      </w:pPr>
      <w:r>
        <w:rPr>
          <w:rFonts w:ascii="Arial" w:hAnsi="Arial"/>
          <w:i w:val="0"/>
          <w:sz w:val="16"/>
        </w:rPr>
        <w:t>Matriz de encaje VPC → sistema → requisitos → evidencia → artículo Q1. Fuente CSV: documentacion/cuadros-excel/CU-T12-matriz-propuesta-valor.csv</w:t>
      </w:r>
    </w:p>
    <w:p w14:paraId="271EBE4E">
      <w:r>
        <w:br w:type="page"/>
      </w:r>
    </w:p>
    <w:p w14:paraId="6C274C72">
      <w:pPr>
        <w:sectPr>
          <w:pgSz w:w="12240" w:h="15840"/>
          <w:pgMar w:top="1008" w:right="1152" w:bottom="1008" w:left="1152" w:header="720" w:footer="720" w:gutter="0"/>
          <w:cols w:space="720" w:num="1"/>
          <w:docGrid w:linePitch="360" w:charSpace="0"/>
        </w:sectPr>
      </w:pPr>
    </w:p>
    <w:p w14:paraId="0EBE3FCE">
      <w:pPr>
        <w:jc w:val="center"/>
      </w:pPr>
      <w:r>
        <w:rPr>
          <w:rFonts w:ascii="Arial" w:hAnsi="Arial"/>
          <w:b/>
          <w:sz w:val="20"/>
        </w:rPr>
        <w:t>ANEXO — MATRIZ CU-T12 PROPUESTA DE VALOR (TRAZABILIDAD COMPLETA)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1648"/>
        <w:gridCol w:w="1648"/>
        <w:gridCol w:w="1648"/>
        <w:gridCol w:w="1648"/>
        <w:gridCol w:w="1648"/>
        <w:gridCol w:w="1648"/>
        <w:gridCol w:w="1648"/>
        <w:gridCol w:w="1648"/>
      </w:tblGrid>
      <w:tr w14:paraId="7154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1F4E79"/>
            <w:vAlign w:val="top"/>
          </w:tcPr>
          <w:p w14:paraId="5BCF8D1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4"/>
              </w:rPr>
              <w:t>Segmento</w:t>
            </w:r>
          </w:p>
        </w:tc>
        <w:tc>
          <w:tcPr>
            <w:tcW w:w="1080" w:type="dxa"/>
            <w:shd w:val="clear" w:color="auto" w:fill="1F4E79"/>
            <w:vAlign w:val="top"/>
          </w:tcPr>
          <w:p w14:paraId="6084D7F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4"/>
              </w:rPr>
              <w:t>Tipo VPC</w:t>
            </w:r>
          </w:p>
        </w:tc>
        <w:tc>
          <w:tcPr>
            <w:tcW w:w="936" w:type="dxa"/>
            <w:shd w:val="clear" w:color="auto" w:fill="1F4E79"/>
            <w:vAlign w:val="top"/>
          </w:tcPr>
          <w:p w14:paraId="2CB02C6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4"/>
              </w:rPr>
              <w:t>ID</w:t>
            </w:r>
          </w:p>
        </w:tc>
        <w:tc>
          <w:tcPr>
            <w:tcW w:w="2232" w:type="dxa"/>
            <w:shd w:val="clear" w:color="auto" w:fill="1F4E79"/>
            <w:vAlign w:val="top"/>
          </w:tcPr>
          <w:p w14:paraId="77342EA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4"/>
              </w:rPr>
              <w:t>Descripción</w:t>
            </w:r>
          </w:p>
        </w:tc>
        <w:tc>
          <w:tcPr>
            <w:tcW w:w="1368" w:type="dxa"/>
            <w:shd w:val="clear" w:color="auto" w:fill="1F4E79"/>
            <w:vAlign w:val="top"/>
          </w:tcPr>
          <w:p w14:paraId="6AEFF8A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4"/>
              </w:rPr>
              <w:t>Componente sistema</w:t>
            </w:r>
          </w:p>
        </w:tc>
        <w:tc>
          <w:tcPr>
            <w:tcW w:w="1224" w:type="dxa"/>
            <w:shd w:val="clear" w:color="auto" w:fill="1F4E79"/>
            <w:vAlign w:val="top"/>
          </w:tcPr>
          <w:p w14:paraId="34A393E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4"/>
              </w:rPr>
              <w:t>Req_ID</w:t>
            </w:r>
          </w:p>
        </w:tc>
        <w:tc>
          <w:tcPr>
            <w:tcW w:w="1368" w:type="dxa"/>
            <w:shd w:val="clear" w:color="auto" w:fill="1F4E79"/>
            <w:vAlign w:val="top"/>
          </w:tcPr>
          <w:p w14:paraId="54353EB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4"/>
              </w:rPr>
              <w:t>Evidencia</w:t>
            </w:r>
          </w:p>
        </w:tc>
        <w:tc>
          <w:tcPr>
            <w:tcW w:w="1512" w:type="dxa"/>
            <w:shd w:val="clear" w:color="auto" w:fill="1F4E79"/>
            <w:vAlign w:val="top"/>
          </w:tcPr>
          <w:p w14:paraId="68B55C1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4"/>
              </w:rPr>
              <w:t>Artículo Q1</w:t>
            </w:r>
          </w:p>
        </w:tc>
        <w:tc>
          <w:tcPr>
            <w:tcW w:w="792" w:type="dxa"/>
            <w:shd w:val="clear" w:color="auto" w:fill="1F4E79"/>
            <w:vAlign w:val="top"/>
          </w:tcPr>
          <w:p w14:paraId="7C7B7E0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4"/>
              </w:rPr>
              <w:t>Encaje</w:t>
            </w:r>
          </w:p>
        </w:tc>
      </w:tr>
      <w:tr w14:paraId="579A3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3DC43B7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4DC8092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7C68613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J-SB-01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40000C4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Mantener catálogo calzado con tallas colores e imágenes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1279F8D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Admin productos + Cloudinary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1BC396D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RF-ADM-02; RF-ADM-03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1964AB1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documentacion/idoneidad-trazabilida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5676A67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Reinartz et al. (2019) retail value chai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63A9AB8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11215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05C7EA3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45962E9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145B1F4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J-SB-02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6745DF9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Controlar stock por variante sin overselling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3BE6046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Stock talla/color + triggers Supabase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12EC374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RF-ADM-03; RF-RN-01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3B72B93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verify-precision-iso25000.mjs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735D4DC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Choi et al. (2018) Big data operations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38E166E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47DB6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2142E22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09BAC9F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284B12F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J-SB-03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6A5FA6D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Registrar ventas presenciales y online unificadas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5C7F309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Ventas diarias + pedidos Supabase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2F6959B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RF-ADM-08; RF-PED-01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67B527F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e2e/checkout-cod-order.spec.ts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4EC62B1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Hagberg et al. (2016) digitalization ret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68A3A6E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02313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2BCA286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0E4BB3A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1BF4FB5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J-SB-04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1F0888C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Gestionar pedidos pagos y estados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7337316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Panel pedidos + Stripe webhook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4CA1DB9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RF-ADM-07; RF-PAG-01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6C874F8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e2e/checkout-stripe.spec.ts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08C73BB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Dai et al. (2024) e-commerce IA PYME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725BEEC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6AAB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3CD206D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0C59D5A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34F1AAD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J-SB-05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2C78B85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Conocer rentabilidad costo y margen por producto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B82BC2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Finanzas producto admin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10561B5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RF-ADM-06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68275CF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verify-precision dominio finanzas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43D7005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Amba et al. (2017) big data firm perform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77B74B6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0ECEA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4704318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163D7B1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4A94171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J-SB-06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2A98545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Anticipar quiebre de stock antes de perder ventas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1FBD940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Alertas stock + fecha quiebre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22605AA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RF-IA-02; RF-IA-03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2A5AA22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AdminPredictionsDashboard; IN-27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56EDCCA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Fildes et al. (2019) retail forecasting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200A1FB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6C49D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6FEAAB3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50DF6CF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4CFE3FC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J-SB-07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119D98D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Monitorear riesgo comercial-operativo con indicador unico IRE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2865BCA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Panel IRE + ireHistorial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6F0B97F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RF-IA-01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53A678D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documentacion/07-modulo-ia-riesgo-e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6CB8345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Duan et al. (2019) IA decisiones Big Dat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038AFDE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020D0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25AAB26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2571565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75890D3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J-SB-08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5710C7A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Cumplir obligaciones legales e-commerce Peru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43778E5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Paginas legales + libro reclamaciones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399F655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RF-LEG-01; RF-LEG-02; RF-LEG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4AE7D05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verify-cumplimiento-iso25000.mjs; T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3A8EE14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Norma Ley 29571 y 29733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4AFB642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39F6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499ABD0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134FFF5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5CC815E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P-SB-01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7EE399E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Quiebre stock productos alta rotacion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7E1206F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Alertas + analisis ABC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16BE024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RF-IA-03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4AD23B6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IN-27; IN-34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6090C73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Makridakis et al. (2018) forecasting acc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56ED525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6701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28C846F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684CFAC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538CC04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P-SB-02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53B6F7F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Capital inmovilizado baja rotacion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63B2260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Analisis ABC + riesgo financiero panel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5A6EE05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RF-IA-01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200818A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IN-35; ai-service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7572FE6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Lepenioti et al. (2020) prescriptive ana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0C9294A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101B0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7466E98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3C519F4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546D5DE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P-SB-03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7353D24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Venta online con datos desactualizados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8C3ABA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Catalogo vivo BFF + guards server-side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3D1357A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RF-CAT-02; RF-RN-01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D851EB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verify-precision; e2e catalogo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10AC128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Gutiérrez-Rodríguez et al. (2020) e-SQ f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04343D2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1450C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3E96700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163EFD7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118995F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P-SB-04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6AA46AF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Datos dispersos ventas pedidos inventario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63B6925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Supabase PostgreSQL centralizado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2D6CCFD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RF-RN-02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4BDA29B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migraciones Supabase; formato-09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1AF67F3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Shrestha et al. (2019) IA decisiones org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44B1618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0611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49119DF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48DF4A7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6DCB3A3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P-SB-05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0334FC8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Reabastecimiento sin pronostico demanda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32082D2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RandomForestRegressor ai-service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5D49446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RF-IA-02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8EA4F5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ai-service/evaluate.py; backtest ga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2BCB1EA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Breiman (2001) Random forests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596FD3E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27B57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6FD98D4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666F6D7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3FFFFB0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P-SB-06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4464CBA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Sin visibilidad riesgo agregado negocio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2444A60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IRE compuesto 0-100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6CD7593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RF-IA-01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738EB6E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GET /api/predict/combined; tests IR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6EB0E72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Haakman et al. (2021) AI lifecycle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7724FFD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40090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FFFFFF"/>
            <w:vAlign w:val="top"/>
          </w:tcPr>
          <w:p w14:paraId="73EE4C4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FFFFFF"/>
            <w:vAlign w:val="top"/>
          </w:tcPr>
          <w:p w14:paraId="6B4BB01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w="936" w:type="dxa"/>
            <w:shd w:val="clear" w:color="auto" w:fill="FFFFFF"/>
            <w:vAlign w:val="top"/>
          </w:tcPr>
          <w:p w14:paraId="4F5FCD7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P-SB-07</w:t>
            </w:r>
          </w:p>
        </w:tc>
        <w:tc>
          <w:tcPr>
            <w:tcW w:w="2232" w:type="dxa"/>
            <w:shd w:val="clear" w:color="auto" w:fill="FFFFFF"/>
            <w:vAlign w:val="top"/>
          </w:tcPr>
          <w:p w14:paraId="17C675C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Tareas administrativas repetitivas manuales</w:t>
            </w:r>
          </w:p>
        </w:tc>
        <w:tc>
          <w:tcPr>
            <w:tcW w:w="1368" w:type="dxa"/>
            <w:shd w:val="clear" w:color="auto" w:fill="FFFFFF"/>
            <w:vAlign w:val="top"/>
          </w:tcPr>
          <w:p w14:paraId="6CC20C3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CRUD admin import Excel RPC</w:t>
            </w:r>
          </w:p>
        </w:tc>
        <w:tc>
          <w:tcPr>
            <w:tcW w:w="1224" w:type="dxa"/>
            <w:shd w:val="clear" w:color="auto" w:fill="FFFFFF"/>
            <w:vAlign w:val="top"/>
          </w:tcPr>
          <w:p w14:paraId="2807153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RF-ADM-02; RF-ADM-08</w:t>
            </w:r>
          </w:p>
        </w:tc>
        <w:tc>
          <w:tcPr>
            <w:tcW w:w="1368" w:type="dxa"/>
            <w:shd w:val="clear" w:color="auto" w:fill="FFFFFF"/>
            <w:vAlign w:val="top"/>
          </w:tcPr>
          <w:p w14:paraId="00B01D4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Dingsøyr (2012) agile methodologies</w:t>
            </w:r>
          </w:p>
        </w:tc>
        <w:tc>
          <w:tcPr>
            <w:tcW w:w="1512" w:type="dxa"/>
            <w:shd w:val="clear" w:color="auto" w:fill="FFFFFF"/>
            <w:vAlign w:val="top"/>
          </w:tcPr>
          <w:p w14:paraId="4CB12EC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https://doi.org/10.1016/j.jss.2012.02.03</w:t>
            </w:r>
          </w:p>
        </w:tc>
        <w:tc>
          <w:tcPr>
            <w:tcW w:w="792" w:type="dxa"/>
            <w:shd w:val="clear" w:color="auto" w:fill="FFFFFF"/>
            <w:vAlign w:val="top"/>
          </w:tcPr>
          <w:p w14:paraId="68C2733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</w:tr>
      <w:tr w14:paraId="7C80B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FFFFFF"/>
            <w:vAlign w:val="top"/>
          </w:tcPr>
          <w:p w14:paraId="4387298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FFFFFF"/>
            <w:vAlign w:val="top"/>
          </w:tcPr>
          <w:p w14:paraId="2589376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w="936" w:type="dxa"/>
            <w:shd w:val="clear" w:color="auto" w:fill="FFFFFF"/>
            <w:vAlign w:val="top"/>
          </w:tcPr>
          <w:p w14:paraId="5E62305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P-SB-08</w:t>
            </w:r>
          </w:p>
        </w:tc>
        <w:tc>
          <w:tcPr>
            <w:tcW w:w="2232" w:type="dxa"/>
            <w:shd w:val="clear" w:color="auto" w:fill="FFFFFF"/>
            <w:vAlign w:val="top"/>
          </w:tcPr>
          <w:p w14:paraId="133321F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Incertidumbre cumplimiento legal digital</w:t>
            </w:r>
          </w:p>
        </w:tc>
        <w:tc>
          <w:tcPr>
            <w:tcW w:w="1368" w:type="dxa"/>
            <w:shd w:val="clear" w:color="auto" w:fill="FFFFFF"/>
            <w:vAlign w:val="top"/>
          </w:tcPr>
          <w:p w14:paraId="2648712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 legales implementados</w:t>
            </w:r>
          </w:p>
        </w:tc>
        <w:tc>
          <w:tcPr>
            <w:tcW w:w="1224" w:type="dxa"/>
            <w:shd w:val="clear" w:color="auto" w:fill="FFFFFF"/>
            <w:vAlign w:val="top"/>
          </w:tcPr>
          <w:p w14:paraId="4653AE5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RF-LEG-01..04</w:t>
            </w:r>
          </w:p>
        </w:tc>
        <w:tc>
          <w:tcPr>
            <w:tcW w:w="1368" w:type="dxa"/>
            <w:shd w:val="clear" w:color="auto" w:fill="FFFFFF"/>
            <w:vAlign w:val="top"/>
          </w:tcPr>
          <w:p w14:paraId="013C21A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paginas legales; e2e legal</w:t>
            </w:r>
          </w:p>
        </w:tc>
        <w:tc>
          <w:tcPr>
            <w:tcW w:w="1512" w:type="dxa"/>
            <w:shd w:val="clear" w:color="auto" w:fill="FFFFFF"/>
            <w:vAlign w:val="top"/>
          </w:tcPr>
          <w:p w14:paraId="566C397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  <w:tc>
          <w:tcPr>
            <w:tcW w:w="792" w:type="dxa"/>
            <w:shd w:val="clear" w:color="auto" w:fill="FFFFFF"/>
            <w:vAlign w:val="top"/>
          </w:tcPr>
          <w:p w14:paraId="52A68AD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</w:tr>
      <w:tr w14:paraId="3EEF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1D20323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0824C42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71BE2C0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G-SB-01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46493A5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Panel unico KPIs ventas pedidos productos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2E1F5FB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Dashboard admin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69BE930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RF-ADM-01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5BCED0D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e2e/admin-layout.spec.ts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00E7F80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Verhoef et al. (2019) digital transforma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7A48AC6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5F04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71D0CF0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4D6D0D6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40CEFC2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G-SB-02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0F6D9F3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Alertas stock con fecha quiebre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1512A71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Modulo alertas IA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4DB472B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RF-IA-03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797628B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IN-27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17CB567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Fildes et al. (2019) retail forecasting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22D2795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5440A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3F6D952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1FF6768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5BFD1BA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G-SB-03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608B520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IRE con niveles Bajo Moderado Alto Critico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F9AB5A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UI IRE + formula visible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779EC3E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RF-IA-01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4A472B1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AdminPredictions.tsx; 07-modulo-ia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3D29AC5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Duan et al. (2019) IA decisiones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1882296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3839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3552FF8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690DFA0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7FD19F5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G-SB-04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616C3A0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Proyeccion IRE 7/15/30 dias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5803B22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IRE proyectado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22F5711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RF-IA-03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123F32D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IN-32; HORIZON_OPTIONS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191556C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Choi et al. (2018) operations big data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6BFFE73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4311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1A388B8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7F2B081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5DA8A10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G-SB-05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606813C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Ranking productos y recomendaciones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65CE713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Top vendidos baja rotacion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2DE6DA1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RF-IA-03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42C7986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IN-36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278732B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Lepenioti et al. (2020) prescriptive ana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3FB4EE3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0572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2E65CC0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41BD6B7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336E539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G-SB-06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3545240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Menos errores precios y totales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4061464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Guards BFF precision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7F4F487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RF-RN-01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5834B8D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verify-precision-iso25000.mjs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740DC1B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Makridakis et al. (2018)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6D1C5DA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5E26E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5369A9B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621C3AE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4C539BB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G-SB-07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03F559C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Trazabilidad pedidos y auditoria admin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58C4C06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Auditoria + PKCS7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6256C03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RF-SEG; RNF-SEG-01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43CE2E0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e2e/admin-audit-trail.spec.ts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3CFFB3F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Buck et al. (2021) zero-trust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4440744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2142F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5ED0529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7B0FF47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4E77452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G-SB-08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7FC15F7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Confianza cumplimiento normativo peruano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163A027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Libro reclamaciones privacidad cookies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4EBFC45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RF-LEG-01..04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4C34606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verify-cumplimiento VERDE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24D9183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Ley 29571 / 29733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63DA295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4F53B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438DF13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1A01937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Producto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7E446D4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PS-SB-01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4B2C0E4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Plataforma web e-commerce + panel admin + microservicio IA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24F6F68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Stack React BFF Supabase ai-service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433C3F0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RF-CAT-01..RF-IA-04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1896C23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modulo completo repo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0E1E79E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Dai et al. (2024)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1F92698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3B56A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69510B7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5D8B745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Pain_Reliever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6964048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PR-SB-06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4B4012D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IRE agrega stock ingresos demanda en score unico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259C8B9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Formula IRE 40/35/25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5977650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RF-IA-01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425C4B2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ai-service/tests IRE invariants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33789FF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07-modulo-ia §2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57DC857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33E6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7F7BDE6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6071E43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Gain_Creator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7CE3091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GC-SB-03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343BE4F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Historial IRE diario para evolucion temporal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195A478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Tabla ireHistorial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03EB77E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RF-IA-01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0C710F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IN-33; migraciones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74C881D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Haakman et al. (2021)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732615C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6F75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28EC2DB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6BFB039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40FFB48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J-SA-01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154CBAD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Descubrir y filtrar calzado online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265552A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Catalogo publico filtros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204A901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RF-CAT-01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316162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e2e/idoneidad-journey.spec.ts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6A7CC3D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Gutiérrez-Rodríguez (2020) e-fashion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45D70A8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3C5E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0302A24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7384E0C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22B6925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J-SA-02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67C2507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Comprar online con confianza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58CF9F8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Checkout Stripe + COD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03290DC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RF-CHK-01; RF-PAG-01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6C3ADF0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e2e/checkout-stripe.spec.ts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07B171F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Kannan &amp; Li (2017) digital marketing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38055CA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2831A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4848C72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2EE3509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4AB69B0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J-SA-03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50B8721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Registrarse con datos validos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17EBF7C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Registro Firebase + DNI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660B05D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RF-AUT-01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6A5D499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e2e/register-validation.spec.ts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0E2FDC2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Soto-Acosta (2020) PYME digital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4F6CB9A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508E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51309F0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7FF1342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7BFCF85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J-SA-04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6D8A525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Seguir pedidos y guardar favoritos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67FC1CB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Historial + favoritos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70986BA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RF-PED-03; RF-FAV-01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E6FC97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e2e/profile-save.spec.ts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769F5B9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Reinartz et al. (2019)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2CB0733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3A5BB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FFF2CC"/>
            <w:vAlign w:val="top"/>
          </w:tcPr>
          <w:p w14:paraId="518C710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w="1080" w:type="dxa"/>
            <w:shd w:val="clear" w:color="auto" w:fill="FFF2CC"/>
            <w:vAlign w:val="top"/>
          </w:tcPr>
          <w:p w14:paraId="6C5CC7C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FFF2CC"/>
            <w:vAlign w:val="top"/>
          </w:tcPr>
          <w:p w14:paraId="411A9F0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J-SA-05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3350534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Comprar desde movil</w:t>
            </w:r>
          </w:p>
        </w:tc>
        <w:tc>
          <w:tcPr>
            <w:tcW w:w="1368" w:type="dxa"/>
            <w:shd w:val="clear" w:color="auto" w:fill="FFF2CC"/>
            <w:vAlign w:val="top"/>
          </w:tcPr>
          <w:p w14:paraId="4DC03F9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UI responsive web + Flutter</w:t>
            </w:r>
          </w:p>
        </w:tc>
        <w:tc>
          <w:tcPr>
            <w:tcW w:w="1224" w:type="dxa"/>
            <w:shd w:val="clear" w:color="auto" w:fill="FFF2CC"/>
            <w:vAlign w:val="top"/>
          </w:tcPr>
          <w:p w14:paraId="71FBE35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RF-CAT-01</w:t>
            </w:r>
          </w:p>
        </w:tc>
        <w:tc>
          <w:tcPr>
            <w:tcW w:w="1368" w:type="dxa"/>
            <w:shd w:val="clear" w:color="auto" w:fill="FFF2CC"/>
            <w:vAlign w:val="top"/>
          </w:tcPr>
          <w:p w14:paraId="3CAEF4C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 iphone-safari; calzatura-vilche</w:t>
            </w:r>
          </w:p>
        </w:tc>
        <w:tc>
          <w:tcPr>
            <w:tcW w:w="1512" w:type="dxa"/>
            <w:shd w:val="clear" w:color="auto" w:fill="FFF2CC"/>
            <w:vAlign w:val="top"/>
          </w:tcPr>
          <w:p w14:paraId="401780D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Weichbroth (2020) mobile usability</w:t>
            </w:r>
          </w:p>
        </w:tc>
        <w:tc>
          <w:tcPr>
            <w:tcW w:w="792" w:type="dxa"/>
            <w:shd w:val="clear" w:color="auto" w:fill="FFF2CC"/>
            <w:vAlign w:val="top"/>
          </w:tcPr>
          <w:p w14:paraId="50097EC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Parcial</w:t>
            </w:r>
          </w:p>
        </w:tc>
      </w:tr>
      <w:tr w14:paraId="5B97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0D67257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204B766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59ABBCA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P-SA-01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0EB9418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No encontrar talla color disponible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B26A59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Ficha stock en vivo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6390500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RF-CAT-02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326FC5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 catalogo detalle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7EA14AA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Gutiérrez-Rodríguez (2020)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6D25D6D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13A7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5BE58C1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2396EB4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2ECA264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P-SA-02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4BAEE1E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Desconfianza pago y datos personales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089316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Stripe HTTPS politicas legales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326712C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RF-PAG-01; RF-LEG-02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13C6AC0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verify-seguridad; TC-CMP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7D2DA5D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Lallie et al. (2021) cyber e-commerce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322C2F6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06B9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7FA72FE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0359FA9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3B0687F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P-SA-03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27291B0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Registro tedioso o invalido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2098884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Validacion DNI App Check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57AD361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RF-AUT-01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767D38A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e2e/register-validation.spec.ts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4FFE23C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470292D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6BE5A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0A1E115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1DDF2C1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13D5AD5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G-SA-01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47F9361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Catalogo claro filtros busqueda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19B25C5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Home + catalogo routing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76C6C1F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RF-CAT-01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5A2616D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capturas catalogo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5C7480F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Hagberg et al. (2016)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64756A3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47B57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33B9E56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784CC33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2D610E5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G-SA-02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7D87822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Checkout seguro multi metodo pago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6217D2A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Stripe + contraentrega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5A9C501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RF-PAG-01; RF-CHK-01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1CEF7AE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 checkout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35BF7C1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Dai et al. (2024)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18CD11E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0763F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3777E30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SC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1F66C94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65F2635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J-SC-01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54C9F06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Explorar catalogo sin registrarse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11A9EF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Paginas publicas catalogo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1CA9088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RF-CAT-01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39408A3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e2e smoke.spec.ts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72570E8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Kannan (2017)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5DF752F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 w14:paraId="1F441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FFF2CC"/>
            <w:vAlign w:val="top"/>
          </w:tcPr>
          <w:p w14:paraId="5ADA21F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SC</w:t>
            </w:r>
          </w:p>
        </w:tc>
        <w:tc>
          <w:tcPr>
            <w:tcW w:w="1080" w:type="dxa"/>
            <w:shd w:val="clear" w:color="auto" w:fill="FFF2CC"/>
            <w:vAlign w:val="top"/>
          </w:tcPr>
          <w:p w14:paraId="4054D27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w="936" w:type="dxa"/>
            <w:shd w:val="clear" w:color="auto" w:fill="FFF2CC"/>
            <w:vAlign w:val="top"/>
          </w:tcPr>
          <w:p w14:paraId="1D9D556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P-SC-01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6BA12A8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Informacion pobre o carga lenta</w:t>
            </w:r>
          </w:p>
        </w:tc>
        <w:tc>
          <w:tcPr>
            <w:tcW w:w="1368" w:type="dxa"/>
            <w:shd w:val="clear" w:color="auto" w:fill="FFF2CC"/>
            <w:vAlign w:val="top"/>
          </w:tcPr>
          <w:p w14:paraId="280DA25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Code-splitting lazy routes RNF-PER</w:t>
            </w:r>
          </w:p>
        </w:tc>
        <w:tc>
          <w:tcPr>
            <w:tcW w:w="1224" w:type="dxa"/>
            <w:shd w:val="clear" w:color="auto" w:fill="FFF2CC"/>
            <w:vAlign w:val="top"/>
          </w:tcPr>
          <w:p w14:paraId="1F947E8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RF-CAT-01</w:t>
            </w:r>
          </w:p>
        </w:tc>
        <w:tc>
          <w:tcPr>
            <w:tcW w:w="1368" w:type="dxa"/>
            <w:shd w:val="clear" w:color="auto" w:fill="FFF2CC"/>
            <w:vAlign w:val="top"/>
          </w:tcPr>
          <w:p w14:paraId="22FC226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verify-eficiencia parcial</w:t>
            </w:r>
          </w:p>
        </w:tc>
        <w:tc>
          <w:tcPr>
            <w:tcW w:w="1512" w:type="dxa"/>
            <w:shd w:val="clear" w:color="auto" w:fill="FFF2CC"/>
            <w:vAlign w:val="top"/>
          </w:tcPr>
          <w:p w14:paraId="472E8CC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Li et al. (2021) microservices quality</w:t>
            </w:r>
          </w:p>
        </w:tc>
        <w:tc>
          <w:tcPr>
            <w:tcW w:w="792" w:type="dxa"/>
            <w:shd w:val="clear" w:color="auto" w:fill="FFF2CC"/>
            <w:vAlign w:val="top"/>
          </w:tcPr>
          <w:p w14:paraId="1A31939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Parcial</w:t>
            </w:r>
          </w:p>
        </w:tc>
      </w:tr>
      <w:tr w14:paraId="4B6F0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2EFDA"/>
            <w:vAlign w:val="top"/>
          </w:tcPr>
          <w:p w14:paraId="6ED8D44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SC</w:t>
            </w:r>
          </w:p>
        </w:tc>
        <w:tc>
          <w:tcPr>
            <w:tcW w:w="1080" w:type="dxa"/>
            <w:shd w:val="clear" w:color="auto" w:fill="E2EFDA"/>
            <w:vAlign w:val="top"/>
          </w:tcPr>
          <w:p w14:paraId="7C7E2E4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w="936" w:type="dxa"/>
            <w:shd w:val="clear" w:color="auto" w:fill="E2EFDA"/>
            <w:vAlign w:val="top"/>
          </w:tcPr>
          <w:p w14:paraId="20635E9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J-SC-02</w:t>
            </w:r>
          </w:p>
        </w:tc>
        <w:tc>
          <w:tcPr>
            <w:tcW w:w="2232" w:type="dxa"/>
            <w:shd w:val="clear" w:color="auto" w:fill="E2EFDA"/>
            <w:vAlign w:val="top"/>
          </w:tcPr>
          <w:p w14:paraId="1573623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Conocer tienda y politicas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45B40F9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InfoPage FAQ terminos</w:t>
            </w:r>
          </w:p>
        </w:tc>
        <w:tc>
          <w:tcPr>
            <w:tcW w:w="1224" w:type="dxa"/>
            <w:shd w:val="clear" w:color="auto" w:fill="E2EFDA"/>
            <w:vAlign w:val="top"/>
          </w:tcPr>
          <w:p w14:paraId="3663C7C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RF-LEG-04</w:t>
            </w:r>
          </w:p>
        </w:tc>
        <w:tc>
          <w:tcPr>
            <w:tcW w:w="1368" w:type="dxa"/>
            <w:shd w:val="clear" w:color="auto" w:fill="E2EFDA"/>
            <w:vAlign w:val="top"/>
          </w:tcPr>
          <w:p w14:paraId="003CEE4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paginas ayuda paths.ts</w:t>
            </w:r>
          </w:p>
        </w:tc>
        <w:tc>
          <w:tcPr>
            <w:tcW w:w="1512" w:type="dxa"/>
            <w:shd w:val="clear" w:color="auto" w:fill="E2EFDA"/>
            <w:vAlign w:val="top"/>
          </w:tcPr>
          <w:p w14:paraId="308EB69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  <w:tc>
          <w:tcPr>
            <w:tcW w:w="792" w:type="dxa"/>
            <w:shd w:val="clear" w:color="auto" w:fill="E2EFDA"/>
            <w:vAlign w:val="top"/>
          </w:tcPr>
          <w:p w14:paraId="096FC0A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</w:tbl>
    <w:p w14:paraId="7F871D55">
      <w:pPr>
        <w:sectPr>
          <w:pgSz w:w="15840" w:h="12240" w:orient="landscape"/>
          <w:pgMar w:top="504" w:right="504" w:bottom="504" w:left="504" w:header="720" w:footer="720" w:gutter="0"/>
          <w:cols w:space="720" w:num="1"/>
          <w:docGrid w:linePitch="360" w:charSpace="0"/>
        </w:sectPr>
      </w:pPr>
    </w:p>
    <w:p w14:paraId="028597DA">
      <w:pPr>
        <w:spacing w:before="200" w:after="80"/>
      </w:pPr>
      <w:r>
        <w:rPr>
          <w:rFonts w:ascii="Arial" w:hAnsi="Arial"/>
          <w:b/>
          <w:sz w:val="24"/>
        </w:rPr>
        <w:t>7. Respaldo bibliográfico Q1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2"/>
        <w:gridCol w:w="3202"/>
        <w:gridCol w:w="3202"/>
      </w:tblGrid>
      <w:tr w14:paraId="3BBCF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AF7"/>
            <w:vAlign w:val="top"/>
          </w:tcPr>
          <w:p w14:paraId="1DAF932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Dimensión</w:t>
            </w:r>
          </w:p>
        </w:tc>
        <w:tc>
          <w:tcPr>
            <w:tcW w:w="5040" w:type="dxa"/>
            <w:shd w:val="clear" w:color="auto" w:fill="D9EAF7"/>
            <w:vAlign w:val="top"/>
          </w:tcPr>
          <w:p w14:paraId="2CA21E3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Referencia</w:t>
            </w:r>
          </w:p>
        </w:tc>
        <w:tc>
          <w:tcPr>
            <w:tcW w:w="2592" w:type="dxa"/>
            <w:shd w:val="clear" w:color="auto" w:fill="D9EAF7"/>
            <w:vAlign w:val="top"/>
          </w:tcPr>
          <w:p w14:paraId="5BD2C00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DOI</w:t>
            </w:r>
          </w:p>
        </w:tc>
      </w:tr>
      <w:tr w14:paraId="45873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vAlign w:val="top"/>
          </w:tcPr>
          <w:p w14:paraId="4A84C836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Transformación digital PYME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02B67B5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Verhoef et al. (2019). Digital transformation: A multidisciplinary reflection.</w:t>
            </w:r>
          </w:p>
        </w:tc>
        <w:tc>
          <w:tcPr>
            <w:tcW w:w="2592" w:type="dxa"/>
            <w:shd w:val="clear" w:color="auto" w:fill="FFFFFF"/>
            <w:vAlign w:val="top"/>
          </w:tcPr>
          <w:p w14:paraId="7DE5A98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https://doi.org/10.1016/j.jbusres.2019.09.022</w:t>
            </w:r>
          </w:p>
        </w:tc>
      </w:tr>
      <w:tr w14:paraId="7C3F9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9FBFD"/>
            <w:vAlign w:val="top"/>
          </w:tcPr>
          <w:p w14:paraId="1F3F0A7C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Retail / cadena valor</w:t>
            </w:r>
          </w:p>
        </w:tc>
        <w:tc>
          <w:tcPr>
            <w:tcW w:w="5040" w:type="dxa"/>
            <w:shd w:val="clear" w:color="auto" w:fill="F9FBFD"/>
            <w:vAlign w:val="top"/>
          </w:tcPr>
          <w:p w14:paraId="1014FEF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Reinartz et al. (2019). The impact of digital transformation on the retailing value chain.</w:t>
            </w:r>
          </w:p>
        </w:tc>
        <w:tc>
          <w:tcPr>
            <w:tcW w:w="2592" w:type="dxa"/>
            <w:shd w:val="clear" w:color="auto" w:fill="F9FBFD"/>
            <w:vAlign w:val="top"/>
          </w:tcPr>
          <w:p w14:paraId="5819591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https://doi.org/10.1016/j.ijresmar.2018.12.002</w:t>
            </w:r>
          </w:p>
        </w:tc>
      </w:tr>
      <w:tr w14:paraId="79F7A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vAlign w:val="top"/>
          </w:tcPr>
          <w:p w14:paraId="3E3A2A2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E-commerce + IA + PYME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386C59B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Dai et al. (2024). Revolutionizing cross-border e-commerce…</w:t>
            </w:r>
          </w:p>
        </w:tc>
        <w:tc>
          <w:tcPr>
            <w:tcW w:w="2592" w:type="dxa"/>
            <w:shd w:val="clear" w:color="auto" w:fill="FFFFFF"/>
            <w:vAlign w:val="top"/>
          </w:tcPr>
          <w:p w14:paraId="5D9739D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https://doi.org/10.1371/journal.pone.0305639</w:t>
            </w:r>
          </w:p>
        </w:tc>
      </w:tr>
      <w:tr w14:paraId="6047D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9FBFD"/>
            <w:vAlign w:val="top"/>
          </w:tcPr>
          <w:p w14:paraId="6CAB280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IA para decisiones</w:t>
            </w:r>
          </w:p>
        </w:tc>
        <w:tc>
          <w:tcPr>
            <w:tcW w:w="5040" w:type="dxa"/>
            <w:shd w:val="clear" w:color="auto" w:fill="F9FBFD"/>
            <w:vAlign w:val="top"/>
          </w:tcPr>
          <w:p w14:paraId="1089D7E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Duan et al. (2019). Artificial intelligence for decision making in the era of Big Data.</w:t>
            </w:r>
          </w:p>
        </w:tc>
        <w:tc>
          <w:tcPr>
            <w:tcW w:w="2592" w:type="dxa"/>
            <w:shd w:val="clear" w:color="auto" w:fill="F9FBFD"/>
            <w:vAlign w:val="top"/>
          </w:tcPr>
          <w:p w14:paraId="628A085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https://doi.org/10.1016/j.ijinfomgt.2019.01.021</w:t>
            </w:r>
          </w:p>
        </w:tc>
      </w:tr>
      <w:tr w14:paraId="36B95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vAlign w:val="top"/>
          </w:tcPr>
          <w:p w14:paraId="2E052A2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Big data operaciones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18866A7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Choi et al. (2018). Big data analytics in operations management.</w:t>
            </w:r>
          </w:p>
        </w:tc>
        <w:tc>
          <w:tcPr>
            <w:tcW w:w="2592" w:type="dxa"/>
            <w:shd w:val="clear" w:color="auto" w:fill="FFFFFF"/>
            <w:vAlign w:val="top"/>
          </w:tcPr>
          <w:p w14:paraId="4E4280C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https://doi.org/10.1111/poms.12838</w:t>
            </w:r>
          </w:p>
        </w:tc>
      </w:tr>
      <w:tr w14:paraId="681AD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9FBFD"/>
            <w:vAlign w:val="top"/>
          </w:tcPr>
          <w:p w14:paraId="7FF13C7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E-SQ moda/calzado</w:t>
            </w:r>
          </w:p>
        </w:tc>
        <w:tc>
          <w:tcPr>
            <w:tcW w:w="5040" w:type="dxa"/>
            <w:shd w:val="clear" w:color="auto" w:fill="F9FBFD"/>
            <w:vAlign w:val="top"/>
          </w:tcPr>
          <w:p w14:paraId="7A6FEDF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Gutiérrez-Rodríguez et al. (2020). E-SQ, E-Satisfaction and E-Loyalty for fashion E-Retailers.</w:t>
            </w:r>
          </w:p>
        </w:tc>
        <w:tc>
          <w:tcPr>
            <w:tcW w:w="2592" w:type="dxa"/>
            <w:shd w:val="clear" w:color="auto" w:fill="F9FBFD"/>
            <w:vAlign w:val="top"/>
          </w:tcPr>
          <w:p w14:paraId="48CF4EE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https://doi.org/10.1016/j.jretconser.2020.102201</w:t>
            </w:r>
          </w:p>
        </w:tc>
      </w:tr>
      <w:tr w14:paraId="1E3F2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vAlign w:val="top"/>
          </w:tcPr>
          <w:p w14:paraId="46B8461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Pronóstico / precisión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7A87810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Makridakis et al. (2018). Statistical and ML forecasting methods.</w:t>
            </w:r>
          </w:p>
        </w:tc>
        <w:tc>
          <w:tcPr>
            <w:tcW w:w="2592" w:type="dxa"/>
            <w:shd w:val="clear" w:color="auto" w:fill="FFFFFF"/>
            <w:vAlign w:val="top"/>
          </w:tcPr>
          <w:p w14:paraId="7686A974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https://doi.org/10.1371/journal.pone.0194889</w:t>
            </w:r>
          </w:p>
        </w:tc>
      </w:tr>
      <w:tr w14:paraId="7C89A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9FBFD"/>
            <w:vAlign w:val="top"/>
          </w:tcPr>
          <w:p w14:paraId="18934B6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Retail forecasting</w:t>
            </w:r>
          </w:p>
        </w:tc>
        <w:tc>
          <w:tcPr>
            <w:tcW w:w="5040" w:type="dxa"/>
            <w:shd w:val="clear" w:color="auto" w:fill="F9FBFD"/>
            <w:vAlign w:val="top"/>
          </w:tcPr>
          <w:p w14:paraId="0309207E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Fildes et al. (2019). Retail forecasting: Research and practice.</w:t>
            </w:r>
          </w:p>
        </w:tc>
        <w:tc>
          <w:tcPr>
            <w:tcW w:w="2592" w:type="dxa"/>
            <w:shd w:val="clear" w:color="auto" w:fill="F9FBFD"/>
            <w:vAlign w:val="top"/>
          </w:tcPr>
          <w:p w14:paraId="08504D28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https://doi.org/10.1016/j.ijforecast.2019.06.004</w:t>
            </w:r>
          </w:p>
        </w:tc>
      </w:tr>
      <w:tr w14:paraId="2B639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vAlign w:val="top"/>
          </w:tcPr>
          <w:p w14:paraId="36EA7C32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Prescriptive analytics</w:t>
            </w:r>
          </w:p>
        </w:tc>
        <w:tc>
          <w:tcPr>
            <w:tcW w:w="5040" w:type="dxa"/>
            <w:shd w:val="clear" w:color="auto" w:fill="FFFFFF"/>
            <w:vAlign w:val="top"/>
          </w:tcPr>
          <w:p w14:paraId="70E17281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Lepenioti et al. (2020). Prescriptive analytics: Literature review.</w:t>
            </w:r>
          </w:p>
        </w:tc>
        <w:tc>
          <w:tcPr>
            <w:tcW w:w="2592" w:type="dxa"/>
            <w:shd w:val="clear" w:color="auto" w:fill="FFFFFF"/>
            <w:vAlign w:val="top"/>
          </w:tcPr>
          <w:p w14:paraId="62D369D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https://doi.org/10.1016/j.ijinfomgt.2019.04.003</w:t>
            </w:r>
          </w:p>
        </w:tc>
      </w:tr>
    </w:tbl>
    <w:p w14:paraId="2E01057A">
      <w:pPr>
        <w:spacing w:before="200" w:after="80"/>
      </w:pPr>
      <w:r>
        <w:rPr>
          <w:rFonts w:ascii="Arial" w:hAnsi="Arial"/>
          <w:b/>
          <w:sz w:val="24"/>
        </w:rPr>
        <w:t>8. Limitaciones declaradas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2"/>
        <w:gridCol w:w="3202"/>
        <w:gridCol w:w="3202"/>
      </w:tblGrid>
      <w:tr w14:paraId="6571E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D9EAF7"/>
            <w:vAlign w:val="top"/>
          </w:tcPr>
          <w:p w14:paraId="4108017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Aspecto</w:t>
            </w:r>
          </w:p>
        </w:tc>
        <w:tc>
          <w:tcPr>
            <w:tcW w:w="3600" w:type="dxa"/>
            <w:shd w:val="clear" w:color="auto" w:fill="D9EAF7"/>
            <w:vAlign w:val="top"/>
          </w:tcPr>
          <w:p w14:paraId="2F8A164D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Limitación</w:t>
            </w:r>
          </w:p>
        </w:tc>
        <w:tc>
          <w:tcPr>
            <w:tcW w:w="3600" w:type="dxa"/>
            <w:shd w:val="clear" w:color="auto" w:fill="D9EAF7"/>
            <w:vAlign w:val="top"/>
          </w:tcPr>
          <w:p w14:paraId="4B10A40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sz w:val="16"/>
              </w:rPr>
              <w:t>Mitigación</w:t>
            </w:r>
          </w:p>
        </w:tc>
      </w:tr>
      <w:tr w14:paraId="492BD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vAlign w:val="top"/>
          </w:tcPr>
          <w:p w14:paraId="7349516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IRE vs quiebra financiera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213BF65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IRE = riesgo comercial-operativo, no Altman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77EB71C7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07-modulo-ia §1</w:t>
            </w:r>
          </w:p>
        </w:tc>
      </w:tr>
      <w:tr w14:paraId="10A8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9FBFD"/>
            <w:vAlign w:val="top"/>
          </w:tcPr>
          <w:p w14:paraId="622D5ECB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Validación O₁→O₂</w:t>
            </w:r>
          </w:p>
        </w:tc>
        <w:tc>
          <w:tcPr>
            <w:tcW w:w="3600" w:type="dxa"/>
            <w:shd w:val="clear" w:color="auto" w:fill="F9FBFD"/>
            <w:vAlign w:val="top"/>
          </w:tcPr>
          <w:p w14:paraId="09623310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Mediciones pre/post requieren operación sostenida</w:t>
            </w:r>
          </w:p>
        </w:tc>
        <w:tc>
          <w:tcPr>
            <w:tcW w:w="3600" w:type="dxa"/>
            <w:shd w:val="clear" w:color="auto" w:fill="F9FBFD"/>
            <w:vAlign w:val="top"/>
          </w:tcPr>
          <w:p w14:paraId="00899A9F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CU-T09, encuesta Likert</w:t>
            </w:r>
          </w:p>
        </w:tc>
      </w:tr>
      <w:tr w14:paraId="09CE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vAlign w:val="top"/>
          </w:tcPr>
          <w:p w14:paraId="3CFAEDC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App móvil iOS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27EDB0F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Flutter Android verificado; IPA iOS parcial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3764CE29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Portabilidad 71% adaptabilidad</w:t>
            </w:r>
          </w:p>
        </w:tc>
      </w:tr>
      <w:tr w14:paraId="66E55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9FBFD"/>
            <w:vAlign w:val="top"/>
          </w:tcPr>
          <w:p w14:paraId="523378A5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CU-T06 trazabilidad EDA</w:t>
            </w:r>
          </w:p>
        </w:tc>
        <w:tc>
          <w:tcPr>
            <w:tcW w:w="3600" w:type="dxa"/>
            <w:shd w:val="clear" w:color="auto" w:fill="F9FBFD"/>
            <w:vAlign w:val="top"/>
          </w:tcPr>
          <w:p w14:paraId="07516EA3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CSV desactualizado</w:t>
            </w:r>
          </w:p>
        </w:tc>
        <w:tc>
          <w:tcPr>
            <w:tcW w:w="3600" w:type="dxa"/>
            <w:shd w:val="clear" w:color="auto" w:fill="F9FBFD"/>
            <w:vAlign w:val="top"/>
          </w:tcPr>
          <w:p w14:paraId="21E9879A"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 w:val="0"/>
                <w:sz w:val="15"/>
              </w:rPr>
              <w:t>Usar CU-T12 + estado del arte 43</w:t>
            </w:r>
          </w:p>
        </w:tc>
      </w:tr>
    </w:tbl>
    <w:p w14:paraId="6D0BF569">
      <w:pPr>
        <w:spacing w:before="200" w:after="80"/>
      </w:pPr>
      <w:r>
        <w:rPr>
          <w:rFonts w:ascii="Arial" w:hAnsi="Arial"/>
          <w:b/>
          <w:sz w:val="24"/>
        </w:rPr>
        <w:t>9. Referencias metodológicas</w:t>
      </w:r>
    </w:p>
    <w:p w14:paraId="7BCA00E9">
      <w:pPr>
        <w:jc w:val="both"/>
      </w:pPr>
      <w:r>
        <w:rPr>
          <w:rFonts w:ascii="Arial" w:hAnsi="Arial"/>
          <w:i w:val="0"/>
          <w:sz w:val="16"/>
        </w:rPr>
        <w:t>• Osterwalder, A., Pigneur, Y., Bernarda, G., &amp; Smith, A. (2014). Value Proposition Design. Wiley / Strategyzer.</w:t>
      </w:r>
    </w:p>
    <w:p w14:paraId="1B442D4A">
      <w:pPr>
        <w:jc w:val="both"/>
      </w:pPr>
      <w:r>
        <w:rPr>
          <w:rFonts w:ascii="Arial" w:hAnsi="Arial"/>
          <w:i w:val="0"/>
          <w:sz w:val="16"/>
        </w:rPr>
        <w:t>• Osterwalder, A., &amp; Pigneur, Y. (2010). Business Model Generation. Wiley.</w:t>
      </w:r>
    </w:p>
    <w:p w14:paraId="06AD49FB">
      <w:pPr>
        <w:jc w:val="both"/>
      </w:pPr>
      <w:r>
        <w:rPr>
          <w:rFonts w:ascii="Arial" w:hAnsi="Arial"/>
          <w:i w:val="0"/>
          <w:sz w:val="16"/>
        </w:rPr>
        <w:t>• Strategyzer (2026). The Value Proposition Canvas. https://www.strategyzer.com/library/the-value-proposition-canvas</w:t>
      </w:r>
    </w:p>
    <w:p w14:paraId="4488AB20">
      <w:pPr>
        <w:jc w:val="both"/>
      </w:pPr>
      <w:r>
        <w:rPr>
          <w:rFonts w:ascii="Arial" w:hAnsi="Arial"/>
          <w:i w:val="0"/>
          <w:sz w:val="16"/>
        </w:rPr>
        <w:t>• Christensen, C. M., Hall, T., Dillon, K., &amp; Duncan, D. S. (2016). Know your customers' jobs to be done. Harvard Business Review.</w:t>
      </w:r>
    </w:p>
    <w:p w14:paraId="5E6EB01D">
      <w:pPr>
        <w:spacing w:before="200" w:after="80"/>
      </w:pPr>
      <w:r>
        <w:rPr>
          <w:rFonts w:ascii="Arial" w:hAnsi="Arial"/>
          <w:b/>
          <w:sz w:val="24"/>
        </w:rPr>
        <w:t>10. Resumen de validación documental</w:t>
      </w:r>
    </w:p>
    <w:p w14:paraId="680E3C14">
      <w:pPr>
        <w:jc w:val="both"/>
      </w:pPr>
      <w:r>
        <w:rPr>
          <w:rFonts w:ascii="Arial" w:hAnsi="Arial"/>
          <w:i w:val="0"/>
          <w:sz w:val="18"/>
        </w:rPr>
        <w:t>Total filas CU-T12: 40. Encaje — Logrado: 36, Parcial: 2, Pendiente: 0. IRE definido como riesgo comercial-operativo (no quiebra financiera Altman). Regeneración: python scripts/generar_matriz_propuesta_valor.py</w:t>
      </w:r>
    </w:p>
    <w:sectPr>
      <w:pgSz w:w="11909" w:h="16834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9F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2168</Words>
  <Characters>14287</Characters>
  <Lines>0</Lines>
  <Paragraphs>0</Paragraphs>
  <TotalTime>0</TotalTime>
  <ScaleCrop>false</ScaleCrop>
  <LinksUpToDate>false</LinksUpToDate>
  <CharactersWithSpaces>15781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PIERO EMANUEL ESPIRITU VILCHEZ</cp:lastModifiedBy>
  <dcterms:modified xsi:type="dcterms:W3CDTF">2026-06-20T00:38:14Z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eyJoZGlkIjoiMWY5OGM3ODc4ZjYwNDg1ZGY5N2ViMjc2MzAxNzNjYTAiLCJ1c2VySWQiOiIyNDkxNjU4MzIyOTI1In0=</vt:lpwstr>
  </property>
  <property fmtid="{D5CDD505-2E9C-101B-9397-08002B2CF9AE}" pid="3" name="KSOProductBuildVer">
    <vt:lpwstr>2058-12.1.0.26880</vt:lpwstr>
  </property>
  <property fmtid="{D5CDD505-2E9C-101B-9397-08002B2CF9AE}" pid="4" name="ICV">
    <vt:lpwstr>CF737CD524594E59B3D1D6246441F041_12</vt:lpwstr>
  </property>
</Properties>
</file>