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MATRIZ DE VIABILIDAD INICIAL DEL PROYECTO</w:t>
      </w:r>
    </w:p>
    <w:p>
      <w:pPr>
        <w:jc w:val="center"/>
      </w:pPr>
      <w:r>
        <w:rPr>
          <w:rFonts w:ascii="Arial" w:hAnsi="Arial"/>
          <w:sz w:val="18"/>
        </w:rPr>
        <w:t>Sistema web de comercio electrónico con modelo de Inteligencia Artificial para la predicción del riesgo empresarial en la empresa Calzatura Vilchez, Huancayo, 2026</w:t>
      </w:r>
    </w:p>
    <w:p>
      <w:pPr>
        <w:jc w:val="both"/>
      </w:pPr>
      <w:r>
        <w:rPr>
          <w:rFonts w:ascii="Arial" w:hAnsi="Arial"/>
          <w:i/>
          <w:sz w:val="16"/>
        </w:rPr>
        <w:t>Metodología: marco TELOS (Technical, Economic, Legal, Operational, Schedule) ampliado con viabilidad estratégica de mercado y viabilidad científica-investigación. Cuadro trazable CU-T13 · documentacion/matriz-viabilidad-inicial-proyecto.md · formato-09-alcance-proyecto-software.md · 07-modulo-ia-riesgo-empresarial.md.</w:t>
      </w:r>
    </w:p>
    <w:p>
      <w:r>
        <w:rPr>
          <w:rFonts w:ascii="Arial" w:hAnsi="Arial"/>
          <w:sz w:val="16"/>
        </w:rPr>
        <w:t>Empresa: Calzatura Vilchez, Huancayo, Perú   |   Asesor: Dr. Maglioni Arana Caparachin   |   Versión: 1.0   |   Fecha: junio 2026</w:t>
      </w:r>
    </w:p>
    <w:p>
      <w:pPr>
        <w:spacing w:before="200" w:after="80"/>
      </w:pPr>
      <w:r>
        <w:rPr>
          <w:rFonts w:ascii="Arial" w:hAnsi="Arial"/>
          <w:b/>
          <w:sz w:val="24"/>
        </w:rPr>
        <w:t>1. Fundamento metodológico</w:t>
      </w:r>
    </w:p>
    <w:p>
      <w:pPr>
        <w:jc w:val="both"/>
      </w:pPr>
      <w:r>
        <w:rPr>
          <w:rFonts w:ascii="Arial" w:hAnsi="Arial"/>
          <w:i w:val="0"/>
          <w:sz w:val="18"/>
        </w:rPr>
        <w:t>La viabilidad inicial evalúa si el proyecto de software es factible antes de comprometer recursos significativos. El acrónimo TELOS (Technical, Economic, Legal, Operational, Schedule) es el marco estándar en gestión de proyectos de sistemas de información (Shen et al., 2018; Kuhrmann et al., 2018). Para una tesis de ingeniería con componente de IA aplicada a una PYME retail, se añaden dos dimensiones: (Es) estratégica — alineación con transformación digital y ventaja competitiva (Verhoef et al., 2019; Reinartz et al., 2019); y (C) científica — contribución al estado del arte y replicabilidad empírica (Makridakis et al., 2018; Haakman et al., 2021).</w:t>
      </w:r>
    </w:p>
    <w:p>
      <w:pPr>
        <w:jc w:val="both"/>
      </w:pPr>
      <w:r>
        <w:rPr>
          <w:rFonts w:ascii="Arial" w:hAnsi="Arial"/>
          <w:i w:val="0"/>
          <w:sz w:val="18"/>
        </w:rPr>
        <w:t>Cada criterio se puntúa en escala Likert 1–5, se pondera dentro de su dimensión y se respalda con evidencia del repositorio Calzatura Vilchez y al menos un artículo Q1 verificado (DOI) o norma aplicable (Ley 29571, Ley 29733).</w:t>
      </w:r>
    </w:p>
    <w:p>
      <w:pPr>
        <w:spacing w:before="120" w:after="80"/>
      </w:pPr>
      <w:r>
        <w:rPr>
          <w:rFonts w:ascii="Arial" w:hAnsi="Arial"/>
          <w:b/>
          <w:sz w:val="22"/>
        </w:rPr>
        <w:t>1.1 Dimensiones y ponderación global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top"/>
            <w:shd w:fill="D9EAF7"/>
          </w:tcPr>
          <w:p>
            <w:pPr>
              <w:jc w:val="both"/>
            </w:pPr>
            <w:r/>
            <w:r>
              <w:rPr>
                <w:rFonts w:ascii="Arial" w:hAnsi="Arial" w:eastAsia="Arial"/>
                <w:b/>
                <w:sz w:val="16"/>
              </w:rPr>
              <w:t>Dimensión</w:t>
            </w:r>
          </w:p>
        </w:tc>
        <w:tc>
          <w:tcPr>
            <w:tcW w:type="dxa" w:w="1152"/>
            <w:vAlign w:val="top"/>
            <w:shd w:fill="D9EAF7"/>
          </w:tcPr>
          <w:p>
            <w:pPr>
              <w:jc w:val="both"/>
            </w:pPr>
            <w:r/>
            <w:r>
              <w:rPr>
                <w:rFonts w:ascii="Arial" w:hAnsi="Arial" w:eastAsia="Arial"/>
                <w:b/>
                <w:sz w:val="16"/>
              </w:rPr>
              <w:t>Peso global</w:t>
            </w:r>
          </w:p>
        </w:tc>
        <w:tc>
          <w:tcPr>
            <w:tcW w:type="dxa" w:w="6192"/>
            <w:vAlign w:val="top"/>
            <w:shd w:fill="D9EAF7"/>
          </w:tcPr>
          <w:p>
            <w:pPr>
              <w:jc w:val="both"/>
            </w:pPr>
            <w:r/>
            <w:r>
              <w:rPr>
                <w:rFonts w:ascii="Arial" w:hAnsi="Arial" w:eastAsia="Arial"/>
                <w:b/>
                <w:sz w:val="16"/>
              </w:rPr>
              <w:t>Fundamento Q1 / normativo</w:t>
            </w:r>
          </w:p>
        </w:tc>
      </w:tr>
      <w:tr>
        <w:tc>
          <w:tcPr>
            <w:tcW w:type="dxa" w:w="2016"/>
            <w:vAlign w:val="top"/>
            <w:shd w:fill="FFFFFF"/>
          </w:tcPr>
          <w:p>
            <w:pPr>
              <w:jc w:val="both"/>
            </w:pPr>
            <w:r/>
            <w:r>
              <w:rPr>
                <w:rFonts w:ascii="Arial" w:hAnsi="Arial" w:eastAsia="Arial"/>
                <w:b w:val="0"/>
                <w:sz w:val="15"/>
              </w:rPr>
              <w:t>T — Técnica</w:t>
            </w:r>
          </w:p>
        </w:tc>
        <w:tc>
          <w:tcPr>
            <w:tcW w:type="dxa" w:w="1152"/>
            <w:vAlign w:val="top"/>
            <w:shd w:fill="FFFFFF"/>
          </w:tcPr>
          <w:p>
            <w:pPr>
              <w:jc w:val="both"/>
            </w:pPr>
            <w:r/>
            <w:r>
              <w:rPr>
                <w:rFonts w:ascii="Arial" w:hAnsi="Arial" w:eastAsia="Arial"/>
                <w:b w:val="0"/>
                <w:sz w:val="15"/>
              </w:rPr>
              <w:t>25%</w:t>
            </w:r>
          </w:p>
        </w:tc>
        <w:tc>
          <w:tcPr>
            <w:tcW w:type="dxa" w:w="6192"/>
            <w:vAlign w:val="top"/>
            <w:shd w:fill="FFFFFF"/>
          </w:tcPr>
          <w:p>
            <w:pPr>
              <w:jc w:val="both"/>
            </w:pPr>
            <w:r/>
            <w:r>
              <w:rPr>
                <w:rFonts w:ascii="Arial" w:hAnsi="Arial" w:eastAsia="Arial"/>
                <w:b w:val="0"/>
                <w:sz w:val="15"/>
              </w:rPr>
              <w:t>Jamshidi et al. 2018; Li et al. 2021; Paleyes et al. 2022</w:t>
            </w:r>
          </w:p>
        </w:tc>
      </w:tr>
      <w:tr>
        <w:tc>
          <w:tcPr>
            <w:tcW w:type="dxa" w:w="2016"/>
            <w:vAlign w:val="top"/>
            <w:shd w:fill="F9FBFD"/>
          </w:tcPr>
          <w:p>
            <w:pPr>
              <w:jc w:val="both"/>
            </w:pPr>
            <w:r/>
            <w:r>
              <w:rPr>
                <w:rFonts w:ascii="Arial" w:hAnsi="Arial" w:eastAsia="Arial"/>
                <w:b w:val="0"/>
                <w:sz w:val="15"/>
              </w:rPr>
              <w:t>E — Económica</w:t>
            </w:r>
          </w:p>
        </w:tc>
        <w:tc>
          <w:tcPr>
            <w:tcW w:type="dxa" w:w="1152"/>
            <w:vAlign w:val="top"/>
            <w:shd w:fill="F9FBFD"/>
          </w:tcPr>
          <w:p>
            <w:pPr>
              <w:jc w:val="both"/>
            </w:pPr>
            <w:r/>
            <w:r>
              <w:rPr>
                <w:rFonts w:ascii="Arial" w:hAnsi="Arial" w:eastAsia="Arial"/>
                <w:b w:val="0"/>
                <w:sz w:val="15"/>
              </w:rPr>
              <w:t>15%</w:t>
            </w:r>
          </w:p>
        </w:tc>
        <w:tc>
          <w:tcPr>
            <w:tcW w:type="dxa" w:w="6192"/>
            <w:vAlign w:val="top"/>
            <w:shd w:fill="F9FBFD"/>
          </w:tcPr>
          <w:p>
            <w:pPr>
              <w:jc w:val="both"/>
            </w:pPr>
            <w:r/>
            <w:r>
              <w:rPr>
                <w:rFonts w:ascii="Arial" w:hAnsi="Arial" w:eastAsia="Arial"/>
                <w:b w:val="0"/>
                <w:sz w:val="15"/>
              </w:rPr>
              <w:t>Verhoef et al. 2019; Reinartz et al. 2019; Amba et al. 2017</w:t>
            </w:r>
          </w:p>
        </w:tc>
      </w:tr>
      <w:tr>
        <w:tc>
          <w:tcPr>
            <w:tcW w:type="dxa" w:w="2016"/>
            <w:vAlign w:val="top"/>
            <w:shd w:fill="FFFFFF"/>
          </w:tcPr>
          <w:p>
            <w:pPr>
              <w:jc w:val="both"/>
            </w:pPr>
            <w:r/>
            <w:r>
              <w:rPr>
                <w:rFonts w:ascii="Arial" w:hAnsi="Arial" w:eastAsia="Arial"/>
                <w:b w:val="0"/>
                <w:sz w:val="15"/>
              </w:rPr>
              <w:t>L — Legal</w:t>
            </w:r>
          </w:p>
        </w:tc>
        <w:tc>
          <w:tcPr>
            <w:tcW w:type="dxa" w:w="1152"/>
            <w:vAlign w:val="top"/>
            <w:shd w:fill="FFFFFF"/>
          </w:tcPr>
          <w:p>
            <w:pPr>
              <w:jc w:val="both"/>
            </w:pPr>
            <w:r/>
            <w:r>
              <w:rPr>
                <w:rFonts w:ascii="Arial" w:hAnsi="Arial" w:eastAsia="Arial"/>
                <w:b w:val="0"/>
                <w:sz w:val="15"/>
              </w:rPr>
              <w:t>10%</w:t>
            </w:r>
          </w:p>
        </w:tc>
        <w:tc>
          <w:tcPr>
            <w:tcW w:type="dxa" w:w="6192"/>
            <w:vAlign w:val="top"/>
            <w:shd w:fill="FFFFFF"/>
          </w:tcPr>
          <w:p>
            <w:pPr>
              <w:jc w:val="both"/>
            </w:pPr>
            <w:r/>
            <w:r>
              <w:rPr>
                <w:rFonts w:ascii="Arial" w:hAnsi="Arial" w:eastAsia="Arial"/>
                <w:b w:val="0"/>
                <w:sz w:val="15"/>
              </w:rPr>
              <w:t>Ley 29571; Ley 29733; Buck et al. 2021</w:t>
            </w:r>
          </w:p>
        </w:tc>
      </w:tr>
      <w:tr>
        <w:tc>
          <w:tcPr>
            <w:tcW w:type="dxa" w:w="2016"/>
            <w:vAlign w:val="top"/>
            <w:shd w:fill="F9FBFD"/>
          </w:tcPr>
          <w:p>
            <w:pPr>
              <w:jc w:val="both"/>
            </w:pPr>
            <w:r/>
            <w:r>
              <w:rPr>
                <w:rFonts w:ascii="Arial" w:hAnsi="Arial" w:eastAsia="Arial"/>
                <w:b w:val="0"/>
                <w:sz w:val="15"/>
              </w:rPr>
              <w:t>O — Operativa</w:t>
            </w:r>
          </w:p>
        </w:tc>
        <w:tc>
          <w:tcPr>
            <w:tcW w:type="dxa" w:w="1152"/>
            <w:vAlign w:val="top"/>
            <w:shd w:fill="F9FBFD"/>
          </w:tcPr>
          <w:p>
            <w:pPr>
              <w:jc w:val="both"/>
            </w:pPr>
            <w:r/>
            <w:r>
              <w:rPr>
                <w:rFonts w:ascii="Arial" w:hAnsi="Arial" w:eastAsia="Arial"/>
                <w:b w:val="0"/>
                <w:sz w:val="15"/>
              </w:rPr>
              <w:t>20%</w:t>
            </w:r>
          </w:p>
        </w:tc>
        <w:tc>
          <w:tcPr>
            <w:tcW w:type="dxa" w:w="6192"/>
            <w:vAlign w:val="top"/>
            <w:shd w:fill="F9FBFD"/>
          </w:tcPr>
          <w:p>
            <w:pPr>
              <w:jc w:val="both"/>
            </w:pPr>
            <w:r/>
            <w:r>
              <w:rPr>
                <w:rFonts w:ascii="Arial" w:hAnsi="Arial" w:eastAsia="Arial"/>
                <w:b w:val="0"/>
                <w:sz w:val="15"/>
              </w:rPr>
              <w:t>Choi et al. 2018; Hagberg et al. 2016; Dingsøyr et al. 2012</w:t>
            </w:r>
          </w:p>
        </w:tc>
      </w:tr>
      <w:tr>
        <w:tc>
          <w:tcPr>
            <w:tcW w:type="dxa" w:w="2016"/>
            <w:vAlign w:val="top"/>
            <w:shd w:fill="FFFFFF"/>
          </w:tcPr>
          <w:p>
            <w:pPr>
              <w:jc w:val="both"/>
            </w:pPr>
            <w:r/>
            <w:r>
              <w:rPr>
                <w:rFonts w:ascii="Arial" w:hAnsi="Arial" w:eastAsia="Arial"/>
                <w:b w:val="0"/>
                <w:sz w:val="15"/>
              </w:rPr>
              <w:t>S — Temporal</w:t>
            </w:r>
          </w:p>
        </w:tc>
        <w:tc>
          <w:tcPr>
            <w:tcW w:type="dxa" w:w="1152"/>
            <w:vAlign w:val="top"/>
            <w:shd w:fill="FFFFFF"/>
          </w:tcPr>
          <w:p>
            <w:pPr>
              <w:jc w:val="both"/>
            </w:pPr>
            <w:r/>
            <w:r>
              <w:rPr>
                <w:rFonts w:ascii="Arial" w:hAnsi="Arial" w:eastAsia="Arial"/>
                <w:b w:val="0"/>
                <w:sz w:val="15"/>
              </w:rPr>
              <w:t>10%</w:t>
            </w:r>
          </w:p>
        </w:tc>
        <w:tc>
          <w:tcPr>
            <w:tcW w:type="dxa" w:w="6192"/>
            <w:vAlign w:val="top"/>
            <w:shd w:fill="FFFFFF"/>
          </w:tcPr>
          <w:p>
            <w:pPr>
              <w:jc w:val="both"/>
            </w:pPr>
            <w:r/>
            <w:r>
              <w:rPr>
                <w:rFonts w:ascii="Arial" w:hAnsi="Arial" w:eastAsia="Arial"/>
                <w:b w:val="0"/>
                <w:sz w:val="15"/>
              </w:rPr>
              <w:t>Dingsøyr et al. 2012; Kuhrmann et al. 2018; Haakman et al. 2021</w:t>
            </w:r>
          </w:p>
        </w:tc>
      </w:tr>
      <w:tr>
        <w:tc>
          <w:tcPr>
            <w:tcW w:type="dxa" w:w="2016"/>
            <w:vAlign w:val="top"/>
            <w:shd w:fill="F9FBFD"/>
          </w:tcPr>
          <w:p>
            <w:pPr>
              <w:jc w:val="both"/>
            </w:pPr>
            <w:r/>
            <w:r>
              <w:rPr>
                <w:rFonts w:ascii="Arial" w:hAnsi="Arial" w:eastAsia="Arial"/>
                <w:b w:val="0"/>
                <w:sz w:val="15"/>
              </w:rPr>
              <w:t>Es — Estratégica</w:t>
            </w:r>
          </w:p>
        </w:tc>
        <w:tc>
          <w:tcPr>
            <w:tcW w:type="dxa" w:w="1152"/>
            <w:vAlign w:val="top"/>
            <w:shd w:fill="F9FBFD"/>
          </w:tcPr>
          <w:p>
            <w:pPr>
              <w:jc w:val="both"/>
            </w:pPr>
            <w:r/>
            <w:r>
              <w:rPr>
                <w:rFonts w:ascii="Arial" w:hAnsi="Arial" w:eastAsia="Arial"/>
                <w:b w:val="0"/>
                <w:sz w:val="15"/>
              </w:rPr>
              <w:t>10%</w:t>
            </w:r>
          </w:p>
        </w:tc>
        <w:tc>
          <w:tcPr>
            <w:tcW w:type="dxa" w:w="6192"/>
            <w:vAlign w:val="top"/>
            <w:shd w:fill="F9FBFD"/>
          </w:tcPr>
          <w:p>
            <w:pPr>
              <w:jc w:val="both"/>
            </w:pPr>
            <w:r/>
            <w:r>
              <w:rPr>
                <w:rFonts w:ascii="Arial" w:hAnsi="Arial" w:eastAsia="Arial"/>
                <w:b w:val="0"/>
                <w:sz w:val="15"/>
              </w:rPr>
              <w:t>Verhoef et al. 2019; Dai et al. 2024; Shrestha et al. 2019</w:t>
            </w:r>
          </w:p>
        </w:tc>
      </w:tr>
      <w:tr>
        <w:tc>
          <w:tcPr>
            <w:tcW w:type="dxa" w:w="2016"/>
            <w:vAlign w:val="top"/>
            <w:shd w:fill="FFFFFF"/>
          </w:tcPr>
          <w:p>
            <w:pPr>
              <w:jc w:val="both"/>
            </w:pPr>
            <w:r/>
            <w:r>
              <w:rPr>
                <w:rFonts w:ascii="Arial" w:hAnsi="Arial" w:eastAsia="Arial"/>
                <w:b w:val="0"/>
                <w:sz w:val="15"/>
              </w:rPr>
              <w:t>C — Científica</w:t>
            </w:r>
          </w:p>
        </w:tc>
        <w:tc>
          <w:tcPr>
            <w:tcW w:type="dxa" w:w="1152"/>
            <w:vAlign w:val="top"/>
            <w:shd w:fill="FFFFFF"/>
          </w:tcPr>
          <w:p>
            <w:pPr>
              <w:jc w:val="both"/>
            </w:pPr>
            <w:r/>
            <w:r>
              <w:rPr>
                <w:rFonts w:ascii="Arial" w:hAnsi="Arial" w:eastAsia="Arial"/>
                <w:b w:val="0"/>
                <w:sz w:val="15"/>
              </w:rPr>
              <w:t>10%</w:t>
            </w:r>
          </w:p>
        </w:tc>
        <w:tc>
          <w:tcPr>
            <w:tcW w:type="dxa" w:w="6192"/>
            <w:vAlign w:val="top"/>
            <w:shd w:fill="FFFFFF"/>
          </w:tcPr>
          <w:p>
            <w:pPr>
              <w:jc w:val="both"/>
            </w:pPr>
            <w:r/>
            <w:r>
              <w:rPr>
                <w:rFonts w:ascii="Arial" w:hAnsi="Arial" w:eastAsia="Arial"/>
                <w:b w:val="0"/>
                <w:sz w:val="15"/>
              </w:rPr>
              <w:t>Makridakis et al. 2018; Duan et al. 2019; Fildes et al. 2019</w:t>
            </w:r>
          </w:p>
        </w:tc>
      </w:tr>
    </w:tbl>
    <w:p>
      <w:pPr>
        <w:spacing w:before="120" w:after="80"/>
      </w:pPr>
      <w:r>
        <w:rPr>
          <w:rFonts w:ascii="Arial" w:hAnsi="Arial"/>
          <w:b/>
          <w:sz w:val="22"/>
        </w:rPr>
        <w:t>1.2 Escala de puntuación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864"/>
            <w:vAlign w:val="top"/>
            <w:shd w:fill="D9EAF7"/>
          </w:tcPr>
          <w:p>
            <w:pPr>
              <w:jc w:val="both"/>
            </w:pPr>
            <w:r/>
            <w:r>
              <w:rPr>
                <w:rFonts w:ascii="Arial" w:hAnsi="Arial" w:eastAsia="Arial"/>
                <w:b/>
                <w:sz w:val="16"/>
              </w:rPr>
              <w:t>Puntaje</w:t>
            </w:r>
          </w:p>
        </w:tc>
        <w:tc>
          <w:tcPr>
            <w:tcW w:type="dxa" w:w="1728"/>
            <w:vAlign w:val="top"/>
            <w:shd w:fill="D9EAF7"/>
          </w:tcPr>
          <w:p>
            <w:pPr>
              <w:jc w:val="both"/>
            </w:pPr>
            <w:r/>
            <w:r>
              <w:rPr>
                <w:rFonts w:ascii="Arial" w:hAnsi="Arial" w:eastAsia="Arial"/>
                <w:b/>
                <w:sz w:val="16"/>
              </w:rPr>
              <w:t>Etiqueta</w:t>
            </w:r>
          </w:p>
        </w:tc>
        <w:tc>
          <w:tcPr>
            <w:tcW w:type="dxa" w:w="6768"/>
            <w:vAlign w:val="top"/>
            <w:shd w:fill="D9EAF7"/>
          </w:tcPr>
          <w:p>
            <w:pPr>
              <w:jc w:val="both"/>
            </w:pPr>
            <w:r/>
            <w:r>
              <w:rPr>
                <w:rFonts w:ascii="Arial" w:hAnsi="Arial" w:eastAsia="Arial"/>
                <w:b/>
                <w:sz w:val="16"/>
              </w:rPr>
              <w:t>Criterio interpretación</w:t>
            </w:r>
          </w:p>
        </w:tc>
      </w:tr>
      <w:tr>
        <w:tc>
          <w:tcPr>
            <w:tcW w:type="dxa" w:w="864"/>
            <w:vAlign w:val="top"/>
            <w:shd w:fill="FFFFFF"/>
          </w:tcPr>
          <w:p>
            <w:pPr>
              <w:jc w:val="both"/>
            </w:pPr>
            <w:r/>
            <w:r>
              <w:rPr>
                <w:rFonts w:ascii="Arial" w:hAnsi="Arial" w:eastAsia="Arial"/>
                <w:b w:val="0"/>
                <w:sz w:val="15"/>
              </w:rPr>
              <w:t>5</w:t>
            </w:r>
          </w:p>
        </w:tc>
        <w:tc>
          <w:tcPr>
            <w:tcW w:type="dxa" w:w="1728"/>
            <w:vAlign w:val="top"/>
            <w:shd w:fill="FFFFFF"/>
          </w:tcPr>
          <w:p>
            <w:pPr>
              <w:jc w:val="both"/>
            </w:pPr>
            <w:r/>
            <w:r>
              <w:rPr>
                <w:rFonts w:ascii="Arial" w:hAnsi="Arial" w:eastAsia="Arial"/>
                <w:b w:val="0"/>
                <w:sz w:val="15"/>
              </w:rPr>
              <w:t>Muy viable</w:t>
            </w:r>
          </w:p>
        </w:tc>
        <w:tc>
          <w:tcPr>
            <w:tcW w:type="dxa" w:w="6768"/>
            <w:vAlign w:val="top"/>
            <w:shd w:fill="FFFFFF"/>
          </w:tcPr>
          <w:p>
            <w:pPr>
              <w:jc w:val="both"/>
            </w:pPr>
            <w:r/>
            <w:r>
              <w:rPr>
                <w:rFonts w:ascii="Arial" w:hAnsi="Arial" w:eastAsia="Arial"/>
                <w:b w:val="0"/>
                <w:sz w:val="15"/>
              </w:rPr>
              <w:t>Evidencia implementada y verificable en repo/producción</w:t>
            </w:r>
          </w:p>
        </w:tc>
      </w:tr>
      <w:tr>
        <w:tc>
          <w:tcPr>
            <w:tcW w:type="dxa" w:w="864"/>
            <w:vAlign w:val="top"/>
            <w:shd w:fill="F9FBFD"/>
          </w:tcPr>
          <w:p>
            <w:pPr>
              <w:jc w:val="both"/>
            </w:pPr>
            <w:r/>
            <w:r>
              <w:rPr>
                <w:rFonts w:ascii="Arial" w:hAnsi="Arial" w:eastAsia="Arial"/>
                <w:b w:val="0"/>
                <w:sz w:val="15"/>
              </w:rPr>
              <w:t>4</w:t>
            </w:r>
          </w:p>
        </w:tc>
        <w:tc>
          <w:tcPr>
            <w:tcW w:type="dxa" w:w="1728"/>
            <w:vAlign w:val="top"/>
            <w:shd w:fill="F9FBFD"/>
          </w:tcPr>
          <w:p>
            <w:pPr>
              <w:jc w:val="both"/>
            </w:pPr>
            <w:r/>
            <w:r>
              <w:rPr>
                <w:rFonts w:ascii="Arial" w:hAnsi="Arial" w:eastAsia="Arial"/>
                <w:b w:val="0"/>
                <w:sz w:val="15"/>
              </w:rPr>
              <w:t>Viable</w:t>
            </w:r>
          </w:p>
        </w:tc>
        <w:tc>
          <w:tcPr>
            <w:tcW w:type="dxa" w:w="6768"/>
            <w:vAlign w:val="top"/>
            <w:shd w:fill="F9FBFD"/>
          </w:tcPr>
          <w:p>
            <w:pPr>
              <w:jc w:val="both"/>
            </w:pPr>
            <w:r/>
            <w:r>
              <w:rPr>
                <w:rFonts w:ascii="Arial" w:hAnsi="Arial" w:eastAsia="Arial"/>
                <w:b w:val="0"/>
                <w:sz w:val="15"/>
              </w:rPr>
              <w:t>Evidencia sólida con reservas menores documentadas</w:t>
            </w:r>
          </w:p>
        </w:tc>
      </w:tr>
      <w:tr>
        <w:tc>
          <w:tcPr>
            <w:tcW w:type="dxa" w:w="864"/>
            <w:vAlign w:val="top"/>
            <w:shd w:fill="FFFFFF"/>
          </w:tcPr>
          <w:p>
            <w:pPr>
              <w:jc w:val="both"/>
            </w:pPr>
            <w:r/>
            <w:r>
              <w:rPr>
                <w:rFonts w:ascii="Arial" w:hAnsi="Arial" w:eastAsia="Arial"/>
                <w:b w:val="0"/>
                <w:sz w:val="15"/>
              </w:rPr>
              <w:t>3</w:t>
            </w:r>
          </w:p>
        </w:tc>
        <w:tc>
          <w:tcPr>
            <w:tcW w:type="dxa" w:w="1728"/>
            <w:vAlign w:val="top"/>
            <w:shd w:fill="FFFFFF"/>
          </w:tcPr>
          <w:p>
            <w:pPr>
              <w:jc w:val="both"/>
            </w:pPr>
            <w:r/>
            <w:r>
              <w:rPr>
                <w:rFonts w:ascii="Arial" w:hAnsi="Arial" w:eastAsia="Arial"/>
                <w:b w:val="0"/>
                <w:sz w:val="15"/>
              </w:rPr>
              <w:t>Viable con reservas</w:t>
            </w:r>
          </w:p>
        </w:tc>
        <w:tc>
          <w:tcPr>
            <w:tcW w:type="dxa" w:w="6768"/>
            <w:vAlign w:val="top"/>
            <w:shd w:fill="FFFFFF"/>
          </w:tcPr>
          <w:p>
            <w:pPr>
              <w:jc w:val="both"/>
            </w:pPr>
            <w:r/>
            <w:r>
              <w:rPr>
                <w:rFonts w:ascii="Arial" w:hAnsi="Arial" w:eastAsia="Arial"/>
                <w:b w:val="0"/>
                <w:sz w:val="15"/>
              </w:rPr>
              <w:t>Factible pero requiere mitigación explícita</w:t>
            </w:r>
          </w:p>
        </w:tc>
      </w:tr>
      <w:tr>
        <w:tc>
          <w:tcPr>
            <w:tcW w:type="dxa" w:w="864"/>
            <w:vAlign w:val="top"/>
            <w:shd w:fill="F9FBFD"/>
          </w:tcPr>
          <w:p>
            <w:pPr>
              <w:jc w:val="both"/>
            </w:pPr>
            <w:r/>
            <w:r>
              <w:rPr>
                <w:rFonts w:ascii="Arial" w:hAnsi="Arial" w:eastAsia="Arial"/>
                <w:b w:val="0"/>
                <w:sz w:val="15"/>
              </w:rPr>
              <w:t>2</w:t>
            </w:r>
          </w:p>
        </w:tc>
        <w:tc>
          <w:tcPr>
            <w:tcW w:type="dxa" w:w="1728"/>
            <w:vAlign w:val="top"/>
            <w:shd w:fill="F9FBFD"/>
          </w:tcPr>
          <w:p>
            <w:pPr>
              <w:jc w:val="both"/>
            </w:pPr>
            <w:r/>
            <w:r>
              <w:rPr>
                <w:rFonts w:ascii="Arial" w:hAnsi="Arial" w:eastAsia="Arial"/>
                <w:b w:val="0"/>
                <w:sz w:val="15"/>
              </w:rPr>
              <w:t>Poco viable</w:t>
            </w:r>
          </w:p>
        </w:tc>
        <w:tc>
          <w:tcPr>
            <w:tcW w:type="dxa" w:w="6768"/>
            <w:vAlign w:val="top"/>
            <w:shd w:fill="F9FBFD"/>
          </w:tcPr>
          <w:p>
            <w:pPr>
              <w:jc w:val="both"/>
            </w:pPr>
            <w:r/>
            <w:r>
              <w:rPr>
                <w:rFonts w:ascii="Arial" w:hAnsi="Arial" w:eastAsia="Arial"/>
                <w:b w:val="0"/>
                <w:sz w:val="15"/>
              </w:rPr>
              <w:t>Brechas significativas sin plan de cierre</w:t>
            </w:r>
          </w:p>
        </w:tc>
      </w:tr>
      <w:tr>
        <w:tc>
          <w:tcPr>
            <w:tcW w:type="dxa" w:w="864"/>
            <w:vAlign w:val="top"/>
            <w:shd w:fill="FFFFFF"/>
          </w:tcPr>
          <w:p>
            <w:pPr>
              <w:jc w:val="both"/>
            </w:pPr>
            <w:r/>
            <w:r>
              <w:rPr>
                <w:rFonts w:ascii="Arial" w:hAnsi="Arial" w:eastAsia="Arial"/>
                <w:b w:val="0"/>
                <w:sz w:val="15"/>
              </w:rPr>
              <w:t>1</w:t>
            </w:r>
          </w:p>
        </w:tc>
        <w:tc>
          <w:tcPr>
            <w:tcW w:type="dxa" w:w="1728"/>
            <w:vAlign w:val="top"/>
            <w:shd w:fill="FFFFFF"/>
          </w:tcPr>
          <w:p>
            <w:pPr>
              <w:jc w:val="both"/>
            </w:pPr>
            <w:r/>
            <w:r>
              <w:rPr>
                <w:rFonts w:ascii="Arial" w:hAnsi="Arial" w:eastAsia="Arial"/>
                <w:b w:val="0"/>
                <w:sz w:val="15"/>
              </w:rPr>
              <w:t>No viable</w:t>
            </w:r>
          </w:p>
        </w:tc>
        <w:tc>
          <w:tcPr>
            <w:tcW w:type="dxa" w:w="6768"/>
            <w:vAlign w:val="top"/>
            <w:shd w:fill="FFFFFF"/>
          </w:tcPr>
          <w:p>
            <w:pPr>
              <w:jc w:val="both"/>
            </w:pPr>
            <w:r/>
            <w:r>
              <w:rPr>
                <w:rFonts w:ascii="Arial" w:hAnsi="Arial" w:eastAsia="Arial"/>
                <w:b w:val="0"/>
                <w:sz w:val="15"/>
              </w:rPr>
              <w:t>Imposibilidad técnica, legal o económica demostrada</w:t>
            </w:r>
          </w:p>
        </w:tc>
      </w:tr>
    </w:tbl>
    <w:p>
      <w:pPr>
        <w:spacing w:before="200" w:after="80"/>
      </w:pPr>
      <w:r>
        <w:rPr>
          <w:rFonts w:ascii="Arial" w:hAnsi="Arial"/>
          <w:b/>
          <w:sz w:val="24"/>
        </w:rPr>
        <w:t>2. Resumen ejecutivo de viabilidad</w:t>
      </w:r>
    </w:p>
    <w:p>
      <w:pPr>
        <w:jc w:val="both"/>
      </w:pPr>
      <w:r>
        <w:rPr>
          <w:rFonts w:ascii="Arial" w:hAnsi="Arial"/>
          <w:i w:val="0"/>
          <w:sz w:val="18"/>
        </w:rPr>
        <w:t>Puntaje global ponderado: 4.45 / 5.00. Veredicto: VIABLE — proceder con reservas documentadas. Total criterios evaluados: 36. El proyecto presenta viabilidad técnica, económica, legal y operativa demostrada en el repositorio; las reservas principales corresponden a validación empírica post-implementación (O₂) y métricas de fiabilidad en producción aún parciales (84%).</w:t>
      </w:r>
    </w:p>
    <w:p>
      <w:pPr>
        <w:spacing w:before="120" w:after="80"/>
      </w:pPr>
      <w:r>
        <w:rPr>
          <w:rFonts w:ascii="Arial" w:hAnsi="Arial"/>
          <w:b/>
          <w:sz w:val="22"/>
        </w:rPr>
        <w:t>2.1 Puntaje por dimensión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vAlign w:val="top"/>
            <w:shd w:fill="E2F0D9"/>
          </w:tcPr>
          <w:p>
            <w:pPr>
              <w:jc w:val="both"/>
            </w:pPr>
            <w:r/>
            <w:r>
              <w:rPr>
                <w:rFonts w:ascii="Arial" w:hAnsi="Arial" w:eastAsia="Arial"/>
                <w:b/>
                <w:sz w:val="16"/>
              </w:rPr>
              <w:t>Dimensión</w:t>
            </w:r>
          </w:p>
        </w:tc>
        <w:tc>
          <w:tcPr>
            <w:tcW w:type="dxa" w:w="1008"/>
            <w:vAlign w:val="top"/>
            <w:shd w:fill="E2F0D9"/>
          </w:tcPr>
          <w:p>
            <w:pPr>
              <w:jc w:val="both"/>
            </w:pPr>
            <w:r/>
            <w:r>
              <w:rPr>
                <w:rFonts w:ascii="Arial" w:hAnsi="Arial" w:eastAsia="Arial"/>
                <w:b/>
                <w:sz w:val="16"/>
              </w:rPr>
              <w:t>Peso</w:t>
            </w:r>
          </w:p>
        </w:tc>
        <w:tc>
          <w:tcPr>
            <w:tcW w:type="dxa" w:w="1296"/>
            <w:vAlign w:val="top"/>
            <w:shd w:fill="E2F0D9"/>
          </w:tcPr>
          <w:p>
            <w:pPr>
              <w:jc w:val="both"/>
            </w:pPr>
            <w:r/>
            <w:r>
              <w:rPr>
                <w:rFonts w:ascii="Arial" w:hAnsi="Arial" w:eastAsia="Arial"/>
                <w:b/>
                <w:sz w:val="16"/>
              </w:rPr>
              <w:t>Puntaje dim.</w:t>
            </w:r>
          </w:p>
        </w:tc>
        <w:tc>
          <w:tcPr>
            <w:tcW w:type="dxa" w:w="3888"/>
            <w:vAlign w:val="top"/>
            <w:shd w:fill="E2F0D9"/>
          </w:tcPr>
          <w:p>
            <w:pPr>
              <w:jc w:val="both"/>
            </w:pPr>
            <w:r/>
            <w:r>
              <w:rPr>
                <w:rFonts w:ascii="Arial" w:hAnsi="Arial" w:eastAsia="Arial"/>
                <w:b/>
                <w:sz w:val="16"/>
              </w:rPr>
              <w:t>Veredicto dim.</w:t>
            </w:r>
          </w:p>
        </w:tc>
      </w:tr>
      <w:tr>
        <w:tc>
          <w:tcPr>
            <w:tcW w:type="dxa" w:w="3168"/>
            <w:vAlign w:val="top"/>
            <w:shd w:fill="FFFFFF"/>
          </w:tcPr>
          <w:p>
            <w:pPr>
              <w:jc w:val="both"/>
            </w:pPr>
            <w:r/>
            <w:r>
              <w:rPr>
                <w:rFonts w:ascii="Arial" w:hAnsi="Arial" w:eastAsia="Arial"/>
                <w:b w:val="0"/>
                <w:sz w:val="15"/>
              </w:rPr>
              <w:t>T — Técnica</w:t>
            </w:r>
          </w:p>
        </w:tc>
        <w:tc>
          <w:tcPr>
            <w:tcW w:type="dxa" w:w="1008"/>
            <w:vAlign w:val="top"/>
            <w:shd w:fill="FFFFFF"/>
          </w:tcPr>
          <w:p>
            <w:pPr>
              <w:jc w:val="both"/>
            </w:pPr>
            <w:r/>
            <w:r>
              <w:rPr>
                <w:rFonts w:ascii="Arial" w:hAnsi="Arial" w:eastAsia="Arial"/>
                <w:b w:val="0"/>
                <w:sz w:val="15"/>
              </w:rPr>
              <w:t>25%</w:t>
            </w:r>
          </w:p>
        </w:tc>
        <w:tc>
          <w:tcPr>
            <w:tcW w:type="dxa" w:w="1296"/>
            <w:vAlign w:val="top"/>
            <w:shd w:fill="FFFFFF"/>
          </w:tcPr>
          <w:p>
            <w:pPr>
              <w:jc w:val="both"/>
            </w:pPr>
            <w:r/>
            <w:r>
              <w:rPr>
                <w:rFonts w:ascii="Arial" w:hAnsi="Arial" w:eastAsia="Arial"/>
                <w:b w:val="0"/>
                <w:sz w:val="15"/>
              </w:rPr>
              <w:t>4.35</w:t>
            </w:r>
          </w:p>
        </w:tc>
        <w:tc>
          <w:tcPr>
            <w:tcW w:type="dxa" w:w="3888"/>
            <w:vAlign w:val="top"/>
            <w:shd w:fill="FFFFFF"/>
          </w:tcPr>
          <w:p>
            <w:pPr>
              <w:jc w:val="both"/>
            </w:pPr>
            <w:r/>
            <w:r>
              <w:rPr>
                <w:rFonts w:ascii="Arial" w:hAnsi="Arial" w:eastAsia="Arial"/>
                <w:b w:val="0"/>
                <w:sz w:val="15"/>
              </w:rPr>
              <w:t>VIABLE</w:t>
            </w:r>
          </w:p>
        </w:tc>
      </w:tr>
      <w:tr>
        <w:tc>
          <w:tcPr>
            <w:tcW w:type="dxa" w:w="3168"/>
            <w:vAlign w:val="top"/>
            <w:shd w:fill="F9FBFD"/>
          </w:tcPr>
          <w:p>
            <w:pPr>
              <w:jc w:val="both"/>
            </w:pPr>
            <w:r/>
            <w:r>
              <w:rPr>
                <w:rFonts w:ascii="Arial" w:hAnsi="Arial" w:eastAsia="Arial"/>
                <w:b w:val="0"/>
                <w:sz w:val="15"/>
              </w:rPr>
              <w:t>E — Económica</w:t>
            </w:r>
          </w:p>
        </w:tc>
        <w:tc>
          <w:tcPr>
            <w:tcW w:type="dxa" w:w="1008"/>
            <w:vAlign w:val="top"/>
            <w:shd w:fill="F9FBFD"/>
          </w:tcPr>
          <w:p>
            <w:pPr>
              <w:jc w:val="both"/>
            </w:pPr>
            <w:r/>
            <w:r>
              <w:rPr>
                <w:rFonts w:ascii="Arial" w:hAnsi="Arial" w:eastAsia="Arial"/>
                <w:b w:val="0"/>
                <w:sz w:val="15"/>
              </w:rPr>
              <w:t>15%</w:t>
            </w:r>
          </w:p>
        </w:tc>
        <w:tc>
          <w:tcPr>
            <w:tcW w:type="dxa" w:w="1296"/>
            <w:vAlign w:val="top"/>
            <w:shd w:fill="F9FBFD"/>
          </w:tcPr>
          <w:p>
            <w:pPr>
              <w:jc w:val="both"/>
            </w:pPr>
            <w:r/>
            <w:r>
              <w:rPr>
                <w:rFonts w:ascii="Arial" w:hAnsi="Arial" w:eastAsia="Arial"/>
                <w:b w:val="0"/>
                <w:sz w:val="15"/>
              </w:rPr>
              <w:t>4.60</w:t>
            </w:r>
          </w:p>
        </w:tc>
        <w:tc>
          <w:tcPr>
            <w:tcW w:type="dxa" w:w="3888"/>
            <w:vAlign w:val="top"/>
            <w:shd w:fill="F9FBFD"/>
          </w:tcPr>
          <w:p>
            <w:pPr>
              <w:jc w:val="both"/>
            </w:pPr>
            <w:r/>
            <w:r>
              <w:rPr>
                <w:rFonts w:ascii="Arial" w:hAnsi="Arial" w:eastAsia="Arial"/>
                <w:b w:val="0"/>
                <w:sz w:val="15"/>
              </w:rPr>
              <w:t>VIABLE</w:t>
            </w:r>
          </w:p>
        </w:tc>
      </w:tr>
      <w:tr>
        <w:tc>
          <w:tcPr>
            <w:tcW w:type="dxa" w:w="3168"/>
            <w:vAlign w:val="top"/>
            <w:shd w:fill="FFFFFF"/>
          </w:tcPr>
          <w:p>
            <w:pPr>
              <w:jc w:val="both"/>
            </w:pPr>
            <w:r/>
            <w:r>
              <w:rPr>
                <w:rFonts w:ascii="Arial" w:hAnsi="Arial" w:eastAsia="Arial"/>
                <w:b w:val="0"/>
                <w:sz w:val="15"/>
              </w:rPr>
              <w:t>L — Legal / normativa</w:t>
            </w:r>
          </w:p>
        </w:tc>
        <w:tc>
          <w:tcPr>
            <w:tcW w:type="dxa" w:w="1008"/>
            <w:vAlign w:val="top"/>
            <w:shd w:fill="FFFFFF"/>
          </w:tcPr>
          <w:p>
            <w:pPr>
              <w:jc w:val="both"/>
            </w:pPr>
            <w:r/>
            <w:r>
              <w:rPr>
                <w:rFonts w:ascii="Arial" w:hAnsi="Arial" w:eastAsia="Arial"/>
                <w:b w:val="0"/>
                <w:sz w:val="15"/>
              </w:rPr>
              <w:t>10%</w:t>
            </w:r>
          </w:p>
        </w:tc>
        <w:tc>
          <w:tcPr>
            <w:tcW w:type="dxa" w:w="1296"/>
            <w:vAlign w:val="top"/>
            <w:shd w:fill="FFFFFF"/>
          </w:tcPr>
          <w:p>
            <w:pPr>
              <w:jc w:val="both"/>
            </w:pPr>
            <w:r/>
            <w:r>
              <w:rPr>
                <w:rFonts w:ascii="Arial" w:hAnsi="Arial" w:eastAsia="Arial"/>
                <w:b w:val="0"/>
                <w:sz w:val="15"/>
              </w:rPr>
              <w:t>4.85</w:t>
            </w:r>
          </w:p>
        </w:tc>
        <w:tc>
          <w:tcPr>
            <w:tcW w:type="dxa" w:w="3888"/>
            <w:vAlign w:val="top"/>
            <w:shd w:fill="FFFFFF"/>
          </w:tcPr>
          <w:p>
            <w:pPr>
              <w:jc w:val="both"/>
            </w:pPr>
            <w:r/>
            <w:r>
              <w:rPr>
                <w:rFonts w:ascii="Arial" w:hAnsi="Arial" w:eastAsia="Arial"/>
                <w:b w:val="0"/>
                <w:sz w:val="15"/>
              </w:rPr>
              <w:t>VIABLE</w:t>
            </w:r>
          </w:p>
        </w:tc>
      </w:tr>
      <w:tr>
        <w:tc>
          <w:tcPr>
            <w:tcW w:type="dxa" w:w="3168"/>
            <w:vAlign w:val="top"/>
            <w:shd w:fill="F9FBFD"/>
          </w:tcPr>
          <w:p>
            <w:pPr>
              <w:jc w:val="both"/>
            </w:pPr>
            <w:r/>
            <w:r>
              <w:rPr>
                <w:rFonts w:ascii="Arial" w:hAnsi="Arial" w:eastAsia="Arial"/>
                <w:b w:val="0"/>
                <w:sz w:val="15"/>
              </w:rPr>
              <w:t>O — Operativa / organizacional</w:t>
            </w:r>
          </w:p>
        </w:tc>
        <w:tc>
          <w:tcPr>
            <w:tcW w:type="dxa" w:w="1008"/>
            <w:vAlign w:val="top"/>
            <w:shd w:fill="F9FBFD"/>
          </w:tcPr>
          <w:p>
            <w:pPr>
              <w:jc w:val="both"/>
            </w:pPr>
            <w:r/>
            <w:r>
              <w:rPr>
                <w:rFonts w:ascii="Arial" w:hAnsi="Arial" w:eastAsia="Arial"/>
                <w:b w:val="0"/>
                <w:sz w:val="15"/>
              </w:rPr>
              <w:t>20%</w:t>
            </w:r>
          </w:p>
        </w:tc>
        <w:tc>
          <w:tcPr>
            <w:tcW w:type="dxa" w:w="1296"/>
            <w:vAlign w:val="top"/>
            <w:shd w:fill="F9FBFD"/>
          </w:tcPr>
          <w:p>
            <w:pPr>
              <w:jc w:val="both"/>
            </w:pPr>
            <w:r/>
            <w:r>
              <w:rPr>
                <w:rFonts w:ascii="Arial" w:hAnsi="Arial" w:eastAsia="Arial"/>
                <w:b w:val="0"/>
                <w:sz w:val="15"/>
              </w:rPr>
              <w:t>4.33</w:t>
            </w:r>
          </w:p>
        </w:tc>
        <w:tc>
          <w:tcPr>
            <w:tcW w:type="dxa" w:w="3888"/>
            <w:vAlign w:val="top"/>
            <w:shd w:fill="F9FBFD"/>
          </w:tcPr>
          <w:p>
            <w:pPr>
              <w:jc w:val="both"/>
            </w:pPr>
            <w:r/>
            <w:r>
              <w:rPr>
                <w:rFonts w:ascii="Arial" w:hAnsi="Arial" w:eastAsia="Arial"/>
                <w:b w:val="0"/>
                <w:sz w:val="15"/>
              </w:rPr>
              <w:t>VIABLE</w:t>
            </w:r>
          </w:p>
        </w:tc>
      </w:tr>
      <w:tr>
        <w:tc>
          <w:tcPr>
            <w:tcW w:type="dxa" w:w="3168"/>
            <w:vAlign w:val="top"/>
            <w:shd w:fill="FFFFFF"/>
          </w:tcPr>
          <w:p>
            <w:pPr>
              <w:jc w:val="both"/>
            </w:pPr>
            <w:r/>
            <w:r>
              <w:rPr>
                <w:rFonts w:ascii="Arial" w:hAnsi="Arial" w:eastAsia="Arial"/>
                <w:b w:val="0"/>
                <w:sz w:val="15"/>
              </w:rPr>
              <w:t>S — Temporal (Schedule)</w:t>
            </w:r>
          </w:p>
        </w:tc>
        <w:tc>
          <w:tcPr>
            <w:tcW w:type="dxa" w:w="1008"/>
            <w:vAlign w:val="top"/>
            <w:shd w:fill="FFFFFF"/>
          </w:tcPr>
          <w:p>
            <w:pPr>
              <w:jc w:val="both"/>
            </w:pPr>
            <w:r/>
            <w:r>
              <w:rPr>
                <w:rFonts w:ascii="Arial" w:hAnsi="Arial" w:eastAsia="Arial"/>
                <w:b w:val="0"/>
                <w:sz w:val="15"/>
              </w:rPr>
              <w:t>10%</w:t>
            </w:r>
          </w:p>
        </w:tc>
        <w:tc>
          <w:tcPr>
            <w:tcW w:type="dxa" w:w="1296"/>
            <w:vAlign w:val="top"/>
            <w:shd w:fill="FFFFFF"/>
          </w:tcPr>
          <w:p>
            <w:pPr>
              <w:jc w:val="both"/>
            </w:pPr>
            <w:r/>
            <w:r>
              <w:rPr>
                <w:rFonts w:ascii="Arial" w:hAnsi="Arial" w:eastAsia="Arial"/>
                <w:b w:val="0"/>
                <w:sz w:val="15"/>
              </w:rPr>
              <w:t>4.50</w:t>
            </w:r>
          </w:p>
        </w:tc>
        <w:tc>
          <w:tcPr>
            <w:tcW w:type="dxa" w:w="3888"/>
            <w:vAlign w:val="top"/>
            <w:shd w:fill="FFFFFF"/>
          </w:tcPr>
          <w:p>
            <w:pPr>
              <w:jc w:val="both"/>
            </w:pPr>
            <w:r/>
            <w:r>
              <w:rPr>
                <w:rFonts w:ascii="Arial" w:hAnsi="Arial" w:eastAsia="Arial"/>
                <w:b w:val="0"/>
                <w:sz w:val="15"/>
              </w:rPr>
              <w:t>VIABLE</w:t>
            </w:r>
          </w:p>
        </w:tc>
      </w:tr>
      <w:tr>
        <w:tc>
          <w:tcPr>
            <w:tcW w:type="dxa" w:w="3168"/>
            <w:vAlign w:val="top"/>
            <w:shd w:fill="F9FBFD"/>
          </w:tcPr>
          <w:p>
            <w:pPr>
              <w:jc w:val="both"/>
            </w:pPr>
            <w:r/>
            <w:r>
              <w:rPr>
                <w:rFonts w:ascii="Arial" w:hAnsi="Arial" w:eastAsia="Arial"/>
                <w:b w:val="0"/>
                <w:sz w:val="15"/>
              </w:rPr>
              <w:t>Es — Estratégica / mercado</w:t>
            </w:r>
          </w:p>
        </w:tc>
        <w:tc>
          <w:tcPr>
            <w:tcW w:type="dxa" w:w="1008"/>
            <w:vAlign w:val="top"/>
            <w:shd w:fill="F9FBFD"/>
          </w:tcPr>
          <w:p>
            <w:pPr>
              <w:jc w:val="both"/>
            </w:pPr>
            <w:r/>
            <w:r>
              <w:rPr>
                <w:rFonts w:ascii="Arial" w:hAnsi="Arial" w:eastAsia="Arial"/>
                <w:b w:val="0"/>
                <w:sz w:val="15"/>
              </w:rPr>
              <w:t>10%</w:t>
            </w:r>
          </w:p>
        </w:tc>
        <w:tc>
          <w:tcPr>
            <w:tcW w:type="dxa" w:w="1296"/>
            <w:vAlign w:val="top"/>
            <w:shd w:fill="F9FBFD"/>
          </w:tcPr>
          <w:p>
            <w:pPr>
              <w:jc w:val="both"/>
            </w:pPr>
            <w:r/>
            <w:r>
              <w:rPr>
                <w:rFonts w:ascii="Arial" w:hAnsi="Arial" w:eastAsia="Arial"/>
                <w:b w:val="0"/>
                <w:sz w:val="15"/>
              </w:rPr>
              <w:t>4.50</w:t>
            </w:r>
          </w:p>
        </w:tc>
        <w:tc>
          <w:tcPr>
            <w:tcW w:type="dxa" w:w="3888"/>
            <w:vAlign w:val="top"/>
            <w:shd w:fill="F9FBFD"/>
          </w:tcPr>
          <w:p>
            <w:pPr>
              <w:jc w:val="both"/>
            </w:pPr>
            <w:r/>
            <w:r>
              <w:rPr>
                <w:rFonts w:ascii="Arial" w:hAnsi="Arial" w:eastAsia="Arial"/>
                <w:b w:val="0"/>
                <w:sz w:val="15"/>
              </w:rPr>
              <w:t>VIABLE</w:t>
            </w:r>
          </w:p>
        </w:tc>
      </w:tr>
      <w:tr>
        <w:tc>
          <w:tcPr>
            <w:tcW w:type="dxa" w:w="3168"/>
            <w:vAlign w:val="top"/>
            <w:shd w:fill="FFFFFF"/>
          </w:tcPr>
          <w:p>
            <w:pPr>
              <w:jc w:val="both"/>
            </w:pPr>
            <w:r/>
            <w:r>
              <w:rPr>
                <w:rFonts w:ascii="Arial" w:hAnsi="Arial" w:eastAsia="Arial"/>
                <w:b w:val="0"/>
                <w:sz w:val="15"/>
              </w:rPr>
              <w:t>C — Científica / investigación</w:t>
            </w:r>
          </w:p>
        </w:tc>
        <w:tc>
          <w:tcPr>
            <w:tcW w:type="dxa" w:w="1008"/>
            <w:vAlign w:val="top"/>
            <w:shd w:fill="FFFFFF"/>
          </w:tcPr>
          <w:p>
            <w:pPr>
              <w:jc w:val="both"/>
            </w:pPr>
            <w:r/>
            <w:r>
              <w:rPr>
                <w:rFonts w:ascii="Arial" w:hAnsi="Arial" w:eastAsia="Arial"/>
                <w:b w:val="0"/>
                <w:sz w:val="15"/>
              </w:rPr>
              <w:t>10%</w:t>
            </w:r>
          </w:p>
        </w:tc>
        <w:tc>
          <w:tcPr>
            <w:tcW w:type="dxa" w:w="1296"/>
            <w:vAlign w:val="top"/>
            <w:shd w:fill="FFFFFF"/>
          </w:tcPr>
          <w:p>
            <w:pPr>
              <w:jc w:val="both"/>
            </w:pPr>
            <w:r/>
            <w:r>
              <w:rPr>
                <w:rFonts w:ascii="Arial" w:hAnsi="Arial" w:eastAsia="Arial"/>
                <w:b w:val="0"/>
                <w:sz w:val="15"/>
              </w:rPr>
              <w:t>4.20</w:t>
            </w:r>
          </w:p>
        </w:tc>
        <w:tc>
          <w:tcPr>
            <w:tcW w:type="dxa" w:w="3888"/>
            <w:vAlign w:val="top"/>
            <w:shd w:fill="FFFFFF"/>
          </w:tcPr>
          <w:p>
            <w:pPr>
              <w:jc w:val="both"/>
            </w:pPr>
            <w:r/>
            <w:r>
              <w:rPr>
                <w:rFonts w:ascii="Arial" w:hAnsi="Arial" w:eastAsia="Arial"/>
                <w:b w:val="0"/>
                <w:sz w:val="15"/>
              </w:rPr>
              <w:t>VIABLE</w:t>
            </w:r>
          </w:p>
        </w:tc>
      </w:tr>
    </w:tbl>
    <w:p>
      <w:pPr>
        <w:spacing w:before="120" w:after="80"/>
      </w:pPr>
      <w:r>
        <w:rPr>
          <w:rFonts w:ascii="Arial" w:hAnsi="Arial"/>
          <w:b/>
          <w:sz w:val="22"/>
        </w:rPr>
        <w:t>3.1 T — Técnica</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VT-01</w:t>
            </w:r>
          </w:p>
        </w:tc>
        <w:tc>
          <w:tcPr>
            <w:tcW w:type="dxa" w:w="2592"/>
            <w:vAlign w:val="top"/>
            <w:shd w:fill="FFFFFF"/>
          </w:tcPr>
          <w:p>
            <w:pPr>
              <w:jc w:val="both"/>
            </w:pPr>
            <w:r/>
            <w:r>
              <w:rPr>
                <w:rFonts w:ascii="Arial" w:hAnsi="Arial" w:eastAsia="Arial"/>
                <w:b w:val="0"/>
                <w:sz w:val="15"/>
              </w:rPr>
              <w:t>Stack tecnologico maduro y documentado</w:t>
            </w:r>
          </w:p>
        </w:tc>
        <w:tc>
          <w:tcPr>
            <w:tcW w:type="dxa" w:w="3600"/>
            <w:vAlign w:val="top"/>
            <w:shd w:fill="FFFFFF"/>
          </w:tcPr>
          <w:p>
            <w:pPr>
              <w:jc w:val="both"/>
            </w:pPr>
            <w:r/>
            <w:r>
              <w:rPr>
                <w:rFonts w:ascii="Arial" w:hAnsi="Arial" w:eastAsia="Arial"/>
                <w:b w:val="0"/>
                <w:sz w:val="15"/>
              </w:rPr>
              <w:t>React/Vite/TS + Supabase + Firebase Auth operativos en repo</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VT-02</w:t>
            </w:r>
          </w:p>
        </w:tc>
        <w:tc>
          <w:tcPr>
            <w:tcW w:type="dxa" w:w="2592"/>
            <w:vAlign w:val="top"/>
            <w:shd w:fill="F9FBFD"/>
          </w:tcPr>
          <w:p>
            <w:pPr>
              <w:jc w:val="both"/>
            </w:pPr>
            <w:r/>
            <w:r>
              <w:rPr>
                <w:rFonts w:ascii="Arial" w:hAnsi="Arial" w:eastAsia="Arial"/>
                <w:b w:val="0"/>
                <w:sz w:val="15"/>
              </w:rPr>
              <w:t>Integracion multi-servicio verificable</w:t>
            </w:r>
          </w:p>
        </w:tc>
        <w:tc>
          <w:tcPr>
            <w:tcW w:type="dxa" w:w="3600"/>
            <w:vAlign w:val="top"/>
            <w:shd w:fill="F9FBFD"/>
          </w:tcPr>
          <w:p>
            <w:pPr>
              <w:jc w:val="both"/>
            </w:pPr>
            <w:r/>
            <w:r>
              <w:rPr>
                <w:rFonts w:ascii="Arial" w:hAnsi="Arial" w:eastAsia="Arial"/>
                <w:b w:val="0"/>
                <w:sz w:val="15"/>
              </w:rPr>
              <w:t>Stripe Cloudinary APISPERU ORS Upstash con E2E/gates</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 con reserva</w:t>
            </w:r>
          </w:p>
        </w:tc>
      </w:tr>
      <w:tr>
        <w:tc>
          <w:tcPr>
            <w:tcW w:type="dxa" w:w="1008"/>
            <w:vAlign w:val="top"/>
            <w:shd w:fill="FFFFFF"/>
          </w:tcPr>
          <w:p>
            <w:pPr>
              <w:jc w:val="both"/>
            </w:pPr>
            <w:r/>
            <w:r>
              <w:rPr>
                <w:rFonts w:ascii="Arial" w:hAnsi="Arial" w:eastAsia="Arial"/>
                <w:b w:val="0"/>
                <w:sz w:val="15"/>
              </w:rPr>
              <w:t>VT-03</w:t>
            </w:r>
          </w:p>
        </w:tc>
        <w:tc>
          <w:tcPr>
            <w:tcW w:type="dxa" w:w="2592"/>
            <w:vAlign w:val="top"/>
            <w:shd w:fill="FFFFFF"/>
          </w:tcPr>
          <w:p>
            <w:pPr>
              <w:jc w:val="both"/>
            </w:pPr>
            <w:r/>
            <w:r>
              <w:rPr>
                <w:rFonts w:ascii="Arial" w:hAnsi="Arial" w:eastAsia="Arial"/>
                <w:b w:val="0"/>
                <w:sz w:val="15"/>
              </w:rPr>
              <w:t>Despliegue ML en produccion factible</w:t>
            </w:r>
          </w:p>
        </w:tc>
        <w:tc>
          <w:tcPr>
            <w:tcW w:type="dxa" w:w="3600"/>
            <w:vAlign w:val="top"/>
            <w:shd w:fill="FFFFFF"/>
          </w:tcPr>
          <w:p>
            <w:pPr>
              <w:jc w:val="both"/>
            </w:pPr>
            <w:r/>
            <w:r>
              <w:rPr>
                <w:rFonts w:ascii="Arial" w:hAnsi="Arial" w:eastAsia="Arial"/>
                <w:b w:val="0"/>
                <w:sz w:val="15"/>
              </w:rPr>
              <w:t>FastAPI ai-service + Render; backtest gate</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 con reserva</w:t>
            </w:r>
          </w:p>
        </w:tc>
      </w:tr>
      <w:tr>
        <w:tc>
          <w:tcPr>
            <w:tcW w:type="dxa" w:w="1008"/>
            <w:vAlign w:val="top"/>
            <w:shd w:fill="F9FBFD"/>
          </w:tcPr>
          <w:p>
            <w:pPr>
              <w:jc w:val="both"/>
            </w:pPr>
            <w:r/>
            <w:r>
              <w:rPr>
                <w:rFonts w:ascii="Arial" w:hAnsi="Arial" w:eastAsia="Arial"/>
                <w:b w:val="0"/>
                <w:sz w:val="15"/>
              </w:rPr>
              <w:t>VT-04</w:t>
            </w:r>
          </w:p>
        </w:tc>
        <w:tc>
          <w:tcPr>
            <w:tcW w:type="dxa" w:w="2592"/>
            <w:vAlign w:val="top"/>
            <w:shd w:fill="F9FBFD"/>
          </w:tcPr>
          <w:p>
            <w:pPr>
              <w:jc w:val="both"/>
            </w:pPr>
            <w:r/>
            <w:r>
              <w:rPr>
                <w:rFonts w:ascii="Arial" w:hAnsi="Arial" w:eastAsia="Arial"/>
                <w:b w:val="0"/>
                <w:sz w:val="15"/>
              </w:rPr>
              <w:t>MLops industrial escala PYME</w:t>
            </w:r>
          </w:p>
        </w:tc>
        <w:tc>
          <w:tcPr>
            <w:tcW w:type="dxa" w:w="3600"/>
            <w:vAlign w:val="top"/>
            <w:shd w:fill="F9FBFD"/>
          </w:tcPr>
          <w:p>
            <w:pPr>
              <w:jc w:val="both"/>
            </w:pPr>
            <w:r/>
            <w:r>
              <w:rPr>
                <w:rFonts w:ascii="Arial" w:hAnsi="Arial" w:eastAsia="Arial"/>
                <w:b w:val="0"/>
                <w:sz w:val="15"/>
              </w:rPr>
              <w:t>Lwakatare pipeline CI para IA + evaluate.py</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VT-05</w:t>
            </w:r>
          </w:p>
        </w:tc>
        <w:tc>
          <w:tcPr>
            <w:tcW w:type="dxa" w:w="2592"/>
            <w:vAlign w:val="top"/>
            <w:shd w:fill="FFFFFF"/>
          </w:tcPr>
          <w:p>
            <w:pPr>
              <w:jc w:val="both"/>
            </w:pPr>
            <w:r/>
            <w:r>
              <w:rPr>
                <w:rFonts w:ascii="Arial" w:hAnsi="Arial" w:eastAsia="Arial"/>
                <w:b w:val="0"/>
                <w:sz w:val="15"/>
              </w:rPr>
              <w:t>Calidad software verificable (ISO 25010)</w:t>
            </w:r>
          </w:p>
        </w:tc>
        <w:tc>
          <w:tcPr>
            <w:tcW w:type="dxa" w:w="3600"/>
            <w:vAlign w:val="top"/>
            <w:shd w:fill="FFFFFF"/>
          </w:tcPr>
          <w:p>
            <w:pPr>
              <w:jc w:val="both"/>
            </w:pPr>
            <w:r/>
            <w:r>
              <w:rPr>
                <w:rFonts w:ascii="Arial" w:hAnsi="Arial" w:eastAsia="Arial"/>
                <w:b w:val="0"/>
                <w:sz w:val="15"/>
              </w:rPr>
              <w:t>Gates verify-* + 34+ E2E Playwright</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VT-06</w:t>
            </w:r>
          </w:p>
        </w:tc>
        <w:tc>
          <w:tcPr>
            <w:tcW w:type="dxa" w:w="2592"/>
            <w:vAlign w:val="top"/>
            <w:shd w:fill="F9FBFD"/>
          </w:tcPr>
          <w:p>
            <w:pPr>
              <w:jc w:val="both"/>
            </w:pPr>
            <w:r/>
            <w:r>
              <w:rPr>
                <w:rFonts w:ascii="Arial" w:hAnsi="Arial" w:eastAsia="Arial"/>
                <w:b w:val="0"/>
                <w:sz w:val="15"/>
              </w:rPr>
              <w:t>Seguridad tecnica RLS auth cifrado</w:t>
            </w:r>
          </w:p>
        </w:tc>
        <w:tc>
          <w:tcPr>
            <w:tcW w:type="dxa" w:w="3600"/>
            <w:vAlign w:val="top"/>
            <w:shd w:fill="F9FBFD"/>
          </w:tcPr>
          <w:p>
            <w:pPr>
              <w:jc w:val="both"/>
            </w:pPr>
            <w:r/>
            <w:r>
              <w:rPr>
                <w:rFonts w:ascii="Arial" w:hAnsi="Arial" w:eastAsia="Arial"/>
                <w:b w:val="0"/>
                <w:sz w:val="15"/>
              </w:rPr>
              <w:t>RLS matrix; ZAP DAP; Firebase Auth; BFF fail-closed</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 con reserva</w:t>
            </w:r>
          </w:p>
        </w:tc>
      </w:tr>
    </w:tbl>
    <w:p>
      <w:pPr>
        <w:jc w:val="both"/>
      </w:pPr>
      <w:r>
        <w:rPr>
          <w:rFonts w:ascii="Arial" w:hAnsi="Arial"/>
          <w:i/>
          <w:sz w:val="16"/>
        </w:rPr>
        <w:t>Puntaje dimensión T — Técnica: 4.35/5.00.</w:t>
      </w:r>
    </w:p>
    <w:p>
      <w:pPr>
        <w:spacing w:before="120" w:after="80"/>
      </w:pPr>
      <w:r>
        <w:rPr>
          <w:rFonts w:ascii="Arial" w:hAnsi="Arial"/>
          <w:b/>
          <w:sz w:val="22"/>
        </w:rPr>
        <w:t>3.2 E — Económica</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VE-01</w:t>
            </w:r>
          </w:p>
        </w:tc>
        <w:tc>
          <w:tcPr>
            <w:tcW w:type="dxa" w:w="2592"/>
            <w:vAlign w:val="top"/>
            <w:shd w:fill="FFFFFF"/>
          </w:tcPr>
          <w:p>
            <w:pPr>
              <w:jc w:val="both"/>
            </w:pPr>
            <w:r/>
            <w:r>
              <w:rPr>
                <w:rFonts w:ascii="Arial" w:hAnsi="Arial" w:eastAsia="Arial"/>
                <w:b w:val="0"/>
                <w:sz w:val="15"/>
              </w:rPr>
              <w:t>Costo infraestructura accesible PYME</w:t>
            </w:r>
          </w:p>
        </w:tc>
        <w:tc>
          <w:tcPr>
            <w:tcW w:type="dxa" w:w="3600"/>
            <w:vAlign w:val="top"/>
            <w:shd w:fill="FFFFFF"/>
          </w:tcPr>
          <w:p>
            <w:pPr>
              <w:jc w:val="both"/>
            </w:pPr>
            <w:r/>
            <w:r>
              <w:rPr>
                <w:rFonts w:ascii="Arial" w:hAnsi="Arial" w:eastAsia="Arial"/>
                <w:b w:val="0"/>
                <w:sz w:val="15"/>
              </w:rPr>
              <w:t>Firebase Hosting tier; Supabase; Render free/low tier</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VE-02</w:t>
            </w:r>
          </w:p>
        </w:tc>
        <w:tc>
          <w:tcPr>
            <w:tcW w:type="dxa" w:w="2592"/>
            <w:vAlign w:val="top"/>
            <w:shd w:fill="F9FBFD"/>
          </w:tcPr>
          <w:p>
            <w:pPr>
              <w:jc w:val="both"/>
            </w:pPr>
            <w:r/>
            <w:r>
              <w:rPr>
                <w:rFonts w:ascii="Arial" w:hAnsi="Arial" w:eastAsia="Arial"/>
                <w:b w:val="0"/>
                <w:sz w:val="15"/>
              </w:rPr>
              <w:t>Beneficio digitalizacion retail cadena valor</w:t>
            </w:r>
          </w:p>
        </w:tc>
        <w:tc>
          <w:tcPr>
            <w:tcW w:type="dxa" w:w="3600"/>
            <w:vAlign w:val="top"/>
            <w:shd w:fill="F9FBFD"/>
          </w:tcPr>
          <w:p>
            <w:pPr>
              <w:jc w:val="both"/>
            </w:pPr>
            <w:r/>
            <w:r>
              <w:rPr>
                <w:rFonts w:ascii="Arial" w:hAnsi="Arial" w:eastAsia="Arial"/>
                <w:b w:val="0"/>
                <w:sz w:val="15"/>
              </w:rPr>
              <w:t>Canal online amplia cobertura Huancayo+</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r>
        <w:tc>
          <w:tcPr>
            <w:tcW w:type="dxa" w:w="1008"/>
            <w:vAlign w:val="top"/>
            <w:shd w:fill="FFFFFF"/>
          </w:tcPr>
          <w:p>
            <w:pPr>
              <w:jc w:val="both"/>
            </w:pPr>
            <w:r/>
            <w:r>
              <w:rPr>
                <w:rFonts w:ascii="Arial" w:hAnsi="Arial" w:eastAsia="Arial"/>
                <w:b w:val="0"/>
                <w:sz w:val="15"/>
              </w:rPr>
              <w:t>VE-03</w:t>
            </w:r>
          </w:p>
        </w:tc>
        <w:tc>
          <w:tcPr>
            <w:tcW w:type="dxa" w:w="2592"/>
            <w:vAlign w:val="top"/>
            <w:shd w:fill="FFFFFF"/>
          </w:tcPr>
          <w:p>
            <w:pPr>
              <w:jc w:val="both"/>
            </w:pPr>
            <w:r/>
            <w:r>
              <w:rPr>
                <w:rFonts w:ascii="Arial" w:hAnsi="Arial" w:eastAsia="Arial"/>
                <w:b w:val="0"/>
                <w:sz w:val="15"/>
              </w:rPr>
              <w:t>Big data analytics mejora desempeno</w:t>
            </w:r>
          </w:p>
        </w:tc>
        <w:tc>
          <w:tcPr>
            <w:tcW w:type="dxa" w:w="3600"/>
            <w:vAlign w:val="top"/>
            <w:shd w:fill="FFFFFF"/>
          </w:tcPr>
          <w:p>
            <w:pPr>
              <w:jc w:val="both"/>
            </w:pPr>
            <w:r/>
            <w:r>
              <w:rPr>
                <w:rFonts w:ascii="Arial" w:hAnsi="Arial" w:eastAsia="Arial"/>
                <w:b w:val="0"/>
                <w:sz w:val="15"/>
              </w:rPr>
              <w:t>KPIs dashboard + IRE reducen perdidas operativas</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r>
        <w:tc>
          <w:tcPr>
            <w:tcW w:type="dxa" w:w="1008"/>
            <w:vAlign w:val="top"/>
            <w:shd w:fill="F9FBFD"/>
          </w:tcPr>
          <w:p>
            <w:pPr>
              <w:jc w:val="both"/>
            </w:pPr>
            <w:r/>
            <w:r>
              <w:rPr>
                <w:rFonts w:ascii="Arial" w:hAnsi="Arial" w:eastAsia="Arial"/>
                <w:b w:val="0"/>
                <w:sz w:val="15"/>
              </w:rPr>
              <w:t>VE-04</w:t>
            </w:r>
          </w:p>
        </w:tc>
        <w:tc>
          <w:tcPr>
            <w:tcW w:type="dxa" w:w="2592"/>
            <w:vAlign w:val="top"/>
            <w:shd w:fill="F9FBFD"/>
          </w:tcPr>
          <w:p>
            <w:pPr>
              <w:jc w:val="both"/>
            </w:pPr>
            <w:r/>
            <w:r>
              <w:rPr>
                <w:rFonts w:ascii="Arial" w:hAnsi="Arial" w:eastAsia="Arial"/>
                <w:b w:val="0"/>
                <w:sz w:val="15"/>
              </w:rPr>
              <w:t>Relacion costo-beneficio vs alternativas SaaS</w:t>
            </w:r>
          </w:p>
        </w:tc>
        <w:tc>
          <w:tcPr>
            <w:tcW w:type="dxa" w:w="3600"/>
            <w:vAlign w:val="top"/>
            <w:shd w:fill="F9FBFD"/>
          </w:tcPr>
          <w:p>
            <w:pPr>
              <w:jc w:val="both"/>
            </w:pPr>
            <w:r/>
            <w:r>
              <w:rPr>
                <w:rFonts w:ascii="Arial" w:hAnsi="Arial" w:eastAsia="Arial"/>
                <w:b w:val="0"/>
                <w:sz w:val="15"/>
              </w:rPr>
              <w:t>Desarrollo propio vs Shopify+plugins IA inexistentes</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r>
        <w:tc>
          <w:tcPr>
            <w:tcW w:type="dxa" w:w="1008"/>
            <w:vAlign w:val="top"/>
            <w:shd w:fill="FFFFFF"/>
          </w:tcPr>
          <w:p>
            <w:pPr>
              <w:jc w:val="both"/>
            </w:pPr>
            <w:r/>
            <w:r>
              <w:rPr>
                <w:rFonts w:ascii="Arial" w:hAnsi="Arial" w:eastAsia="Arial"/>
                <w:b w:val="0"/>
                <w:sz w:val="15"/>
              </w:rPr>
              <w:t>VE-05</w:t>
            </w:r>
          </w:p>
        </w:tc>
        <w:tc>
          <w:tcPr>
            <w:tcW w:type="dxa" w:w="2592"/>
            <w:vAlign w:val="top"/>
            <w:shd w:fill="FFFFFF"/>
          </w:tcPr>
          <w:p>
            <w:pPr>
              <w:jc w:val="both"/>
            </w:pPr>
            <w:r/>
            <w:r>
              <w:rPr>
                <w:rFonts w:ascii="Arial" w:hAnsi="Arial" w:eastAsia="Arial"/>
                <w:b w:val="0"/>
                <w:sz w:val="15"/>
              </w:rPr>
              <w:t>Reduccion costos operativos stock/demanda</w:t>
            </w:r>
          </w:p>
        </w:tc>
        <w:tc>
          <w:tcPr>
            <w:tcW w:type="dxa" w:w="3600"/>
            <w:vAlign w:val="top"/>
            <w:shd w:fill="FFFFFF"/>
          </w:tcPr>
          <w:p>
            <w:pPr>
              <w:jc w:val="both"/>
            </w:pPr>
            <w:r/>
            <w:r>
              <w:rPr>
                <w:rFonts w:ascii="Arial" w:hAnsi="Arial" w:eastAsia="Arial"/>
                <w:b w:val="0"/>
                <w:sz w:val="15"/>
              </w:rPr>
              <w:t>Alertas quiebre + ABC inventario</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bl>
    <w:p>
      <w:pPr>
        <w:jc w:val="both"/>
      </w:pPr>
      <w:r>
        <w:rPr>
          <w:rFonts w:ascii="Arial" w:hAnsi="Arial"/>
          <w:i/>
          <w:sz w:val="16"/>
        </w:rPr>
        <w:t>Puntaje dimensión E — Económica: 4.60/5.00.</w:t>
      </w:r>
    </w:p>
    <w:p>
      <w:pPr>
        <w:spacing w:before="120" w:after="80"/>
      </w:pPr>
      <w:r>
        <w:rPr>
          <w:rFonts w:ascii="Arial" w:hAnsi="Arial"/>
          <w:b/>
          <w:sz w:val="22"/>
        </w:rPr>
        <w:t>3.3 L — Legal / normativa</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VL-01</w:t>
            </w:r>
          </w:p>
        </w:tc>
        <w:tc>
          <w:tcPr>
            <w:tcW w:type="dxa" w:w="2592"/>
            <w:vAlign w:val="top"/>
            <w:shd w:fill="FFFFFF"/>
          </w:tcPr>
          <w:p>
            <w:pPr>
              <w:jc w:val="both"/>
            </w:pPr>
            <w:r/>
            <w:r>
              <w:rPr>
                <w:rFonts w:ascii="Arial" w:hAnsi="Arial" w:eastAsia="Arial"/>
                <w:b w:val="0"/>
                <w:sz w:val="15"/>
              </w:rPr>
              <w:t>Cumplimiento Ley 29571 consumidor</w:t>
            </w:r>
          </w:p>
        </w:tc>
        <w:tc>
          <w:tcPr>
            <w:tcW w:type="dxa" w:w="3600"/>
            <w:vAlign w:val="top"/>
            <w:shd w:fill="FFFFFF"/>
          </w:tcPr>
          <w:p>
            <w:pPr>
              <w:jc w:val="both"/>
            </w:pPr>
            <w:r/>
            <w:r>
              <w:rPr>
                <w:rFonts w:ascii="Arial" w:hAnsi="Arial" w:eastAsia="Arial"/>
                <w:b w:val="0"/>
                <w:sz w:val="15"/>
              </w:rPr>
              <w:t>Libro reclamaciones virtual implementado</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VL-02</w:t>
            </w:r>
          </w:p>
        </w:tc>
        <w:tc>
          <w:tcPr>
            <w:tcW w:type="dxa" w:w="2592"/>
            <w:vAlign w:val="top"/>
            <w:shd w:fill="F9FBFD"/>
          </w:tcPr>
          <w:p>
            <w:pPr>
              <w:jc w:val="both"/>
            </w:pPr>
            <w:r/>
            <w:r>
              <w:rPr>
                <w:rFonts w:ascii="Arial" w:hAnsi="Arial" w:eastAsia="Arial"/>
                <w:b w:val="0"/>
                <w:sz w:val="15"/>
              </w:rPr>
              <w:t>Cumplimiento Ley 29733 datos personales</w:t>
            </w:r>
          </w:p>
        </w:tc>
        <w:tc>
          <w:tcPr>
            <w:tcW w:type="dxa" w:w="3600"/>
            <w:vAlign w:val="top"/>
            <w:shd w:fill="F9FBFD"/>
          </w:tcPr>
          <w:p>
            <w:pPr>
              <w:jc w:val="both"/>
            </w:pPr>
            <w:r/>
            <w:r>
              <w:rPr>
                <w:rFonts w:ascii="Arial" w:hAnsi="Arial" w:eastAsia="Arial"/>
                <w:b w:val="0"/>
                <w:sz w:val="15"/>
              </w:rPr>
              <w:t>Politica privacidad cookies consentimiento</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r>
        <w:tc>
          <w:tcPr>
            <w:tcW w:type="dxa" w:w="1008"/>
            <w:vAlign w:val="top"/>
            <w:shd w:fill="FFFFFF"/>
          </w:tcPr>
          <w:p>
            <w:pPr>
              <w:jc w:val="both"/>
            </w:pPr>
            <w:r/>
            <w:r>
              <w:rPr>
                <w:rFonts w:ascii="Arial" w:hAnsi="Arial" w:eastAsia="Arial"/>
                <w:b w:val="0"/>
                <w:sz w:val="15"/>
              </w:rPr>
              <w:t>VL-03</w:t>
            </w:r>
          </w:p>
        </w:tc>
        <w:tc>
          <w:tcPr>
            <w:tcW w:type="dxa" w:w="2592"/>
            <w:vAlign w:val="top"/>
            <w:shd w:fill="FFFFFF"/>
          </w:tcPr>
          <w:p>
            <w:pPr>
              <w:jc w:val="both"/>
            </w:pPr>
            <w:r/>
            <w:r>
              <w:rPr>
                <w:rFonts w:ascii="Arial" w:hAnsi="Arial" w:eastAsia="Arial"/>
                <w:b w:val="0"/>
                <w:sz w:val="15"/>
              </w:rPr>
              <w:t>Licencias software y dependencias OSS</w:t>
            </w:r>
          </w:p>
        </w:tc>
        <w:tc>
          <w:tcPr>
            <w:tcW w:type="dxa" w:w="3600"/>
            <w:vAlign w:val="top"/>
            <w:shd w:fill="FFFFFF"/>
          </w:tcPr>
          <w:p>
            <w:pPr>
              <w:jc w:val="both"/>
            </w:pPr>
            <w:r/>
            <w:r>
              <w:rPr>
                <w:rFonts w:ascii="Arial" w:hAnsi="Arial" w:eastAsia="Arial"/>
                <w:b w:val="0"/>
                <w:sz w:val="15"/>
              </w:rPr>
              <w:t>package.json requirements.txt sin conflictos GPL bloqueante</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VL-04</w:t>
            </w:r>
          </w:p>
        </w:tc>
        <w:tc>
          <w:tcPr>
            <w:tcW w:type="dxa" w:w="2592"/>
            <w:vAlign w:val="top"/>
            <w:shd w:fill="F9FBFD"/>
          </w:tcPr>
          <w:p>
            <w:pPr>
              <w:jc w:val="both"/>
            </w:pPr>
            <w:r/>
            <w:r>
              <w:rPr>
                <w:rFonts w:ascii="Arial" w:hAnsi="Arial" w:eastAsia="Arial"/>
                <w:b w:val="0"/>
                <w:sz w:val="15"/>
              </w:rPr>
              <w:t>Autorizacion uso datos empresa</w:t>
            </w:r>
          </w:p>
        </w:tc>
        <w:tc>
          <w:tcPr>
            <w:tcW w:type="dxa" w:w="3600"/>
            <w:vAlign w:val="top"/>
            <w:shd w:fill="F9FBFD"/>
          </w:tcPr>
          <w:p>
            <w:pPr>
              <w:jc w:val="both"/>
            </w:pPr>
            <w:r/>
            <w:r>
              <w:rPr>
                <w:rFonts w:ascii="Arial" w:hAnsi="Arial" w:eastAsia="Arial"/>
                <w:b w:val="0"/>
                <w:sz w:val="15"/>
              </w:rPr>
              <w:t>Carta aceptacion organizacion (tesis)</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VL-05</w:t>
            </w:r>
          </w:p>
        </w:tc>
        <w:tc>
          <w:tcPr>
            <w:tcW w:type="dxa" w:w="2592"/>
            <w:vAlign w:val="top"/>
            <w:shd w:fill="FFFFFF"/>
          </w:tcPr>
          <w:p>
            <w:pPr>
              <w:jc w:val="both"/>
            </w:pPr>
            <w:r/>
            <w:r>
              <w:rPr>
                <w:rFonts w:ascii="Arial" w:hAnsi="Arial" w:eastAsia="Arial"/>
                <w:b w:val="0"/>
                <w:sz w:val="15"/>
              </w:rPr>
              <w:t>Comercio electronico terminos condiciones</w:t>
            </w:r>
          </w:p>
        </w:tc>
        <w:tc>
          <w:tcPr>
            <w:tcW w:type="dxa" w:w="3600"/>
            <w:vAlign w:val="top"/>
            <w:shd w:fill="FFFFFF"/>
          </w:tcPr>
          <w:p>
            <w:pPr>
              <w:jc w:val="both"/>
            </w:pPr>
            <w:r/>
            <w:r>
              <w:rPr>
                <w:rFonts w:ascii="Arial" w:hAnsi="Arial" w:eastAsia="Arial"/>
                <w:b w:val="0"/>
                <w:sz w:val="15"/>
              </w:rPr>
              <w:t>RF-LEG-04 paginas legales checkout</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bl>
    <w:p>
      <w:pPr>
        <w:jc w:val="both"/>
      </w:pPr>
      <w:r>
        <w:rPr>
          <w:rFonts w:ascii="Arial" w:hAnsi="Arial"/>
          <w:i/>
          <w:sz w:val="16"/>
        </w:rPr>
        <w:t>Puntaje dimensión L — Legal / normativa: 4.85/5.00.</w:t>
      </w:r>
    </w:p>
    <w:p>
      <w:pPr>
        <w:spacing w:before="120" w:after="80"/>
      </w:pPr>
      <w:r>
        <w:rPr>
          <w:rFonts w:ascii="Arial" w:hAnsi="Arial"/>
          <w:b/>
          <w:sz w:val="22"/>
        </w:rPr>
        <w:t>3.4 O — Operativa / organizacional</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VO-01</w:t>
            </w:r>
          </w:p>
        </w:tc>
        <w:tc>
          <w:tcPr>
            <w:tcW w:type="dxa" w:w="2592"/>
            <w:vAlign w:val="top"/>
            <w:shd w:fill="FFFFFF"/>
          </w:tcPr>
          <w:p>
            <w:pPr>
              <w:jc w:val="both"/>
            </w:pPr>
            <w:r/>
            <w:r>
              <w:rPr>
                <w:rFonts w:ascii="Arial" w:hAnsi="Arial" w:eastAsia="Arial"/>
                <w:b w:val="0"/>
                <w:sz w:val="15"/>
              </w:rPr>
              <w:t>Alineacion procesos retail calzado</w:t>
            </w:r>
          </w:p>
        </w:tc>
        <w:tc>
          <w:tcPr>
            <w:tcW w:type="dxa" w:w="3600"/>
            <w:vAlign w:val="top"/>
            <w:shd w:fill="FFFFFF"/>
          </w:tcPr>
          <w:p>
            <w:pPr>
              <w:jc w:val="both"/>
            </w:pPr>
            <w:r/>
            <w:r>
              <w:rPr>
                <w:rFonts w:ascii="Arial" w:hAnsi="Arial" w:eastAsia="Arial"/>
                <w:b w:val="0"/>
                <w:sz w:val="15"/>
              </w:rPr>
              <w:t>Catalogo stock ventas pedidos unificados</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VO-02</w:t>
            </w:r>
          </w:p>
        </w:tc>
        <w:tc>
          <w:tcPr>
            <w:tcW w:type="dxa" w:w="2592"/>
            <w:vAlign w:val="top"/>
            <w:shd w:fill="F9FBFD"/>
          </w:tcPr>
          <w:p>
            <w:pPr>
              <w:jc w:val="both"/>
            </w:pPr>
            <w:r/>
            <w:r>
              <w:rPr>
                <w:rFonts w:ascii="Arial" w:hAnsi="Arial" w:eastAsia="Arial"/>
                <w:b w:val="0"/>
                <w:sz w:val="15"/>
              </w:rPr>
              <w:t>Facilidad operacion panel admin</w:t>
            </w:r>
          </w:p>
        </w:tc>
        <w:tc>
          <w:tcPr>
            <w:tcW w:type="dxa" w:w="3600"/>
            <w:vAlign w:val="top"/>
            <w:shd w:fill="F9FBFD"/>
          </w:tcPr>
          <w:p>
            <w:pPr>
              <w:jc w:val="both"/>
            </w:pPr>
            <w:r/>
            <w:r>
              <w:rPr>
                <w:rFonts w:ascii="Arial" w:hAnsi="Arial" w:eastAsia="Arial"/>
                <w:b w:val="0"/>
                <w:sz w:val="15"/>
              </w:rPr>
              <w:t>Dashboard admin workflows E2E</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VO-03</w:t>
            </w:r>
          </w:p>
        </w:tc>
        <w:tc>
          <w:tcPr>
            <w:tcW w:type="dxa" w:w="2592"/>
            <w:vAlign w:val="top"/>
            <w:shd w:fill="FFFFFF"/>
          </w:tcPr>
          <w:p>
            <w:pPr>
              <w:jc w:val="both"/>
            </w:pPr>
            <w:r/>
            <w:r>
              <w:rPr>
                <w:rFonts w:ascii="Arial" w:hAnsi="Arial" w:eastAsia="Arial"/>
                <w:b w:val="0"/>
                <w:sz w:val="15"/>
              </w:rPr>
              <w:t>Mantenibilidad post-implementacion</w:t>
            </w:r>
          </w:p>
        </w:tc>
        <w:tc>
          <w:tcPr>
            <w:tcW w:type="dxa" w:w="3600"/>
            <w:vAlign w:val="top"/>
            <w:shd w:fill="FFFFFF"/>
          </w:tcPr>
          <w:p>
            <w:pPr>
              <w:jc w:val="both"/>
            </w:pPr>
            <w:r/>
            <w:r>
              <w:rPr>
                <w:rFonts w:ascii="Arial" w:hAnsi="Arial" w:eastAsia="Arial"/>
                <w:b w:val="0"/>
                <w:sz w:val="15"/>
              </w:rPr>
              <w:t>CI SonarQube dominios desacoplados</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VO-04</w:t>
            </w:r>
          </w:p>
        </w:tc>
        <w:tc>
          <w:tcPr>
            <w:tcW w:type="dxa" w:w="2592"/>
            <w:vAlign w:val="top"/>
            <w:shd w:fill="F9FBFD"/>
          </w:tcPr>
          <w:p>
            <w:pPr>
              <w:jc w:val="both"/>
            </w:pPr>
            <w:r/>
            <w:r>
              <w:rPr>
                <w:rFonts w:ascii="Arial" w:hAnsi="Arial" w:eastAsia="Arial"/>
                <w:b w:val="0"/>
                <w:sz w:val="15"/>
              </w:rPr>
              <w:t>Usabilidad cliente e-commerce</w:t>
            </w:r>
          </w:p>
        </w:tc>
        <w:tc>
          <w:tcPr>
            <w:tcW w:type="dxa" w:w="3600"/>
            <w:vAlign w:val="top"/>
            <w:shd w:fill="F9FBFD"/>
          </w:tcPr>
          <w:p>
            <w:pPr>
              <w:jc w:val="both"/>
            </w:pPr>
            <w:r/>
            <w:r>
              <w:rPr>
                <w:rFonts w:ascii="Arial" w:hAnsi="Arial" w:eastAsia="Arial"/>
                <w:b w:val="0"/>
                <w:sz w:val="15"/>
              </w:rPr>
              <w:t>E2E responsive accesibilidad axe</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VO-05</w:t>
            </w:r>
          </w:p>
        </w:tc>
        <w:tc>
          <w:tcPr>
            <w:tcW w:type="dxa" w:w="2592"/>
            <w:vAlign w:val="top"/>
            <w:shd w:fill="FFFFFF"/>
          </w:tcPr>
          <w:p>
            <w:pPr>
              <w:jc w:val="both"/>
            </w:pPr>
            <w:r/>
            <w:r>
              <w:rPr>
                <w:rFonts w:ascii="Arial" w:hAnsi="Arial" w:eastAsia="Arial"/>
                <w:b w:val="0"/>
                <w:sz w:val="15"/>
              </w:rPr>
              <w:t>Capacitacion admin aceptable</w:t>
            </w:r>
          </w:p>
        </w:tc>
        <w:tc>
          <w:tcPr>
            <w:tcW w:type="dxa" w:w="3600"/>
            <w:vAlign w:val="top"/>
            <w:shd w:fill="FFFFFF"/>
          </w:tcPr>
          <w:p>
            <w:pPr>
              <w:jc w:val="both"/>
            </w:pPr>
            <w:r/>
            <w:r>
              <w:rPr>
                <w:rFonts w:ascii="Arial" w:hAnsi="Arial" w:eastAsia="Arial"/>
                <w:b w:val="0"/>
                <w:sz w:val="15"/>
              </w:rPr>
              <w:t>UI espanol flujos guiados; complejidad IRE documentada</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r>
        <w:tc>
          <w:tcPr>
            <w:tcW w:type="dxa" w:w="1008"/>
            <w:vAlign w:val="top"/>
            <w:shd w:fill="F9FBFD"/>
          </w:tcPr>
          <w:p>
            <w:pPr>
              <w:jc w:val="both"/>
            </w:pPr>
            <w:r/>
            <w:r>
              <w:rPr>
                <w:rFonts w:ascii="Arial" w:hAnsi="Arial" w:eastAsia="Arial"/>
                <w:b w:val="0"/>
                <w:sz w:val="15"/>
              </w:rPr>
              <w:t>VO-06</w:t>
            </w:r>
          </w:p>
        </w:tc>
        <w:tc>
          <w:tcPr>
            <w:tcW w:type="dxa" w:w="2592"/>
            <w:vAlign w:val="top"/>
            <w:shd w:fill="F9FBFD"/>
          </w:tcPr>
          <w:p>
            <w:pPr>
              <w:jc w:val="both"/>
            </w:pPr>
            <w:r/>
            <w:r>
              <w:rPr>
                <w:rFonts w:ascii="Arial" w:hAnsi="Arial" w:eastAsia="Arial"/>
                <w:b w:val="0"/>
                <w:sz w:val="15"/>
              </w:rPr>
              <w:t>Continuidad operativa cloud</w:t>
            </w:r>
          </w:p>
        </w:tc>
        <w:tc>
          <w:tcPr>
            <w:tcW w:type="dxa" w:w="3600"/>
            <w:vAlign w:val="top"/>
            <w:shd w:fill="F9FBFD"/>
          </w:tcPr>
          <w:p>
            <w:pPr>
              <w:jc w:val="both"/>
            </w:pPr>
            <w:r/>
            <w:r>
              <w:rPr>
                <w:rFonts w:ascii="Arial" w:hAnsi="Arial" w:eastAsia="Arial"/>
                <w:b w:val="0"/>
                <w:sz w:val="15"/>
              </w:rPr>
              <w:t>Runbook DR backups PITR Supabase</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bl>
    <w:p>
      <w:pPr>
        <w:jc w:val="both"/>
      </w:pPr>
      <w:r>
        <w:rPr>
          <w:rFonts w:ascii="Arial" w:hAnsi="Arial"/>
          <w:i/>
          <w:sz w:val="16"/>
        </w:rPr>
        <w:t>Puntaje dimensión O — Operativa / organizacional: 4.33/5.00.</w:t>
      </w:r>
    </w:p>
    <w:p>
      <w:pPr>
        <w:spacing w:before="120" w:after="80"/>
      </w:pPr>
      <w:r>
        <w:rPr>
          <w:rFonts w:ascii="Arial" w:hAnsi="Arial"/>
          <w:b/>
          <w:sz w:val="22"/>
        </w:rPr>
        <w:t>3.5 S — Temporal (Schedule)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VTM-01</w:t>
            </w:r>
          </w:p>
        </w:tc>
        <w:tc>
          <w:tcPr>
            <w:tcW w:type="dxa" w:w="2592"/>
            <w:vAlign w:val="top"/>
            <w:shd w:fill="FFFFFF"/>
          </w:tcPr>
          <w:p>
            <w:pPr>
              <w:jc w:val="both"/>
            </w:pPr>
            <w:r/>
            <w:r>
              <w:rPr>
                <w:rFonts w:ascii="Arial" w:hAnsi="Arial" w:eastAsia="Arial"/>
                <w:b w:val="0"/>
                <w:sz w:val="15"/>
              </w:rPr>
              <w:t>Cronograma tesis ejecutable</w:t>
            </w:r>
          </w:p>
        </w:tc>
        <w:tc>
          <w:tcPr>
            <w:tcW w:type="dxa" w:w="3600"/>
            <w:vAlign w:val="top"/>
            <w:shd w:fill="FFFFFF"/>
          </w:tcPr>
          <w:p>
            <w:pPr>
              <w:jc w:val="both"/>
            </w:pPr>
            <w:r/>
            <w:r>
              <w:rPr>
                <w:rFonts w:ascii="Arial" w:hAnsi="Arial" w:eastAsia="Arial"/>
                <w:b w:val="0"/>
                <w:sz w:val="15"/>
              </w:rPr>
              <w:t>CU-T03 hitos alineados fases ISO 12207</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r>
        <w:tc>
          <w:tcPr>
            <w:tcW w:type="dxa" w:w="1008"/>
            <w:vAlign w:val="top"/>
            <w:shd w:fill="F9FBFD"/>
          </w:tcPr>
          <w:p>
            <w:pPr>
              <w:jc w:val="both"/>
            </w:pPr>
            <w:r/>
            <w:r>
              <w:rPr>
                <w:rFonts w:ascii="Arial" w:hAnsi="Arial" w:eastAsia="Arial"/>
                <w:b w:val="0"/>
                <w:sz w:val="15"/>
              </w:rPr>
              <w:t>VTM-02</w:t>
            </w:r>
          </w:p>
        </w:tc>
        <w:tc>
          <w:tcPr>
            <w:tcW w:type="dxa" w:w="2592"/>
            <w:vAlign w:val="top"/>
            <w:shd w:fill="F9FBFD"/>
          </w:tcPr>
          <w:p>
            <w:pPr>
              <w:jc w:val="both"/>
            </w:pPr>
            <w:r/>
            <w:r>
              <w:rPr>
                <w:rFonts w:ascii="Arial" w:hAnsi="Arial" w:eastAsia="Arial"/>
                <w:b w:val="0"/>
                <w:sz w:val="15"/>
              </w:rPr>
              <w:t>Metodologia iterativa entregas parciales</w:t>
            </w:r>
          </w:p>
        </w:tc>
        <w:tc>
          <w:tcPr>
            <w:tcW w:type="dxa" w:w="3600"/>
            <w:vAlign w:val="top"/>
            <w:shd w:fill="F9FBFD"/>
          </w:tcPr>
          <w:p>
            <w:pPr>
              <w:jc w:val="both"/>
            </w:pPr>
            <w:r/>
            <w:r>
              <w:rPr>
                <w:rFonts w:ascii="Arial" w:hAnsi="Arial" w:eastAsia="Arial"/>
                <w:b w:val="0"/>
                <w:sz w:val="15"/>
              </w:rPr>
              <w:t>CI/CD + entregas quincenales asesor</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r>
        <w:tc>
          <w:tcPr>
            <w:tcW w:type="dxa" w:w="1008"/>
            <w:vAlign w:val="top"/>
            <w:shd w:fill="FFFFFF"/>
          </w:tcPr>
          <w:p>
            <w:pPr>
              <w:jc w:val="both"/>
            </w:pPr>
            <w:r/>
            <w:r>
              <w:rPr>
                <w:rFonts w:ascii="Arial" w:hAnsi="Arial" w:eastAsia="Arial"/>
                <w:b w:val="0"/>
                <w:sz w:val="15"/>
              </w:rPr>
              <w:t>VTM-03</w:t>
            </w:r>
          </w:p>
        </w:tc>
        <w:tc>
          <w:tcPr>
            <w:tcW w:type="dxa" w:w="2592"/>
            <w:vAlign w:val="top"/>
            <w:shd w:fill="FFFFFF"/>
          </w:tcPr>
          <w:p>
            <w:pPr>
              <w:jc w:val="both"/>
            </w:pPr>
            <w:r/>
            <w:r>
              <w:rPr>
                <w:rFonts w:ascii="Arial" w:hAnsi="Arial" w:eastAsia="Arial"/>
                <w:b w:val="0"/>
                <w:sz w:val="15"/>
              </w:rPr>
              <w:t>Plazo desarrollo modulo IA realista</w:t>
            </w:r>
          </w:p>
        </w:tc>
        <w:tc>
          <w:tcPr>
            <w:tcW w:type="dxa" w:w="3600"/>
            <w:vAlign w:val="top"/>
            <w:shd w:fill="FFFFFF"/>
          </w:tcPr>
          <w:p>
            <w:pPr>
              <w:jc w:val="both"/>
            </w:pPr>
            <w:r/>
            <w:r>
              <w:rPr>
                <w:rFonts w:ascii="Arial" w:hAnsi="Arial" w:eastAsia="Arial"/>
                <w:b w:val="0"/>
                <w:sz w:val="15"/>
              </w:rPr>
              <w:t>RF-IA Must implementados; backtest gate</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r>
        <w:tc>
          <w:tcPr>
            <w:tcW w:type="dxa" w:w="1008"/>
            <w:vAlign w:val="top"/>
            <w:shd w:fill="F9FBFD"/>
          </w:tcPr>
          <w:p>
            <w:pPr>
              <w:jc w:val="both"/>
            </w:pPr>
            <w:r/>
            <w:r>
              <w:rPr>
                <w:rFonts w:ascii="Arial" w:hAnsi="Arial" w:eastAsia="Arial"/>
                <w:b w:val="0"/>
                <w:sz w:val="15"/>
              </w:rPr>
              <w:t>VTM-04</w:t>
            </w:r>
          </w:p>
        </w:tc>
        <w:tc>
          <w:tcPr>
            <w:tcW w:type="dxa" w:w="2592"/>
            <w:vAlign w:val="top"/>
            <w:shd w:fill="F9FBFD"/>
          </w:tcPr>
          <w:p>
            <w:pPr>
              <w:jc w:val="both"/>
            </w:pPr>
            <w:r/>
            <w:r>
              <w:rPr>
                <w:rFonts w:ascii="Arial" w:hAnsi="Arial" w:eastAsia="Arial"/>
                <w:b w:val="0"/>
                <w:sz w:val="15"/>
              </w:rPr>
              <w:t>Reduccion tiempo pruebas automatizadas</w:t>
            </w:r>
          </w:p>
        </w:tc>
        <w:tc>
          <w:tcPr>
            <w:tcW w:type="dxa" w:w="3600"/>
            <w:vAlign w:val="top"/>
            <w:shd w:fill="F9FBFD"/>
          </w:tcPr>
          <w:p>
            <w:pPr>
              <w:jc w:val="both"/>
            </w:pPr>
            <w:r/>
            <w:r>
              <w:rPr>
                <w:rFonts w:ascii="Arial" w:hAnsi="Arial" w:eastAsia="Arial"/>
                <w:b w:val="0"/>
                <w:sz w:val="15"/>
              </w:rPr>
              <w:t>Vitest Playwright k6 en pipeline</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bl>
    <w:p>
      <w:pPr>
        <w:jc w:val="both"/>
      </w:pPr>
      <w:r>
        <w:rPr>
          <w:rFonts w:ascii="Arial" w:hAnsi="Arial"/>
          <w:i/>
          <w:sz w:val="16"/>
        </w:rPr>
        <w:t>Puntaje dimensión S — Temporal (Schedule): 4.50/5.00.</w:t>
      </w:r>
    </w:p>
    <w:p>
      <w:pPr>
        <w:spacing w:before="120" w:after="80"/>
      </w:pPr>
      <w:r>
        <w:rPr>
          <w:rFonts w:ascii="Arial" w:hAnsi="Arial"/>
          <w:b/>
          <w:sz w:val="22"/>
        </w:rPr>
        <w:t>3.6 Es — Estratégica / mercado</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VEs-01</w:t>
            </w:r>
          </w:p>
        </w:tc>
        <w:tc>
          <w:tcPr>
            <w:tcW w:type="dxa" w:w="2592"/>
            <w:vAlign w:val="top"/>
            <w:shd w:fill="FFFFFF"/>
          </w:tcPr>
          <w:p>
            <w:pPr>
              <w:jc w:val="both"/>
            </w:pPr>
            <w:r/>
            <w:r>
              <w:rPr>
                <w:rFonts w:ascii="Arial" w:hAnsi="Arial" w:eastAsia="Arial"/>
                <w:b w:val="0"/>
                <w:sz w:val="15"/>
              </w:rPr>
              <w:t>Encaje transformacion digital PYME</w:t>
            </w:r>
          </w:p>
        </w:tc>
        <w:tc>
          <w:tcPr>
            <w:tcW w:type="dxa" w:w="3600"/>
            <w:vAlign w:val="top"/>
            <w:shd w:fill="FFFFFF"/>
          </w:tcPr>
          <w:p>
            <w:pPr>
              <w:jc w:val="both"/>
            </w:pPr>
            <w:r/>
            <w:r>
              <w:rPr>
                <w:rFonts w:ascii="Arial" w:hAnsi="Arial" w:eastAsia="Arial"/>
                <w:b w:val="0"/>
                <w:sz w:val="15"/>
              </w:rPr>
              <w:t>Calzatura Vilchez caso real Huancayo</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VEs-02</w:t>
            </w:r>
          </w:p>
        </w:tc>
        <w:tc>
          <w:tcPr>
            <w:tcW w:type="dxa" w:w="2592"/>
            <w:vAlign w:val="top"/>
            <w:shd w:fill="F9FBFD"/>
          </w:tcPr>
          <w:p>
            <w:pPr>
              <w:jc w:val="both"/>
            </w:pPr>
            <w:r/>
            <w:r>
              <w:rPr>
                <w:rFonts w:ascii="Arial" w:hAnsi="Arial" w:eastAsia="Arial"/>
                <w:b w:val="0"/>
                <w:sz w:val="15"/>
              </w:rPr>
              <w:t>Ventaja competitiva e-commerce+IA</w:t>
            </w:r>
          </w:p>
        </w:tc>
        <w:tc>
          <w:tcPr>
            <w:tcW w:type="dxa" w:w="3600"/>
            <w:vAlign w:val="top"/>
            <w:shd w:fill="F9FBFD"/>
          </w:tcPr>
          <w:p>
            <w:pPr>
              <w:jc w:val="both"/>
            </w:pPr>
            <w:r/>
            <w:r>
              <w:rPr>
                <w:rFonts w:ascii="Arial" w:hAnsi="Arial" w:eastAsia="Arial"/>
                <w:b w:val="0"/>
                <w:sz w:val="15"/>
              </w:rPr>
              <w:t>Diferenciador IRE vs competencia local</w:t>
            </w:r>
          </w:p>
        </w:tc>
        <w:tc>
          <w:tcPr>
            <w:tcW w:type="dxa" w:w="720"/>
            <w:vAlign w:val="top"/>
            <w:shd w:fill="F9FBFD"/>
          </w:tcPr>
          <w:p>
            <w:pPr>
              <w:jc w:val="both"/>
            </w:pPr>
            <w:r/>
            <w:r>
              <w:rPr>
                <w:rFonts w:ascii="Arial" w:hAnsi="Arial" w:eastAsia="Arial"/>
                <w:b w:val="0"/>
                <w:sz w:val="15"/>
              </w:rPr>
              <w:t>5</w:t>
            </w:r>
          </w:p>
        </w:tc>
        <w:tc>
          <w:tcPr>
            <w:tcW w:type="dxa" w:w="1440"/>
            <w:vAlign w:val="top"/>
            <w:shd w:fill="F9FBFD"/>
          </w:tcPr>
          <w:p>
            <w:pPr>
              <w:jc w:val="both"/>
            </w:pPr>
            <w:r/>
            <w:r>
              <w:rPr>
                <w:rFonts w:ascii="Arial" w:hAnsi="Arial" w:eastAsia="Arial"/>
                <w:b w:val="0"/>
                <w:sz w:val="15"/>
              </w:rPr>
              <w:t>Alta viabilidad</w:t>
            </w:r>
          </w:p>
        </w:tc>
      </w:tr>
      <w:tr>
        <w:tc>
          <w:tcPr>
            <w:tcW w:type="dxa" w:w="1008"/>
            <w:vAlign w:val="top"/>
            <w:shd w:fill="FFFFFF"/>
          </w:tcPr>
          <w:p>
            <w:pPr>
              <w:jc w:val="both"/>
            </w:pPr>
            <w:r/>
            <w:r>
              <w:rPr>
                <w:rFonts w:ascii="Arial" w:hAnsi="Arial" w:eastAsia="Arial"/>
                <w:b w:val="0"/>
                <w:sz w:val="15"/>
              </w:rPr>
              <w:t>VEs-03</w:t>
            </w:r>
          </w:p>
        </w:tc>
        <w:tc>
          <w:tcPr>
            <w:tcW w:type="dxa" w:w="2592"/>
            <w:vAlign w:val="top"/>
            <w:shd w:fill="FFFFFF"/>
          </w:tcPr>
          <w:p>
            <w:pPr>
              <w:jc w:val="both"/>
            </w:pPr>
            <w:r/>
            <w:r>
              <w:rPr>
                <w:rFonts w:ascii="Arial" w:hAnsi="Arial" w:eastAsia="Arial"/>
                <w:b w:val="0"/>
                <w:sz w:val="15"/>
              </w:rPr>
              <w:t>Marketing digital canal online</w:t>
            </w:r>
          </w:p>
        </w:tc>
        <w:tc>
          <w:tcPr>
            <w:tcW w:type="dxa" w:w="3600"/>
            <w:vAlign w:val="top"/>
            <w:shd w:fill="FFFFFF"/>
          </w:tcPr>
          <w:p>
            <w:pPr>
              <w:jc w:val="both"/>
            </w:pPr>
            <w:r/>
            <w:r>
              <w:rPr>
                <w:rFonts w:ascii="Arial" w:hAnsi="Arial" w:eastAsia="Arial"/>
                <w:b w:val="0"/>
                <w:sz w:val="15"/>
              </w:rPr>
              <w:t>KPIs conversion catalogo campanas</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r>
        <w:tc>
          <w:tcPr>
            <w:tcW w:type="dxa" w:w="1008"/>
            <w:vAlign w:val="top"/>
            <w:shd w:fill="F9FBFD"/>
          </w:tcPr>
          <w:p>
            <w:pPr>
              <w:jc w:val="both"/>
            </w:pPr>
            <w:r/>
            <w:r>
              <w:rPr>
                <w:rFonts w:ascii="Arial" w:hAnsi="Arial" w:eastAsia="Arial"/>
                <w:b w:val="0"/>
                <w:sz w:val="15"/>
              </w:rPr>
              <w:t>VEs-04</w:t>
            </w:r>
          </w:p>
        </w:tc>
        <w:tc>
          <w:tcPr>
            <w:tcW w:type="dxa" w:w="2592"/>
            <w:vAlign w:val="top"/>
            <w:shd w:fill="F9FBFD"/>
          </w:tcPr>
          <w:p>
            <w:pPr>
              <w:jc w:val="both"/>
            </w:pPr>
            <w:r/>
            <w:r>
              <w:rPr>
                <w:rFonts w:ascii="Arial" w:hAnsi="Arial" w:eastAsia="Arial"/>
                <w:b w:val="0"/>
                <w:sz w:val="15"/>
              </w:rPr>
              <w:t>Alineacion decisiones organizacionales IA</w:t>
            </w:r>
          </w:p>
        </w:tc>
        <w:tc>
          <w:tcPr>
            <w:tcW w:type="dxa" w:w="3600"/>
            <w:vAlign w:val="top"/>
            <w:shd w:fill="F9FBFD"/>
          </w:tcPr>
          <w:p>
            <w:pPr>
              <w:jc w:val="both"/>
            </w:pPr>
            <w:r/>
            <w:r>
              <w:rPr>
                <w:rFonts w:ascii="Arial" w:hAnsi="Arial" w:eastAsia="Arial"/>
                <w:b w:val="0"/>
                <w:sz w:val="15"/>
              </w:rPr>
              <w:t>Panel predicciones para direccion</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VEs-05</w:t>
            </w:r>
          </w:p>
        </w:tc>
        <w:tc>
          <w:tcPr>
            <w:tcW w:type="dxa" w:w="2592"/>
            <w:vAlign w:val="top"/>
            <w:shd w:fill="FFFFFF"/>
          </w:tcPr>
          <w:p>
            <w:pPr>
              <w:jc w:val="both"/>
            </w:pPr>
            <w:r/>
            <w:r>
              <w:rPr>
                <w:rFonts w:ascii="Arial" w:hAnsi="Arial" w:eastAsia="Arial"/>
                <w:b w:val="0"/>
                <w:sz w:val="15"/>
              </w:rPr>
              <w:t>Escalabilidad crecimiento omnicanal</w:t>
            </w:r>
          </w:p>
        </w:tc>
        <w:tc>
          <w:tcPr>
            <w:tcW w:type="dxa" w:w="3600"/>
            <w:vAlign w:val="top"/>
            <w:shd w:fill="FFFFFF"/>
          </w:tcPr>
          <w:p>
            <w:pPr>
              <w:jc w:val="both"/>
            </w:pPr>
            <w:r/>
            <w:r>
              <w:rPr>
                <w:rFonts w:ascii="Arial" w:hAnsi="Arial" w:eastAsia="Arial"/>
                <w:b w:val="0"/>
                <w:sz w:val="15"/>
              </w:rPr>
              <w:t>Web + Flutter; arquitectura microservicios</w:t>
            </w:r>
          </w:p>
        </w:tc>
        <w:tc>
          <w:tcPr>
            <w:tcW w:type="dxa" w:w="720"/>
            <w:vAlign w:val="top"/>
            <w:shd w:fill="FFFFFF"/>
          </w:tcPr>
          <w:p>
            <w:pPr>
              <w:jc w:val="both"/>
            </w:pPr>
            <w:r/>
            <w:r>
              <w:rPr>
                <w:rFonts w:ascii="Arial" w:hAnsi="Arial" w:eastAsia="Arial"/>
                <w:b w:val="0"/>
                <w:sz w:val="15"/>
              </w:rPr>
              <w:t>4</w:t>
            </w:r>
          </w:p>
        </w:tc>
        <w:tc>
          <w:tcPr>
            <w:tcW w:type="dxa" w:w="1440"/>
            <w:vAlign w:val="top"/>
            <w:shd w:fill="FFFFFF"/>
          </w:tcPr>
          <w:p>
            <w:pPr>
              <w:jc w:val="both"/>
            </w:pPr>
            <w:r/>
            <w:r>
              <w:rPr>
                <w:rFonts w:ascii="Arial" w:hAnsi="Arial" w:eastAsia="Arial"/>
                <w:b w:val="0"/>
                <w:sz w:val="15"/>
              </w:rPr>
              <w:t>Viable</w:t>
            </w:r>
          </w:p>
        </w:tc>
      </w:tr>
    </w:tbl>
    <w:p>
      <w:pPr>
        <w:jc w:val="both"/>
      </w:pPr>
      <w:r>
        <w:rPr>
          <w:rFonts w:ascii="Arial" w:hAnsi="Arial"/>
          <w:i/>
          <w:sz w:val="16"/>
        </w:rPr>
        <w:t>Puntaje dimensión Es — Estratégica / mercado: 4.50/5.00.</w:t>
      </w:r>
    </w:p>
    <w:p>
      <w:pPr>
        <w:spacing w:before="120" w:after="80"/>
      </w:pPr>
      <w:r>
        <w:rPr>
          <w:rFonts w:ascii="Arial" w:hAnsi="Arial"/>
          <w:b/>
          <w:sz w:val="22"/>
        </w:rPr>
        <w:t>3.7 C — Científica / investigación</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vAlign w:val="top"/>
            <w:shd w:fill="D9EAF7"/>
          </w:tcPr>
          <w:p>
            <w:pPr>
              <w:jc w:val="both"/>
            </w:pPr>
            <w:r/>
            <w:r>
              <w:rPr>
                <w:rFonts w:ascii="Arial" w:hAnsi="Arial" w:eastAsia="Arial"/>
                <w:b/>
                <w:sz w:val="16"/>
              </w:rPr>
              <w:t>ID</w:t>
            </w:r>
          </w:p>
        </w:tc>
        <w:tc>
          <w:tcPr>
            <w:tcW w:type="dxa" w:w="2592"/>
            <w:vAlign w:val="top"/>
            <w:shd w:fill="D9EAF7"/>
          </w:tcPr>
          <w:p>
            <w:pPr>
              <w:jc w:val="both"/>
            </w:pPr>
            <w:r/>
            <w:r>
              <w:rPr>
                <w:rFonts w:ascii="Arial" w:hAnsi="Arial" w:eastAsia="Arial"/>
                <w:b/>
                <w:sz w:val="16"/>
              </w:rPr>
              <w:t>Criterio</w:t>
            </w:r>
          </w:p>
        </w:tc>
        <w:tc>
          <w:tcPr>
            <w:tcW w:type="dxa" w:w="3600"/>
            <w:vAlign w:val="top"/>
            <w:shd w:fill="D9EAF7"/>
          </w:tcPr>
          <w:p>
            <w:pPr>
              <w:jc w:val="both"/>
            </w:pPr>
            <w:r/>
            <w:r>
              <w:rPr>
                <w:rFonts w:ascii="Arial" w:hAnsi="Arial" w:eastAsia="Arial"/>
                <w:b/>
                <w:sz w:val="16"/>
              </w:rPr>
              <w:t>Indicador</w:t>
            </w:r>
          </w:p>
        </w:tc>
        <w:tc>
          <w:tcPr>
            <w:tcW w:type="dxa" w:w="720"/>
            <w:vAlign w:val="top"/>
            <w:shd w:fill="D9EAF7"/>
          </w:tcPr>
          <w:p>
            <w:pPr>
              <w:jc w:val="both"/>
            </w:pPr>
            <w:r/>
            <w:r>
              <w:rPr>
                <w:rFonts w:ascii="Arial" w:hAnsi="Arial" w:eastAsia="Arial"/>
                <w:b/>
                <w:sz w:val="16"/>
              </w:rPr>
              <w:t>Pts</w:t>
            </w:r>
          </w:p>
        </w:tc>
        <w:tc>
          <w:tcPr>
            <w:tcW w:type="dxa" w:w="1440"/>
            <w:vAlign w:val="top"/>
            <w:shd w:fill="D9EAF7"/>
          </w:tcPr>
          <w:p>
            <w:pPr>
              <w:jc w:val="both"/>
            </w:pPr>
            <w:r/>
            <w:r>
              <w:rPr>
                <w:rFonts w:ascii="Arial" w:hAnsi="Arial" w:eastAsia="Arial"/>
                <w:b/>
                <w:sz w:val="16"/>
              </w:rPr>
              <w:t>Veredicto</w:t>
            </w:r>
          </w:p>
        </w:tc>
      </w:tr>
      <w:tr>
        <w:tc>
          <w:tcPr>
            <w:tcW w:type="dxa" w:w="1008"/>
            <w:vAlign w:val="top"/>
            <w:shd w:fill="FFFFFF"/>
          </w:tcPr>
          <w:p>
            <w:pPr>
              <w:jc w:val="both"/>
            </w:pPr>
            <w:r/>
            <w:r>
              <w:rPr>
                <w:rFonts w:ascii="Arial" w:hAnsi="Arial" w:eastAsia="Arial"/>
                <w:b w:val="0"/>
                <w:sz w:val="15"/>
              </w:rPr>
              <w:t>VC-01</w:t>
            </w:r>
          </w:p>
        </w:tc>
        <w:tc>
          <w:tcPr>
            <w:tcW w:type="dxa" w:w="2592"/>
            <w:vAlign w:val="top"/>
            <w:shd w:fill="FFFFFF"/>
          </w:tcPr>
          <w:p>
            <w:pPr>
              <w:jc w:val="both"/>
            </w:pPr>
            <w:r/>
            <w:r>
              <w:rPr>
                <w:rFonts w:ascii="Arial" w:hAnsi="Arial" w:eastAsia="Arial"/>
                <w:b w:val="0"/>
                <w:sz w:val="15"/>
              </w:rPr>
              <w:t>Respaldo estado del arte Q1 verificado</w:t>
            </w:r>
          </w:p>
        </w:tc>
        <w:tc>
          <w:tcPr>
            <w:tcW w:type="dxa" w:w="3600"/>
            <w:vAlign w:val="top"/>
            <w:shd w:fill="FFFFFF"/>
          </w:tcPr>
          <w:p>
            <w:pPr>
              <w:jc w:val="both"/>
            </w:pPr>
            <w:r/>
            <w:r>
              <w:rPr>
                <w:rFonts w:ascii="Arial" w:hAnsi="Arial" w:eastAsia="Arial"/>
                <w:b w:val="0"/>
                <w:sz w:val="15"/>
              </w:rPr>
              <w:t>43 articulos DOI verificados + complementos 44-48</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r>
        <w:tc>
          <w:tcPr>
            <w:tcW w:type="dxa" w:w="1008"/>
            <w:vAlign w:val="top"/>
            <w:shd w:fill="F9FBFD"/>
          </w:tcPr>
          <w:p>
            <w:pPr>
              <w:jc w:val="both"/>
            </w:pPr>
            <w:r/>
            <w:r>
              <w:rPr>
                <w:rFonts w:ascii="Arial" w:hAnsi="Arial" w:eastAsia="Arial"/>
                <w:b w:val="0"/>
                <w:sz w:val="15"/>
              </w:rPr>
              <w:t>VC-02</w:t>
            </w:r>
          </w:p>
        </w:tc>
        <w:tc>
          <w:tcPr>
            <w:tcW w:type="dxa" w:w="2592"/>
            <w:vAlign w:val="top"/>
            <w:shd w:fill="F9FBFD"/>
          </w:tcPr>
          <w:p>
            <w:pPr>
              <w:jc w:val="both"/>
            </w:pPr>
            <w:r/>
            <w:r>
              <w:rPr>
                <w:rFonts w:ascii="Arial" w:hAnsi="Arial" w:eastAsia="Arial"/>
                <w:b w:val="0"/>
                <w:sz w:val="15"/>
              </w:rPr>
              <w:t>Contribucion original IRE comercial-operativo</w:t>
            </w:r>
          </w:p>
        </w:tc>
        <w:tc>
          <w:tcPr>
            <w:tcW w:type="dxa" w:w="3600"/>
            <w:vAlign w:val="top"/>
            <w:shd w:fill="F9FBFD"/>
          </w:tcPr>
          <w:p>
            <w:pPr>
              <w:jc w:val="both"/>
            </w:pPr>
            <w:r/>
            <w:r>
              <w:rPr>
                <w:rFonts w:ascii="Arial" w:hAnsi="Arial" w:eastAsia="Arial"/>
                <w:b w:val="0"/>
                <w:sz w:val="15"/>
              </w:rPr>
              <w:t>Formula IRE 40/35/25 acotada vs quiebra Altman</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VC-03</w:t>
            </w:r>
          </w:p>
        </w:tc>
        <w:tc>
          <w:tcPr>
            <w:tcW w:type="dxa" w:w="2592"/>
            <w:vAlign w:val="top"/>
            <w:shd w:fill="FFFFFF"/>
          </w:tcPr>
          <w:p>
            <w:pPr>
              <w:jc w:val="both"/>
            </w:pPr>
            <w:r/>
            <w:r>
              <w:rPr>
                <w:rFonts w:ascii="Arial" w:hAnsi="Arial" w:eastAsia="Arial"/>
                <w:b w:val="0"/>
                <w:sz w:val="15"/>
              </w:rPr>
              <w:t>Metodologia investigacion mixta coherente</w:t>
            </w:r>
          </w:p>
        </w:tc>
        <w:tc>
          <w:tcPr>
            <w:tcW w:type="dxa" w:w="3600"/>
            <w:vAlign w:val="top"/>
            <w:shd w:fill="FFFFFF"/>
          </w:tcPr>
          <w:p>
            <w:pPr>
              <w:jc w:val="both"/>
            </w:pPr>
            <w:r/>
            <w:r>
              <w:rPr>
                <w:rFonts w:ascii="Arial" w:hAnsi="Arial" w:eastAsia="Arial"/>
                <w:b w:val="0"/>
                <w:sz w:val="15"/>
              </w:rPr>
              <w:t>CU-T09 matriz consistencia pre-post</w:t>
            </w:r>
          </w:p>
        </w:tc>
        <w:tc>
          <w:tcPr>
            <w:tcW w:type="dxa" w:w="720"/>
            <w:vAlign w:val="top"/>
            <w:shd w:fill="FFFFFF"/>
          </w:tcPr>
          <w:p>
            <w:pPr>
              <w:jc w:val="both"/>
            </w:pPr>
            <w:r/>
            <w:r>
              <w:rPr>
                <w:rFonts w:ascii="Arial" w:hAnsi="Arial" w:eastAsia="Arial"/>
                <w:b w:val="0"/>
                <w:sz w:val="15"/>
              </w:rPr>
              <w:t>3</w:t>
            </w:r>
          </w:p>
        </w:tc>
        <w:tc>
          <w:tcPr>
            <w:tcW w:type="dxa" w:w="1440"/>
            <w:vAlign w:val="top"/>
            <w:shd w:fill="FFFFFF"/>
          </w:tcPr>
          <w:p>
            <w:pPr>
              <w:jc w:val="both"/>
            </w:pPr>
            <w:r/>
            <w:r>
              <w:rPr>
                <w:rFonts w:ascii="Arial" w:hAnsi="Arial" w:eastAsia="Arial"/>
                <w:b w:val="0"/>
                <w:sz w:val="15"/>
              </w:rPr>
              <w:t>Viable con reserva</w:t>
            </w:r>
          </w:p>
        </w:tc>
      </w:tr>
      <w:tr>
        <w:tc>
          <w:tcPr>
            <w:tcW w:type="dxa" w:w="1008"/>
            <w:vAlign w:val="top"/>
            <w:shd w:fill="F9FBFD"/>
          </w:tcPr>
          <w:p>
            <w:pPr>
              <w:jc w:val="both"/>
            </w:pPr>
            <w:r/>
            <w:r>
              <w:rPr>
                <w:rFonts w:ascii="Arial" w:hAnsi="Arial" w:eastAsia="Arial"/>
                <w:b w:val="0"/>
                <w:sz w:val="15"/>
              </w:rPr>
              <w:t>VC-04</w:t>
            </w:r>
          </w:p>
        </w:tc>
        <w:tc>
          <w:tcPr>
            <w:tcW w:type="dxa" w:w="2592"/>
            <w:vAlign w:val="top"/>
            <w:shd w:fill="F9FBFD"/>
          </w:tcPr>
          <w:p>
            <w:pPr>
              <w:jc w:val="both"/>
            </w:pPr>
            <w:r/>
            <w:r>
              <w:rPr>
                <w:rFonts w:ascii="Arial" w:hAnsi="Arial" w:eastAsia="Arial"/>
                <w:b w:val="0"/>
                <w:sz w:val="15"/>
              </w:rPr>
              <w:t>Validacion modelo forecasting</w:t>
            </w:r>
          </w:p>
        </w:tc>
        <w:tc>
          <w:tcPr>
            <w:tcW w:type="dxa" w:w="3600"/>
            <w:vAlign w:val="top"/>
            <w:shd w:fill="F9FBFD"/>
          </w:tcPr>
          <w:p>
            <w:pPr>
              <w:jc w:val="both"/>
            </w:pPr>
            <w:r/>
            <w:r>
              <w:rPr>
                <w:rFonts w:ascii="Arial" w:hAnsi="Arial" w:eastAsia="Arial"/>
                <w:b w:val="0"/>
                <w:sz w:val="15"/>
              </w:rPr>
              <w:t>MAE RMSE backtest vs baseline</w:t>
            </w:r>
          </w:p>
        </w:tc>
        <w:tc>
          <w:tcPr>
            <w:tcW w:type="dxa" w:w="720"/>
            <w:vAlign w:val="top"/>
            <w:shd w:fill="F9FBFD"/>
          </w:tcPr>
          <w:p>
            <w:pPr>
              <w:jc w:val="both"/>
            </w:pPr>
            <w:r/>
            <w:r>
              <w:rPr>
                <w:rFonts w:ascii="Arial" w:hAnsi="Arial" w:eastAsia="Arial"/>
                <w:b w:val="0"/>
                <w:sz w:val="15"/>
              </w:rPr>
              <w:t>4</w:t>
            </w:r>
          </w:p>
        </w:tc>
        <w:tc>
          <w:tcPr>
            <w:tcW w:type="dxa" w:w="1440"/>
            <w:vAlign w:val="top"/>
            <w:shd w:fill="F9FBFD"/>
          </w:tcPr>
          <w:p>
            <w:pPr>
              <w:jc w:val="both"/>
            </w:pPr>
            <w:r/>
            <w:r>
              <w:rPr>
                <w:rFonts w:ascii="Arial" w:hAnsi="Arial" w:eastAsia="Arial"/>
                <w:b w:val="0"/>
                <w:sz w:val="15"/>
              </w:rPr>
              <w:t>Viable</w:t>
            </w:r>
          </w:p>
        </w:tc>
      </w:tr>
      <w:tr>
        <w:tc>
          <w:tcPr>
            <w:tcW w:type="dxa" w:w="1008"/>
            <w:vAlign w:val="top"/>
            <w:shd w:fill="FFFFFF"/>
          </w:tcPr>
          <w:p>
            <w:pPr>
              <w:jc w:val="both"/>
            </w:pPr>
            <w:r/>
            <w:r>
              <w:rPr>
                <w:rFonts w:ascii="Arial" w:hAnsi="Arial" w:eastAsia="Arial"/>
                <w:b w:val="0"/>
                <w:sz w:val="15"/>
              </w:rPr>
              <w:t>VC-05</w:t>
            </w:r>
          </w:p>
        </w:tc>
        <w:tc>
          <w:tcPr>
            <w:tcW w:type="dxa" w:w="2592"/>
            <w:vAlign w:val="top"/>
            <w:shd w:fill="FFFFFF"/>
          </w:tcPr>
          <w:p>
            <w:pPr>
              <w:jc w:val="both"/>
            </w:pPr>
            <w:r/>
            <w:r>
              <w:rPr>
                <w:rFonts w:ascii="Arial" w:hAnsi="Arial" w:eastAsia="Arial"/>
                <w:b w:val="0"/>
                <w:sz w:val="15"/>
              </w:rPr>
              <w:t>Replicabilidad y trazabilidad tesis</w:t>
            </w:r>
          </w:p>
        </w:tc>
        <w:tc>
          <w:tcPr>
            <w:tcW w:type="dxa" w:w="3600"/>
            <w:vAlign w:val="top"/>
            <w:shd w:fill="FFFFFF"/>
          </w:tcPr>
          <w:p>
            <w:pPr>
              <w:jc w:val="both"/>
            </w:pPr>
            <w:r/>
            <w:r>
              <w:rPr>
                <w:rFonts w:ascii="Arial" w:hAnsi="Arial" w:eastAsia="Arial"/>
                <w:b w:val="0"/>
                <w:sz w:val="15"/>
              </w:rPr>
              <w:t>Gates ISO CU-T05 CU-T07 repo publico</w:t>
            </w:r>
          </w:p>
        </w:tc>
        <w:tc>
          <w:tcPr>
            <w:tcW w:type="dxa" w:w="720"/>
            <w:vAlign w:val="top"/>
            <w:shd w:fill="FFFFFF"/>
          </w:tcPr>
          <w:p>
            <w:pPr>
              <w:jc w:val="both"/>
            </w:pPr>
            <w:r/>
            <w:r>
              <w:rPr>
                <w:rFonts w:ascii="Arial" w:hAnsi="Arial" w:eastAsia="Arial"/>
                <w:b w:val="0"/>
                <w:sz w:val="15"/>
              </w:rPr>
              <w:t>5</w:t>
            </w:r>
          </w:p>
        </w:tc>
        <w:tc>
          <w:tcPr>
            <w:tcW w:type="dxa" w:w="1440"/>
            <w:vAlign w:val="top"/>
            <w:shd w:fill="FFFFFF"/>
          </w:tcPr>
          <w:p>
            <w:pPr>
              <w:jc w:val="both"/>
            </w:pPr>
            <w:r/>
            <w:r>
              <w:rPr>
                <w:rFonts w:ascii="Arial" w:hAnsi="Arial" w:eastAsia="Arial"/>
                <w:b w:val="0"/>
                <w:sz w:val="15"/>
              </w:rPr>
              <w:t>Alta viabilidad</w:t>
            </w:r>
          </w:p>
        </w:tc>
      </w:tr>
    </w:tbl>
    <w:p>
      <w:pPr>
        <w:jc w:val="both"/>
      </w:pPr>
      <w:r>
        <w:rPr>
          <w:rFonts w:ascii="Arial" w:hAnsi="Arial"/>
          <w:i/>
          <w:sz w:val="16"/>
        </w:rPr>
        <w:t>Puntaje dimensión C — Científica / investigación: 4.20/5.00.</w:t>
      </w:r>
    </w:p>
    <w:p>
      <w:pPr>
        <w:spacing w:before="200" w:after="80"/>
      </w:pPr>
      <w:r>
        <w:rPr>
          <w:rFonts w:ascii="Arial" w:hAnsi="Arial"/>
          <w:b/>
          <w:sz w:val="24"/>
        </w:rPr>
        <w:t>4. Limitaciones y reservas declaradas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top"/>
            <w:shd w:fill="D9EAF7"/>
          </w:tcPr>
          <w:p>
            <w:pPr>
              <w:jc w:val="both"/>
            </w:pPr>
            <w:r/>
            <w:r>
              <w:rPr>
                <w:rFonts w:ascii="Arial" w:hAnsi="Arial" w:eastAsia="Arial"/>
                <w:b/>
                <w:sz w:val="16"/>
              </w:rPr>
              <w:t>Aspecto</w:t>
            </w:r>
          </w:p>
        </w:tc>
        <w:tc>
          <w:tcPr>
            <w:tcW w:type="dxa" w:w="3600"/>
            <w:vAlign w:val="top"/>
            <w:shd w:fill="D9EAF7"/>
          </w:tcPr>
          <w:p>
            <w:pPr>
              <w:jc w:val="both"/>
            </w:pPr>
            <w:r/>
            <w:r>
              <w:rPr>
                <w:rFonts w:ascii="Arial" w:hAnsi="Arial" w:eastAsia="Arial"/>
                <w:b/>
                <w:sz w:val="16"/>
              </w:rPr>
              <w:t>Limitación</w:t>
            </w:r>
          </w:p>
        </w:tc>
        <w:tc>
          <w:tcPr>
            <w:tcW w:type="dxa" w:w="3600"/>
            <w:vAlign w:val="top"/>
            <w:shd w:fill="D9EAF7"/>
          </w:tcPr>
          <w:p>
            <w:pPr>
              <w:jc w:val="both"/>
            </w:pPr>
            <w:r/>
            <w:r>
              <w:rPr>
                <w:rFonts w:ascii="Arial" w:hAnsi="Arial" w:eastAsia="Arial"/>
                <w:b/>
                <w:sz w:val="16"/>
              </w:rPr>
              <w:t>Mitigación</w:t>
            </w:r>
          </w:p>
        </w:tc>
      </w:tr>
      <w:tr>
        <w:tc>
          <w:tcPr>
            <w:tcW w:type="dxa" w:w="2016"/>
            <w:vAlign w:val="top"/>
            <w:shd w:fill="FFFFFF"/>
          </w:tcPr>
          <w:p>
            <w:pPr>
              <w:jc w:val="both"/>
            </w:pPr>
            <w:r/>
            <w:r>
              <w:rPr>
                <w:rFonts w:ascii="Arial" w:hAnsi="Arial" w:eastAsia="Arial"/>
                <w:b w:val="0"/>
                <w:sz w:val="15"/>
              </w:rPr>
              <w:t>Validación empírica O₂</w:t>
            </w:r>
          </w:p>
        </w:tc>
        <w:tc>
          <w:tcPr>
            <w:tcW w:type="dxa" w:w="3600"/>
            <w:vAlign w:val="top"/>
            <w:shd w:fill="FFFFFF"/>
          </w:tcPr>
          <w:p>
            <w:pPr>
              <w:jc w:val="both"/>
            </w:pPr>
            <w:r/>
            <w:r>
              <w:rPr>
                <w:rFonts w:ascii="Arial" w:hAnsi="Arial" w:eastAsia="Arial"/>
                <w:b w:val="0"/>
                <w:sz w:val="15"/>
              </w:rPr>
              <w:t>Encuesta Likert y mediciones post-implementación en curso</w:t>
            </w:r>
          </w:p>
        </w:tc>
        <w:tc>
          <w:tcPr>
            <w:tcW w:type="dxa" w:w="3600"/>
            <w:vAlign w:val="top"/>
            <w:shd w:fill="FFFFFF"/>
          </w:tcPr>
          <w:p>
            <w:pPr>
              <w:jc w:val="both"/>
            </w:pPr>
            <w:r/>
            <w:r>
              <w:rPr>
                <w:rFonts w:ascii="Arial" w:hAnsi="Arial" w:eastAsia="Arial"/>
                <w:b w:val="0"/>
                <w:sz w:val="15"/>
              </w:rPr>
              <w:t>CU-T09; instrumento investigación</w:t>
            </w:r>
          </w:p>
        </w:tc>
      </w:tr>
      <w:tr>
        <w:tc>
          <w:tcPr>
            <w:tcW w:type="dxa" w:w="2016"/>
            <w:vAlign w:val="top"/>
            <w:shd w:fill="F9FBFD"/>
          </w:tcPr>
          <w:p>
            <w:pPr>
              <w:jc w:val="both"/>
            </w:pPr>
            <w:r/>
            <w:r>
              <w:rPr>
                <w:rFonts w:ascii="Arial" w:hAnsi="Arial" w:eastAsia="Arial"/>
                <w:b w:val="0"/>
                <w:sz w:val="15"/>
              </w:rPr>
              <w:t>Datos históricos PYME</w:t>
            </w:r>
          </w:p>
        </w:tc>
        <w:tc>
          <w:tcPr>
            <w:tcW w:type="dxa" w:w="3600"/>
            <w:vAlign w:val="top"/>
            <w:shd w:fill="F9FBFD"/>
          </w:tcPr>
          <w:p>
            <w:pPr>
              <w:jc w:val="both"/>
            </w:pPr>
            <w:r/>
            <w:r>
              <w:rPr>
                <w:rFonts w:ascii="Arial" w:hAnsi="Arial" w:eastAsia="Arial"/>
                <w:b w:val="0"/>
                <w:sz w:val="15"/>
              </w:rPr>
              <w:t>Series cortas limitan precisión inicial del Random Forest</w:t>
            </w:r>
          </w:p>
        </w:tc>
        <w:tc>
          <w:tcPr>
            <w:tcW w:type="dxa" w:w="3600"/>
            <w:vAlign w:val="top"/>
            <w:shd w:fill="F9FBFD"/>
          </w:tcPr>
          <w:p>
            <w:pPr>
              <w:jc w:val="both"/>
            </w:pPr>
            <w:r/>
            <w:r>
              <w:rPr>
                <w:rFonts w:ascii="Arial" w:hAnsi="Arial" w:eastAsia="Arial"/>
                <w:b w:val="0"/>
                <w:sz w:val="15"/>
              </w:rPr>
              <w:t>Fallback conservador; backtest documentado</w:t>
            </w:r>
          </w:p>
        </w:tc>
      </w:tr>
      <w:tr>
        <w:tc>
          <w:tcPr>
            <w:tcW w:type="dxa" w:w="2016"/>
            <w:vAlign w:val="top"/>
            <w:shd w:fill="FFFFFF"/>
          </w:tcPr>
          <w:p>
            <w:pPr>
              <w:jc w:val="both"/>
            </w:pPr>
            <w:r/>
            <w:r>
              <w:rPr>
                <w:rFonts w:ascii="Arial" w:hAnsi="Arial" w:eastAsia="Arial"/>
                <w:b w:val="0"/>
                <w:sz w:val="15"/>
              </w:rPr>
              <w:t>Fiabilidad producción</w:t>
            </w:r>
          </w:p>
        </w:tc>
        <w:tc>
          <w:tcPr>
            <w:tcW w:type="dxa" w:w="3600"/>
            <w:vAlign w:val="top"/>
            <w:shd w:fill="FFFFFF"/>
          </w:tcPr>
          <w:p>
            <w:pPr>
              <w:jc w:val="both"/>
            </w:pPr>
            <w:r/>
            <w:r>
              <w:rPr>
                <w:rFonts w:ascii="Arial" w:hAnsi="Arial" w:eastAsia="Arial"/>
                <w:b w:val="0"/>
                <w:sz w:val="15"/>
              </w:rPr>
              <w:t>Checklist fiabilidad 84% (no 100%) por DR/uptime pendientes</w:t>
            </w:r>
          </w:p>
        </w:tc>
        <w:tc>
          <w:tcPr>
            <w:tcW w:type="dxa" w:w="3600"/>
            <w:vAlign w:val="top"/>
            <w:shd w:fill="FFFFFF"/>
          </w:tcPr>
          <w:p>
            <w:pPr>
              <w:jc w:val="both"/>
            </w:pPr>
            <w:r/>
            <w:r>
              <w:rPr>
                <w:rFonts w:ascii="Arial" w:hAnsi="Arial" w:eastAsia="Arial"/>
                <w:b w:val="0"/>
                <w:sz w:val="15"/>
              </w:rPr>
              <w:t>fiabilidad-trazabilidad-iso25000.md</w:t>
            </w:r>
          </w:p>
        </w:tc>
      </w:tr>
      <w:tr>
        <w:tc>
          <w:tcPr>
            <w:tcW w:type="dxa" w:w="2016"/>
            <w:vAlign w:val="top"/>
            <w:shd w:fill="F9FBFD"/>
          </w:tcPr>
          <w:p>
            <w:pPr>
              <w:jc w:val="both"/>
            </w:pPr>
            <w:r/>
            <w:r>
              <w:rPr>
                <w:rFonts w:ascii="Arial" w:hAnsi="Arial" w:eastAsia="Arial"/>
                <w:b w:val="0"/>
                <w:sz w:val="15"/>
              </w:rPr>
              <w:t>Adopción operativa</w:t>
            </w:r>
          </w:p>
        </w:tc>
        <w:tc>
          <w:tcPr>
            <w:tcW w:type="dxa" w:w="3600"/>
            <w:vAlign w:val="top"/>
            <w:shd w:fill="F9FBFD"/>
          </w:tcPr>
          <w:p>
            <w:pPr>
              <w:jc w:val="both"/>
            </w:pPr>
            <w:r/>
            <w:r>
              <w:rPr>
                <w:rFonts w:ascii="Arial" w:hAnsi="Arial" w:eastAsia="Arial"/>
                <w:b w:val="0"/>
                <w:sz w:val="15"/>
              </w:rPr>
              <w:t>Capacitación admin y operación sostenida requieren seguimiento</w:t>
            </w:r>
          </w:p>
        </w:tc>
        <w:tc>
          <w:tcPr>
            <w:tcW w:type="dxa" w:w="3600"/>
            <w:vAlign w:val="top"/>
            <w:shd w:fill="F9FBFD"/>
          </w:tcPr>
          <w:p>
            <w:pPr>
              <w:jc w:val="both"/>
            </w:pPr>
            <w:r/>
            <w:r>
              <w:rPr>
                <w:rFonts w:ascii="Arial" w:hAnsi="Arial" w:eastAsia="Arial"/>
                <w:b w:val="0"/>
                <w:sz w:val="15"/>
              </w:rPr>
              <w:t>Runbook 10-operacion-y-seguridad.md</w:t>
            </w:r>
          </w:p>
        </w:tc>
      </w:tr>
    </w:tbl>
    <w:p>
      <w:pPr>
        <w:spacing w:before="200" w:after="80"/>
      </w:pPr>
      <w:r>
        <w:rPr>
          <w:rFonts w:ascii="Arial" w:hAnsi="Arial"/>
          <w:b/>
          <w:sz w:val="24"/>
        </w:rPr>
        <w:t>5. Respaldo bibliográfico Q1 (alto impacto)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vAlign w:val="top"/>
            <w:shd w:fill="D9EAF7"/>
          </w:tcPr>
          <w:p>
            <w:pPr>
              <w:jc w:val="both"/>
            </w:pPr>
            <w:r/>
            <w:r>
              <w:rPr>
                <w:rFonts w:ascii="Arial" w:hAnsi="Arial" w:eastAsia="Arial"/>
                <w:b/>
                <w:sz w:val="16"/>
              </w:rPr>
              <w:t>Dimensión</w:t>
            </w:r>
          </w:p>
        </w:tc>
        <w:tc>
          <w:tcPr>
            <w:tcW w:type="dxa" w:w="5184"/>
            <w:vAlign w:val="top"/>
            <w:shd w:fill="D9EAF7"/>
          </w:tcPr>
          <w:p>
            <w:pPr>
              <w:jc w:val="both"/>
            </w:pPr>
            <w:r/>
            <w:r>
              <w:rPr>
                <w:rFonts w:ascii="Arial" w:hAnsi="Arial" w:eastAsia="Arial"/>
                <w:b/>
                <w:sz w:val="16"/>
              </w:rPr>
              <w:t>Referencia</w:t>
            </w:r>
          </w:p>
        </w:tc>
        <w:tc>
          <w:tcPr>
            <w:tcW w:type="dxa" w:w="2304"/>
            <w:vAlign w:val="top"/>
            <w:shd w:fill="D9EAF7"/>
          </w:tcPr>
          <w:p>
            <w:pPr>
              <w:jc w:val="both"/>
            </w:pPr>
            <w:r/>
            <w:r>
              <w:rPr>
                <w:rFonts w:ascii="Arial" w:hAnsi="Arial" w:eastAsia="Arial"/>
                <w:b/>
                <w:sz w:val="16"/>
              </w:rPr>
              <w:t>DOI</w:t>
            </w:r>
          </w:p>
        </w:tc>
      </w:tr>
      <w:tr>
        <w:tc>
          <w:tcPr>
            <w:tcW w:type="dxa" w:w="1872"/>
            <w:vAlign w:val="top"/>
            <w:shd w:fill="FFFFFF"/>
          </w:tcPr>
          <w:p>
            <w:pPr>
              <w:jc w:val="both"/>
            </w:pPr>
            <w:r/>
            <w:r>
              <w:rPr>
                <w:rFonts w:ascii="Arial" w:hAnsi="Arial" w:eastAsia="Arial"/>
                <w:b w:val="0"/>
                <w:sz w:val="15"/>
              </w:rPr>
              <w:t>Marco TELOS / gestión proyectos</w:t>
            </w:r>
          </w:p>
        </w:tc>
        <w:tc>
          <w:tcPr>
            <w:tcW w:type="dxa" w:w="5184"/>
            <w:vAlign w:val="top"/>
            <w:shd w:fill="FFFFFF"/>
          </w:tcPr>
          <w:p>
            <w:pPr>
              <w:jc w:val="both"/>
            </w:pPr>
            <w:r/>
            <w:r>
              <w:rPr>
                <w:rFonts w:ascii="Arial" w:hAnsi="Arial" w:eastAsia="Arial"/>
                <w:b w:val="0"/>
                <w:sz w:val="15"/>
              </w:rPr>
              <w:t>Shen et al. (2018). Managing scope in IT projects.</w:t>
            </w:r>
          </w:p>
        </w:tc>
        <w:tc>
          <w:tcPr>
            <w:tcW w:type="dxa" w:w="2304"/>
            <w:vAlign w:val="top"/>
            <w:shd w:fill="FFFFFF"/>
          </w:tcPr>
          <w:p>
            <w:pPr>
              <w:jc w:val="both"/>
            </w:pPr>
            <w:r/>
            <w:r>
              <w:rPr>
                <w:rFonts w:ascii="Arial" w:hAnsi="Arial" w:eastAsia="Arial"/>
                <w:b w:val="0"/>
                <w:sz w:val="15"/>
              </w:rPr>
              <w:t>https://doi.org/10.1016/j.infsof.2017.08.006</w:t>
            </w:r>
          </w:p>
        </w:tc>
      </w:tr>
      <w:tr>
        <w:tc>
          <w:tcPr>
            <w:tcW w:type="dxa" w:w="1872"/>
            <w:vAlign w:val="top"/>
            <w:shd w:fill="F9FBFD"/>
          </w:tcPr>
          <w:p>
            <w:pPr>
              <w:jc w:val="both"/>
            </w:pPr>
            <w:r/>
            <w:r>
              <w:rPr>
                <w:rFonts w:ascii="Arial" w:hAnsi="Arial" w:eastAsia="Arial"/>
                <w:b w:val="0"/>
                <w:sz w:val="15"/>
              </w:rPr>
              <w:t>Transformación digital</w:t>
            </w:r>
          </w:p>
        </w:tc>
        <w:tc>
          <w:tcPr>
            <w:tcW w:type="dxa" w:w="5184"/>
            <w:vAlign w:val="top"/>
            <w:shd w:fill="F9FBFD"/>
          </w:tcPr>
          <w:p>
            <w:pPr>
              <w:jc w:val="both"/>
            </w:pPr>
            <w:r/>
            <w:r>
              <w:rPr>
                <w:rFonts w:ascii="Arial" w:hAnsi="Arial" w:eastAsia="Arial"/>
                <w:b w:val="0"/>
                <w:sz w:val="15"/>
              </w:rPr>
              <w:t>Verhoef et al. (2019). Digital transformation: A multidisciplinary reflection.</w:t>
            </w:r>
          </w:p>
        </w:tc>
        <w:tc>
          <w:tcPr>
            <w:tcW w:type="dxa" w:w="2304"/>
            <w:vAlign w:val="top"/>
            <w:shd w:fill="F9FBFD"/>
          </w:tcPr>
          <w:p>
            <w:pPr>
              <w:jc w:val="both"/>
            </w:pPr>
            <w:r/>
            <w:r>
              <w:rPr>
                <w:rFonts w:ascii="Arial" w:hAnsi="Arial" w:eastAsia="Arial"/>
                <w:b w:val="0"/>
                <w:sz w:val="15"/>
              </w:rPr>
              <w:t>https://doi.org/10.1016/j.jbusres.2019.09.022</w:t>
            </w:r>
          </w:p>
        </w:tc>
      </w:tr>
      <w:tr>
        <w:tc>
          <w:tcPr>
            <w:tcW w:type="dxa" w:w="1872"/>
            <w:vAlign w:val="top"/>
            <w:shd w:fill="FFFFFF"/>
          </w:tcPr>
          <w:p>
            <w:pPr>
              <w:jc w:val="both"/>
            </w:pPr>
            <w:r/>
            <w:r>
              <w:rPr>
                <w:rFonts w:ascii="Arial" w:hAnsi="Arial" w:eastAsia="Arial"/>
                <w:b w:val="0"/>
                <w:sz w:val="15"/>
              </w:rPr>
              <w:t>Retail / cadena valor</w:t>
            </w:r>
          </w:p>
        </w:tc>
        <w:tc>
          <w:tcPr>
            <w:tcW w:type="dxa" w:w="5184"/>
            <w:vAlign w:val="top"/>
            <w:shd w:fill="FFFFFF"/>
          </w:tcPr>
          <w:p>
            <w:pPr>
              <w:jc w:val="both"/>
            </w:pPr>
            <w:r/>
            <w:r>
              <w:rPr>
                <w:rFonts w:ascii="Arial" w:hAnsi="Arial" w:eastAsia="Arial"/>
                <w:b w:val="0"/>
                <w:sz w:val="15"/>
              </w:rPr>
              <w:t>Reinartz et al. (2019). Digital transformation and retailing value chain.</w:t>
            </w:r>
          </w:p>
        </w:tc>
        <w:tc>
          <w:tcPr>
            <w:tcW w:type="dxa" w:w="2304"/>
            <w:vAlign w:val="top"/>
            <w:shd w:fill="FFFFFF"/>
          </w:tcPr>
          <w:p>
            <w:pPr>
              <w:jc w:val="both"/>
            </w:pPr>
            <w:r/>
            <w:r>
              <w:rPr>
                <w:rFonts w:ascii="Arial" w:hAnsi="Arial" w:eastAsia="Arial"/>
                <w:b w:val="0"/>
                <w:sz w:val="15"/>
              </w:rPr>
              <w:t>https://doi.org/10.1016/j.ijresmar.2018.12.002</w:t>
            </w:r>
          </w:p>
        </w:tc>
      </w:tr>
      <w:tr>
        <w:tc>
          <w:tcPr>
            <w:tcW w:type="dxa" w:w="1872"/>
            <w:vAlign w:val="top"/>
            <w:shd w:fill="F9FBFD"/>
          </w:tcPr>
          <w:p>
            <w:pPr>
              <w:jc w:val="both"/>
            </w:pPr>
            <w:r/>
            <w:r>
              <w:rPr>
                <w:rFonts w:ascii="Arial" w:hAnsi="Arial" w:eastAsia="Arial"/>
                <w:b w:val="0"/>
                <w:sz w:val="15"/>
              </w:rPr>
              <w:t>E-commerce + IA PYME</w:t>
            </w:r>
          </w:p>
        </w:tc>
        <w:tc>
          <w:tcPr>
            <w:tcW w:type="dxa" w:w="5184"/>
            <w:vAlign w:val="top"/>
            <w:shd w:fill="F9FBFD"/>
          </w:tcPr>
          <w:p>
            <w:pPr>
              <w:jc w:val="both"/>
            </w:pPr>
            <w:r/>
            <w:r>
              <w:rPr>
                <w:rFonts w:ascii="Arial" w:hAnsi="Arial" w:eastAsia="Arial"/>
                <w:b w:val="0"/>
                <w:sz w:val="15"/>
              </w:rPr>
              <w:t>Dai et al. (2024). AI and big data in cross-border e-commerce.</w:t>
            </w:r>
          </w:p>
        </w:tc>
        <w:tc>
          <w:tcPr>
            <w:tcW w:type="dxa" w:w="2304"/>
            <w:vAlign w:val="top"/>
            <w:shd w:fill="F9FBFD"/>
          </w:tcPr>
          <w:p>
            <w:pPr>
              <w:jc w:val="both"/>
            </w:pPr>
            <w:r/>
            <w:r>
              <w:rPr>
                <w:rFonts w:ascii="Arial" w:hAnsi="Arial" w:eastAsia="Arial"/>
                <w:b w:val="0"/>
                <w:sz w:val="15"/>
              </w:rPr>
              <w:t>https://doi.org/10.1371/journal.pone.0305639</w:t>
            </w:r>
          </w:p>
        </w:tc>
      </w:tr>
      <w:tr>
        <w:tc>
          <w:tcPr>
            <w:tcW w:type="dxa" w:w="1872"/>
            <w:vAlign w:val="top"/>
            <w:shd w:fill="FFFFFF"/>
          </w:tcPr>
          <w:p>
            <w:pPr>
              <w:jc w:val="both"/>
            </w:pPr>
            <w:r/>
            <w:r>
              <w:rPr>
                <w:rFonts w:ascii="Arial" w:hAnsi="Arial" w:eastAsia="Arial"/>
                <w:b w:val="0"/>
                <w:sz w:val="15"/>
              </w:rPr>
              <w:t>Microservicios</w:t>
            </w:r>
          </w:p>
        </w:tc>
        <w:tc>
          <w:tcPr>
            <w:tcW w:type="dxa" w:w="5184"/>
            <w:vAlign w:val="top"/>
            <w:shd w:fill="FFFFFF"/>
          </w:tcPr>
          <w:p>
            <w:pPr>
              <w:jc w:val="both"/>
            </w:pPr>
            <w:r/>
            <w:r>
              <w:rPr>
                <w:rFonts w:ascii="Arial" w:hAnsi="Arial" w:eastAsia="Arial"/>
                <w:b w:val="0"/>
                <w:sz w:val="15"/>
              </w:rPr>
              <w:t>Jamshidi et al. (2018). Microservices: journey and challenges.</w:t>
            </w:r>
          </w:p>
        </w:tc>
        <w:tc>
          <w:tcPr>
            <w:tcW w:type="dxa" w:w="2304"/>
            <w:vAlign w:val="top"/>
            <w:shd w:fill="FFFFFF"/>
          </w:tcPr>
          <w:p>
            <w:pPr>
              <w:jc w:val="both"/>
            </w:pPr>
            <w:r/>
            <w:r>
              <w:rPr>
                <w:rFonts w:ascii="Arial" w:hAnsi="Arial" w:eastAsia="Arial"/>
                <w:b w:val="0"/>
                <w:sz w:val="15"/>
              </w:rPr>
              <w:t>https://doi.org/10.1109/ms.2018.2141039</w:t>
            </w:r>
          </w:p>
        </w:tc>
      </w:tr>
      <w:tr>
        <w:tc>
          <w:tcPr>
            <w:tcW w:type="dxa" w:w="1872"/>
            <w:vAlign w:val="top"/>
            <w:shd w:fill="F9FBFD"/>
          </w:tcPr>
          <w:p>
            <w:pPr>
              <w:jc w:val="both"/>
            </w:pPr>
            <w:r/>
            <w:r>
              <w:rPr>
                <w:rFonts w:ascii="Arial" w:hAnsi="Arial" w:eastAsia="Arial"/>
                <w:b w:val="0"/>
                <w:sz w:val="15"/>
              </w:rPr>
              <w:t>Calidad microservicios</w:t>
            </w:r>
          </w:p>
        </w:tc>
        <w:tc>
          <w:tcPr>
            <w:tcW w:type="dxa" w:w="5184"/>
            <w:vAlign w:val="top"/>
            <w:shd w:fill="F9FBFD"/>
          </w:tcPr>
          <w:p>
            <w:pPr>
              <w:jc w:val="both"/>
            </w:pPr>
            <w:r/>
            <w:r>
              <w:rPr>
                <w:rFonts w:ascii="Arial" w:hAnsi="Arial" w:eastAsia="Arial"/>
                <w:b w:val="0"/>
                <w:sz w:val="15"/>
              </w:rPr>
              <w:t>Li et al. (2021). Quality attributes of microservices.</w:t>
            </w:r>
          </w:p>
        </w:tc>
        <w:tc>
          <w:tcPr>
            <w:tcW w:type="dxa" w:w="2304"/>
            <w:vAlign w:val="top"/>
            <w:shd w:fill="F9FBFD"/>
          </w:tcPr>
          <w:p>
            <w:pPr>
              <w:jc w:val="both"/>
            </w:pPr>
            <w:r/>
            <w:r>
              <w:rPr>
                <w:rFonts w:ascii="Arial" w:hAnsi="Arial" w:eastAsia="Arial"/>
                <w:b w:val="0"/>
                <w:sz w:val="15"/>
              </w:rPr>
              <w:t>https://doi.org/10.1016/j.infsof.2020.106449</w:t>
            </w:r>
          </w:p>
        </w:tc>
      </w:tr>
      <w:tr>
        <w:tc>
          <w:tcPr>
            <w:tcW w:type="dxa" w:w="1872"/>
            <w:vAlign w:val="top"/>
            <w:shd w:fill="FFFFFF"/>
          </w:tcPr>
          <w:p>
            <w:pPr>
              <w:jc w:val="both"/>
            </w:pPr>
            <w:r/>
            <w:r>
              <w:rPr>
                <w:rFonts w:ascii="Arial" w:hAnsi="Arial" w:eastAsia="Arial"/>
                <w:b w:val="0"/>
                <w:sz w:val="15"/>
              </w:rPr>
              <w:t>ML en producción</w:t>
            </w:r>
          </w:p>
        </w:tc>
        <w:tc>
          <w:tcPr>
            <w:tcW w:type="dxa" w:w="5184"/>
            <w:vAlign w:val="top"/>
            <w:shd w:fill="FFFFFF"/>
          </w:tcPr>
          <w:p>
            <w:pPr>
              <w:jc w:val="both"/>
            </w:pPr>
            <w:r/>
            <w:r>
              <w:rPr>
                <w:rFonts w:ascii="Arial" w:hAnsi="Arial" w:eastAsia="Arial"/>
                <w:b w:val="0"/>
                <w:sz w:val="15"/>
              </w:rPr>
              <w:t>Paleyes et al. (2022). Challenges deploying ML.</w:t>
            </w:r>
          </w:p>
        </w:tc>
        <w:tc>
          <w:tcPr>
            <w:tcW w:type="dxa" w:w="2304"/>
            <w:vAlign w:val="top"/>
            <w:shd w:fill="FFFFFF"/>
          </w:tcPr>
          <w:p>
            <w:pPr>
              <w:jc w:val="both"/>
            </w:pPr>
            <w:r/>
            <w:r>
              <w:rPr>
                <w:rFonts w:ascii="Arial" w:hAnsi="Arial" w:eastAsia="Arial"/>
                <w:b w:val="0"/>
                <w:sz w:val="15"/>
              </w:rPr>
              <w:t>https://doi.org/10.1145/3533378</w:t>
            </w:r>
          </w:p>
        </w:tc>
      </w:tr>
      <w:tr>
        <w:tc>
          <w:tcPr>
            <w:tcW w:type="dxa" w:w="1872"/>
            <w:vAlign w:val="top"/>
            <w:shd w:fill="F9FBFD"/>
          </w:tcPr>
          <w:p>
            <w:pPr>
              <w:jc w:val="both"/>
            </w:pPr>
            <w:r/>
            <w:r>
              <w:rPr>
                <w:rFonts w:ascii="Arial" w:hAnsi="Arial" w:eastAsia="Arial"/>
                <w:b w:val="0"/>
                <w:sz w:val="15"/>
              </w:rPr>
              <w:t>ML industrial</w:t>
            </w:r>
          </w:p>
        </w:tc>
        <w:tc>
          <w:tcPr>
            <w:tcW w:type="dxa" w:w="5184"/>
            <w:vAlign w:val="top"/>
            <w:shd w:fill="F9FBFD"/>
          </w:tcPr>
          <w:p>
            <w:pPr>
              <w:jc w:val="both"/>
            </w:pPr>
            <w:r/>
            <w:r>
              <w:rPr>
                <w:rFonts w:ascii="Arial" w:hAnsi="Arial" w:eastAsia="Arial"/>
                <w:b w:val="0"/>
                <w:sz w:val="15"/>
              </w:rPr>
              <w:t>Lwakatare et al. (2020). Large-scale ML in industry.</w:t>
            </w:r>
          </w:p>
        </w:tc>
        <w:tc>
          <w:tcPr>
            <w:tcW w:type="dxa" w:w="2304"/>
            <w:vAlign w:val="top"/>
            <w:shd w:fill="F9FBFD"/>
          </w:tcPr>
          <w:p>
            <w:pPr>
              <w:jc w:val="both"/>
            </w:pPr>
            <w:r/>
            <w:r>
              <w:rPr>
                <w:rFonts w:ascii="Arial" w:hAnsi="Arial" w:eastAsia="Arial"/>
                <w:b w:val="0"/>
                <w:sz w:val="15"/>
              </w:rPr>
              <w:t>https://doi.org/10.1016/j.infsof.2020.106368</w:t>
            </w:r>
          </w:p>
        </w:tc>
      </w:tr>
      <w:tr>
        <w:tc>
          <w:tcPr>
            <w:tcW w:type="dxa" w:w="1872"/>
            <w:vAlign w:val="top"/>
            <w:shd w:fill="FFFFFF"/>
          </w:tcPr>
          <w:p>
            <w:pPr>
              <w:jc w:val="both"/>
            </w:pPr>
            <w:r/>
            <w:r>
              <w:rPr>
                <w:rFonts w:ascii="Arial" w:hAnsi="Arial" w:eastAsia="Arial"/>
                <w:b w:val="0"/>
                <w:sz w:val="15"/>
              </w:rPr>
              <w:t>IA para decisiones</w:t>
            </w:r>
          </w:p>
        </w:tc>
        <w:tc>
          <w:tcPr>
            <w:tcW w:type="dxa" w:w="5184"/>
            <w:vAlign w:val="top"/>
            <w:shd w:fill="FFFFFF"/>
          </w:tcPr>
          <w:p>
            <w:pPr>
              <w:jc w:val="both"/>
            </w:pPr>
            <w:r/>
            <w:r>
              <w:rPr>
                <w:rFonts w:ascii="Arial" w:hAnsi="Arial" w:eastAsia="Arial"/>
                <w:b w:val="0"/>
                <w:sz w:val="15"/>
              </w:rPr>
              <w:t>Duan et al. (2019). AI for decision making in Big Data era.</w:t>
            </w:r>
          </w:p>
        </w:tc>
        <w:tc>
          <w:tcPr>
            <w:tcW w:type="dxa" w:w="2304"/>
            <w:vAlign w:val="top"/>
            <w:shd w:fill="FFFFFF"/>
          </w:tcPr>
          <w:p>
            <w:pPr>
              <w:jc w:val="both"/>
            </w:pPr>
            <w:r/>
            <w:r>
              <w:rPr>
                <w:rFonts w:ascii="Arial" w:hAnsi="Arial" w:eastAsia="Arial"/>
                <w:b w:val="0"/>
                <w:sz w:val="15"/>
              </w:rPr>
              <w:t>https://doi.org/10.1016/j.ijinfomgt.2019.01.021</w:t>
            </w:r>
          </w:p>
        </w:tc>
      </w:tr>
      <w:tr>
        <w:tc>
          <w:tcPr>
            <w:tcW w:type="dxa" w:w="1872"/>
            <w:vAlign w:val="top"/>
            <w:shd w:fill="F9FBFD"/>
          </w:tcPr>
          <w:p>
            <w:pPr>
              <w:jc w:val="both"/>
            </w:pPr>
            <w:r/>
            <w:r>
              <w:rPr>
                <w:rFonts w:ascii="Arial" w:hAnsi="Arial" w:eastAsia="Arial"/>
                <w:b w:val="0"/>
                <w:sz w:val="15"/>
              </w:rPr>
              <w:t>Big data operaciones</w:t>
            </w:r>
          </w:p>
        </w:tc>
        <w:tc>
          <w:tcPr>
            <w:tcW w:type="dxa" w:w="5184"/>
            <w:vAlign w:val="top"/>
            <w:shd w:fill="F9FBFD"/>
          </w:tcPr>
          <w:p>
            <w:pPr>
              <w:jc w:val="both"/>
            </w:pPr>
            <w:r/>
            <w:r>
              <w:rPr>
                <w:rFonts w:ascii="Arial" w:hAnsi="Arial" w:eastAsia="Arial"/>
                <w:b w:val="0"/>
                <w:sz w:val="15"/>
              </w:rPr>
              <w:t>Choi et al. (2018). Big data analytics in operations.</w:t>
            </w:r>
          </w:p>
        </w:tc>
        <w:tc>
          <w:tcPr>
            <w:tcW w:type="dxa" w:w="2304"/>
            <w:vAlign w:val="top"/>
            <w:shd w:fill="F9FBFD"/>
          </w:tcPr>
          <w:p>
            <w:pPr>
              <w:jc w:val="both"/>
            </w:pPr>
            <w:r/>
            <w:r>
              <w:rPr>
                <w:rFonts w:ascii="Arial" w:hAnsi="Arial" w:eastAsia="Arial"/>
                <w:b w:val="0"/>
                <w:sz w:val="15"/>
              </w:rPr>
              <w:t>https://doi.org/10.1111/poms.12838</w:t>
            </w:r>
          </w:p>
        </w:tc>
      </w:tr>
      <w:tr>
        <w:tc>
          <w:tcPr>
            <w:tcW w:type="dxa" w:w="1872"/>
            <w:vAlign w:val="top"/>
            <w:shd w:fill="FFFFFF"/>
          </w:tcPr>
          <w:p>
            <w:pPr>
              <w:jc w:val="both"/>
            </w:pPr>
            <w:r/>
            <w:r>
              <w:rPr>
                <w:rFonts w:ascii="Arial" w:hAnsi="Arial" w:eastAsia="Arial"/>
                <w:b w:val="0"/>
                <w:sz w:val="15"/>
              </w:rPr>
              <w:t>Big data desempeño PYME</w:t>
            </w:r>
          </w:p>
        </w:tc>
        <w:tc>
          <w:tcPr>
            <w:tcW w:type="dxa" w:w="5184"/>
            <w:vAlign w:val="top"/>
            <w:shd w:fill="FFFFFF"/>
          </w:tcPr>
          <w:p>
            <w:pPr>
              <w:jc w:val="both"/>
            </w:pPr>
            <w:r/>
            <w:r>
              <w:rPr>
                <w:rFonts w:ascii="Arial" w:hAnsi="Arial" w:eastAsia="Arial"/>
                <w:b w:val="0"/>
                <w:sz w:val="15"/>
              </w:rPr>
              <w:t>Amba et al. (2017). Big data analytics and firm performance.</w:t>
            </w:r>
          </w:p>
        </w:tc>
        <w:tc>
          <w:tcPr>
            <w:tcW w:type="dxa" w:w="2304"/>
            <w:vAlign w:val="top"/>
            <w:shd w:fill="FFFFFF"/>
          </w:tcPr>
          <w:p>
            <w:pPr>
              <w:jc w:val="both"/>
            </w:pPr>
            <w:r/>
            <w:r>
              <w:rPr>
                <w:rFonts w:ascii="Arial" w:hAnsi="Arial" w:eastAsia="Arial"/>
                <w:b w:val="0"/>
                <w:sz w:val="15"/>
              </w:rPr>
              <w:t>https://doi.org/10.1016/j.jbusres.2016.08.009</w:t>
            </w:r>
          </w:p>
        </w:tc>
      </w:tr>
      <w:tr>
        <w:tc>
          <w:tcPr>
            <w:tcW w:type="dxa" w:w="1872"/>
            <w:vAlign w:val="top"/>
            <w:shd w:fill="F9FBFD"/>
          </w:tcPr>
          <w:p>
            <w:pPr>
              <w:jc w:val="both"/>
            </w:pPr>
            <w:r/>
            <w:r>
              <w:rPr>
                <w:rFonts w:ascii="Arial" w:hAnsi="Arial" w:eastAsia="Arial"/>
                <w:b w:val="0"/>
                <w:sz w:val="15"/>
              </w:rPr>
              <w:t>Seguridad zero-trust</w:t>
            </w:r>
          </w:p>
        </w:tc>
        <w:tc>
          <w:tcPr>
            <w:tcW w:type="dxa" w:w="5184"/>
            <w:vAlign w:val="top"/>
            <w:shd w:fill="F9FBFD"/>
          </w:tcPr>
          <w:p>
            <w:pPr>
              <w:jc w:val="both"/>
            </w:pPr>
            <w:r/>
            <w:r>
              <w:rPr>
                <w:rFonts w:ascii="Arial" w:hAnsi="Arial" w:eastAsia="Arial"/>
                <w:b w:val="0"/>
                <w:sz w:val="15"/>
              </w:rPr>
              <w:t>Buck et al. (2021). Never trust, always verify.</w:t>
            </w:r>
          </w:p>
        </w:tc>
        <w:tc>
          <w:tcPr>
            <w:tcW w:type="dxa" w:w="2304"/>
            <w:vAlign w:val="top"/>
            <w:shd w:fill="F9FBFD"/>
          </w:tcPr>
          <w:p>
            <w:pPr>
              <w:jc w:val="both"/>
            </w:pPr>
            <w:r/>
            <w:r>
              <w:rPr>
                <w:rFonts w:ascii="Arial" w:hAnsi="Arial" w:eastAsia="Arial"/>
                <w:b w:val="0"/>
                <w:sz w:val="15"/>
              </w:rPr>
              <w:t>https://doi.org/10.1016/j.cose.2021.102436</w:t>
            </w:r>
          </w:p>
        </w:tc>
      </w:tr>
      <w:tr>
        <w:tc>
          <w:tcPr>
            <w:tcW w:type="dxa" w:w="1872"/>
            <w:vAlign w:val="top"/>
            <w:shd w:fill="FFFFFF"/>
          </w:tcPr>
          <w:p>
            <w:pPr>
              <w:jc w:val="both"/>
            </w:pPr>
            <w:r/>
            <w:r>
              <w:rPr>
                <w:rFonts w:ascii="Arial" w:hAnsi="Arial" w:eastAsia="Arial"/>
                <w:b w:val="0"/>
                <w:sz w:val="15"/>
              </w:rPr>
              <w:t>Retail digitalización</w:t>
            </w:r>
          </w:p>
        </w:tc>
        <w:tc>
          <w:tcPr>
            <w:tcW w:type="dxa" w:w="5184"/>
            <w:vAlign w:val="top"/>
            <w:shd w:fill="FFFFFF"/>
          </w:tcPr>
          <w:p>
            <w:pPr>
              <w:jc w:val="both"/>
            </w:pPr>
            <w:r/>
            <w:r>
              <w:rPr>
                <w:rFonts w:ascii="Arial" w:hAnsi="Arial" w:eastAsia="Arial"/>
                <w:b w:val="0"/>
                <w:sz w:val="15"/>
              </w:rPr>
              <w:t>Hagberg et al. (2016). Digitalization of retailing.</w:t>
            </w:r>
          </w:p>
        </w:tc>
        <w:tc>
          <w:tcPr>
            <w:tcW w:type="dxa" w:w="2304"/>
            <w:vAlign w:val="top"/>
            <w:shd w:fill="FFFFFF"/>
          </w:tcPr>
          <w:p>
            <w:pPr>
              <w:jc w:val="both"/>
            </w:pPr>
            <w:r/>
            <w:r>
              <w:rPr>
                <w:rFonts w:ascii="Arial" w:hAnsi="Arial" w:eastAsia="Arial"/>
                <w:b w:val="0"/>
                <w:sz w:val="15"/>
              </w:rPr>
              <w:t>https://doi.org/10.1108/ijrdm-09-2015-0140</w:t>
            </w:r>
          </w:p>
        </w:tc>
      </w:tr>
      <w:tr>
        <w:tc>
          <w:tcPr>
            <w:tcW w:type="dxa" w:w="1872"/>
            <w:vAlign w:val="top"/>
            <w:shd w:fill="F9FBFD"/>
          </w:tcPr>
          <w:p>
            <w:pPr>
              <w:jc w:val="both"/>
            </w:pPr>
            <w:r/>
            <w:r>
              <w:rPr>
                <w:rFonts w:ascii="Arial" w:hAnsi="Arial" w:eastAsia="Arial"/>
                <w:b w:val="0"/>
                <w:sz w:val="15"/>
              </w:rPr>
              <w:t>Decisiones organizacionales IA</w:t>
            </w:r>
          </w:p>
        </w:tc>
        <w:tc>
          <w:tcPr>
            <w:tcW w:type="dxa" w:w="5184"/>
            <w:vAlign w:val="top"/>
            <w:shd w:fill="F9FBFD"/>
          </w:tcPr>
          <w:p>
            <w:pPr>
              <w:jc w:val="both"/>
            </w:pPr>
            <w:r/>
            <w:r>
              <w:rPr>
                <w:rFonts w:ascii="Arial" w:hAnsi="Arial" w:eastAsia="Arial"/>
                <w:b w:val="0"/>
                <w:sz w:val="15"/>
              </w:rPr>
              <w:t>Shrestha et al. (2019). Organizational decision-making and AI.</w:t>
            </w:r>
          </w:p>
        </w:tc>
        <w:tc>
          <w:tcPr>
            <w:tcW w:type="dxa" w:w="2304"/>
            <w:vAlign w:val="top"/>
            <w:shd w:fill="F9FBFD"/>
          </w:tcPr>
          <w:p>
            <w:pPr>
              <w:jc w:val="both"/>
            </w:pPr>
            <w:r/>
            <w:r>
              <w:rPr>
                <w:rFonts w:ascii="Arial" w:hAnsi="Arial" w:eastAsia="Arial"/>
                <w:b w:val="0"/>
                <w:sz w:val="15"/>
              </w:rPr>
              <w:t>https://doi.org/10.1177/0008125619862257</w:t>
            </w:r>
          </w:p>
        </w:tc>
      </w:tr>
      <w:tr>
        <w:tc>
          <w:tcPr>
            <w:tcW w:type="dxa" w:w="1872"/>
            <w:vAlign w:val="top"/>
            <w:shd w:fill="FFFFFF"/>
          </w:tcPr>
          <w:p>
            <w:pPr>
              <w:jc w:val="both"/>
            </w:pPr>
            <w:r/>
            <w:r>
              <w:rPr>
                <w:rFonts w:ascii="Arial" w:hAnsi="Arial" w:eastAsia="Arial"/>
                <w:b w:val="0"/>
                <w:sz w:val="15"/>
              </w:rPr>
              <w:t>Metodologías ágiles</w:t>
            </w:r>
          </w:p>
        </w:tc>
        <w:tc>
          <w:tcPr>
            <w:tcW w:type="dxa" w:w="5184"/>
            <w:vAlign w:val="top"/>
            <w:shd w:fill="FFFFFF"/>
          </w:tcPr>
          <w:p>
            <w:pPr>
              <w:jc w:val="both"/>
            </w:pPr>
            <w:r/>
            <w:r>
              <w:rPr>
                <w:rFonts w:ascii="Arial" w:hAnsi="Arial" w:eastAsia="Arial"/>
                <w:b w:val="0"/>
                <w:sz w:val="15"/>
              </w:rPr>
              <w:t>Dingsøyr et al. (2012). A decade of agile methodologies.</w:t>
            </w:r>
          </w:p>
        </w:tc>
        <w:tc>
          <w:tcPr>
            <w:tcW w:type="dxa" w:w="2304"/>
            <w:vAlign w:val="top"/>
            <w:shd w:fill="FFFFFF"/>
          </w:tcPr>
          <w:p>
            <w:pPr>
              <w:jc w:val="both"/>
            </w:pPr>
            <w:r/>
            <w:r>
              <w:rPr>
                <w:rFonts w:ascii="Arial" w:hAnsi="Arial" w:eastAsia="Arial"/>
                <w:b w:val="0"/>
                <w:sz w:val="15"/>
              </w:rPr>
              <w:t>https://doi.org/10.1016/j.jss.2012.02.033</w:t>
            </w:r>
          </w:p>
        </w:tc>
      </w:tr>
      <w:tr>
        <w:tc>
          <w:tcPr>
            <w:tcW w:type="dxa" w:w="1872"/>
            <w:vAlign w:val="top"/>
            <w:shd w:fill="F9FBFD"/>
          </w:tcPr>
          <w:p>
            <w:pPr>
              <w:jc w:val="both"/>
            </w:pPr>
            <w:r/>
            <w:r>
              <w:rPr>
                <w:rFonts w:ascii="Arial" w:hAnsi="Arial" w:eastAsia="Arial"/>
                <w:b w:val="0"/>
                <w:sz w:val="15"/>
              </w:rPr>
              <w:t>Ciclo de vida IA</w:t>
            </w:r>
          </w:p>
        </w:tc>
        <w:tc>
          <w:tcPr>
            <w:tcW w:type="dxa" w:w="5184"/>
            <w:vAlign w:val="top"/>
            <w:shd w:fill="F9FBFD"/>
          </w:tcPr>
          <w:p>
            <w:pPr>
              <w:jc w:val="both"/>
            </w:pPr>
            <w:r/>
            <w:r>
              <w:rPr>
                <w:rFonts w:ascii="Arial" w:hAnsi="Arial" w:eastAsia="Arial"/>
                <w:b w:val="0"/>
                <w:sz w:val="15"/>
              </w:rPr>
              <w:t>Haakman et al. (2021). AI lifecycle models need revision.</w:t>
            </w:r>
          </w:p>
        </w:tc>
        <w:tc>
          <w:tcPr>
            <w:tcW w:type="dxa" w:w="2304"/>
            <w:vAlign w:val="top"/>
            <w:shd w:fill="F9FBFD"/>
          </w:tcPr>
          <w:p>
            <w:pPr>
              <w:jc w:val="both"/>
            </w:pPr>
            <w:r/>
            <w:r>
              <w:rPr>
                <w:rFonts w:ascii="Arial" w:hAnsi="Arial" w:eastAsia="Arial"/>
                <w:b w:val="0"/>
                <w:sz w:val="15"/>
              </w:rPr>
              <w:t>https://doi.org/10.1007/s10664-021-09993-1</w:t>
            </w:r>
          </w:p>
        </w:tc>
      </w:tr>
      <w:tr>
        <w:tc>
          <w:tcPr>
            <w:tcW w:type="dxa" w:w="1872"/>
            <w:vAlign w:val="top"/>
            <w:shd w:fill="FFFFFF"/>
          </w:tcPr>
          <w:p>
            <w:pPr>
              <w:jc w:val="both"/>
            </w:pPr>
            <w:r/>
            <w:r>
              <w:rPr>
                <w:rFonts w:ascii="Arial" w:hAnsi="Arial" w:eastAsia="Arial"/>
                <w:b w:val="0"/>
                <w:sz w:val="15"/>
              </w:rPr>
              <w:t>Pronóstico / forecasting</w:t>
            </w:r>
          </w:p>
        </w:tc>
        <w:tc>
          <w:tcPr>
            <w:tcW w:type="dxa" w:w="5184"/>
            <w:vAlign w:val="top"/>
            <w:shd w:fill="FFFFFF"/>
          </w:tcPr>
          <w:p>
            <w:pPr>
              <w:jc w:val="both"/>
            </w:pPr>
            <w:r/>
            <w:r>
              <w:rPr>
                <w:rFonts w:ascii="Arial" w:hAnsi="Arial" w:eastAsia="Arial"/>
                <w:b w:val="0"/>
                <w:sz w:val="15"/>
              </w:rPr>
              <w:t>Makridakis et al. (2018). Statistical and ML forecasting.</w:t>
            </w:r>
          </w:p>
        </w:tc>
        <w:tc>
          <w:tcPr>
            <w:tcW w:type="dxa" w:w="2304"/>
            <w:vAlign w:val="top"/>
            <w:shd w:fill="FFFFFF"/>
          </w:tcPr>
          <w:p>
            <w:pPr>
              <w:jc w:val="both"/>
            </w:pPr>
            <w:r/>
            <w:r>
              <w:rPr>
                <w:rFonts w:ascii="Arial" w:hAnsi="Arial" w:eastAsia="Arial"/>
                <w:b w:val="0"/>
                <w:sz w:val="15"/>
              </w:rPr>
              <w:t>https://doi.org/10.1371/journal.pone.0194889</w:t>
            </w:r>
          </w:p>
        </w:tc>
      </w:tr>
      <w:tr>
        <w:tc>
          <w:tcPr>
            <w:tcW w:type="dxa" w:w="1872"/>
            <w:vAlign w:val="top"/>
            <w:shd w:fill="F9FBFD"/>
          </w:tcPr>
          <w:p>
            <w:pPr>
              <w:jc w:val="both"/>
            </w:pPr>
            <w:r/>
            <w:r>
              <w:rPr>
                <w:rFonts w:ascii="Arial" w:hAnsi="Arial" w:eastAsia="Arial"/>
                <w:b w:val="0"/>
                <w:sz w:val="15"/>
              </w:rPr>
              <w:t>Retail forecasting</w:t>
            </w:r>
          </w:p>
        </w:tc>
        <w:tc>
          <w:tcPr>
            <w:tcW w:type="dxa" w:w="5184"/>
            <w:vAlign w:val="top"/>
            <w:shd w:fill="F9FBFD"/>
          </w:tcPr>
          <w:p>
            <w:pPr>
              <w:jc w:val="both"/>
            </w:pPr>
            <w:r/>
            <w:r>
              <w:rPr>
                <w:rFonts w:ascii="Arial" w:hAnsi="Arial" w:eastAsia="Arial"/>
                <w:b w:val="0"/>
                <w:sz w:val="15"/>
              </w:rPr>
              <w:t>Fildes et al. (2019). Retail forecasting research and practice.</w:t>
            </w:r>
          </w:p>
        </w:tc>
        <w:tc>
          <w:tcPr>
            <w:tcW w:type="dxa" w:w="2304"/>
            <w:vAlign w:val="top"/>
            <w:shd w:fill="F9FBFD"/>
          </w:tcPr>
          <w:p>
            <w:pPr>
              <w:jc w:val="both"/>
            </w:pPr>
            <w:r/>
            <w:r>
              <w:rPr>
                <w:rFonts w:ascii="Arial" w:hAnsi="Arial" w:eastAsia="Arial"/>
                <w:b w:val="0"/>
                <w:sz w:val="15"/>
              </w:rPr>
              <w:t>https://doi.org/10.1016/j.ijforecast.2019.06.004</w:t>
            </w:r>
          </w:p>
        </w:tc>
      </w:tr>
      <w:tr>
        <w:tc>
          <w:tcPr>
            <w:tcW w:type="dxa" w:w="1872"/>
            <w:vAlign w:val="top"/>
            <w:shd w:fill="FFFFFF"/>
          </w:tcPr>
          <w:p>
            <w:pPr>
              <w:jc w:val="both"/>
            </w:pPr>
            <w:r/>
            <w:r>
              <w:rPr>
                <w:rFonts w:ascii="Arial" w:hAnsi="Arial" w:eastAsia="Arial"/>
                <w:b w:val="0"/>
                <w:sz w:val="15"/>
              </w:rPr>
              <w:t>E-SQ moda/calzado</w:t>
            </w:r>
          </w:p>
        </w:tc>
        <w:tc>
          <w:tcPr>
            <w:tcW w:type="dxa" w:w="5184"/>
            <w:vAlign w:val="top"/>
            <w:shd w:fill="FFFFFF"/>
          </w:tcPr>
          <w:p>
            <w:pPr>
              <w:jc w:val="both"/>
            </w:pPr>
            <w:r/>
            <w:r>
              <w:rPr>
                <w:rFonts w:ascii="Arial" w:hAnsi="Arial" w:eastAsia="Arial"/>
                <w:b w:val="0"/>
                <w:sz w:val="15"/>
              </w:rPr>
              <w:t>Gutiérrez-Rodríguez et al. (2020). E-SQ fashion e-retailers.</w:t>
            </w:r>
          </w:p>
        </w:tc>
        <w:tc>
          <w:tcPr>
            <w:tcW w:type="dxa" w:w="2304"/>
            <w:vAlign w:val="top"/>
            <w:shd w:fill="FFFFFF"/>
          </w:tcPr>
          <w:p>
            <w:pPr>
              <w:jc w:val="both"/>
            </w:pPr>
            <w:r/>
            <w:r>
              <w:rPr>
                <w:rFonts w:ascii="Arial" w:hAnsi="Arial" w:eastAsia="Arial"/>
                <w:b w:val="0"/>
                <w:sz w:val="15"/>
              </w:rPr>
              <w:t>https://doi.org/10.1016/j.jretconser.2020.102201</w:t>
            </w:r>
          </w:p>
        </w:tc>
      </w:tr>
      <w:tr>
        <w:tc>
          <w:tcPr>
            <w:tcW w:type="dxa" w:w="1872"/>
            <w:vAlign w:val="top"/>
            <w:shd w:fill="F9FBFD"/>
          </w:tcPr>
          <w:p>
            <w:pPr>
              <w:jc w:val="both"/>
            </w:pPr>
            <w:r/>
            <w:r>
              <w:rPr>
                <w:rFonts w:ascii="Arial" w:hAnsi="Arial" w:eastAsia="Arial"/>
                <w:b w:val="0"/>
                <w:sz w:val="15"/>
              </w:rPr>
              <w:t>Marketing digital</w:t>
            </w:r>
          </w:p>
        </w:tc>
        <w:tc>
          <w:tcPr>
            <w:tcW w:type="dxa" w:w="5184"/>
            <w:vAlign w:val="top"/>
            <w:shd w:fill="F9FBFD"/>
          </w:tcPr>
          <w:p>
            <w:pPr>
              <w:jc w:val="both"/>
            </w:pPr>
            <w:r/>
            <w:r>
              <w:rPr>
                <w:rFonts w:ascii="Arial" w:hAnsi="Arial" w:eastAsia="Arial"/>
                <w:b w:val="0"/>
                <w:sz w:val="15"/>
              </w:rPr>
              <w:t>Kannan &amp; Li (2017). Digital marketing framework.</w:t>
            </w:r>
          </w:p>
        </w:tc>
        <w:tc>
          <w:tcPr>
            <w:tcW w:type="dxa" w:w="2304"/>
            <w:vAlign w:val="top"/>
            <w:shd w:fill="F9FBFD"/>
          </w:tcPr>
          <w:p>
            <w:pPr>
              <w:jc w:val="both"/>
            </w:pPr>
            <w:r/>
            <w:r>
              <w:rPr>
                <w:rFonts w:ascii="Arial" w:hAnsi="Arial" w:eastAsia="Arial"/>
                <w:b w:val="0"/>
                <w:sz w:val="15"/>
              </w:rPr>
              <w:t>https://doi.org/10.1016/j.ijresmar.2016.11.006</w:t>
            </w:r>
          </w:p>
        </w:tc>
      </w:tr>
    </w:tbl>
    <w:p>
      <w:pPr>
        <w:spacing w:before="200" w:after="80"/>
      </w:pPr>
      <w:r>
        <w:rPr>
          <w:rFonts w:ascii="Arial" w:hAnsi="Arial"/>
          <w:b/>
          <w:sz w:val="24"/>
        </w:rPr>
        <w:t>6. Referencias metodológicas</w:t>
      </w:r>
    </w:p>
    <w:p>
      <w:pPr>
        <w:jc w:val="both"/>
      </w:pPr>
      <w:r>
        <w:rPr>
          <w:rFonts w:ascii="Arial" w:hAnsi="Arial"/>
          <w:i w:val="0"/>
          <w:sz w:val="16"/>
        </w:rPr>
        <w:t>• Shen, Y., Collier, R. E., &amp; Wang, Y. (2018). Managing scope in IT projects. Information and Software Technology.</w:t>
      </w:r>
    </w:p>
    <w:p>
      <w:pPr>
        <w:jc w:val="both"/>
      </w:pPr>
      <w:r>
        <w:rPr>
          <w:rFonts w:ascii="Arial" w:hAnsi="Arial"/>
          <w:i w:val="0"/>
          <w:sz w:val="16"/>
        </w:rPr>
        <w:t>• Kuhrmann, M., et al. (2018). Hybrid software development approaches in practice. IEEE Software.</w:t>
      </w:r>
    </w:p>
    <w:p>
      <w:pPr>
        <w:jc w:val="both"/>
      </w:pPr>
      <w:r>
        <w:rPr>
          <w:rFonts w:ascii="Arial" w:hAnsi="Arial"/>
          <w:i w:val="0"/>
          <w:sz w:val="16"/>
        </w:rPr>
        <w:t>• Verhoef, P. C., et al. (2019). Digital transformation: A multidisciplinary reflection. Journal of Business Research.</w:t>
      </w:r>
    </w:p>
    <w:p>
      <w:pPr>
        <w:jc w:val="both"/>
      </w:pPr>
      <w:r>
        <w:rPr>
          <w:rFonts w:ascii="Arial" w:hAnsi="Arial"/>
          <w:i w:val="0"/>
          <w:sz w:val="16"/>
        </w:rPr>
        <w:t>• Reinartz, W., et al. (2019). The impact of digital transformation on the retailing value chain. International Journal of Research in Marketing.</w:t>
      </w:r>
    </w:p>
    <w:p>
      <w:pPr>
        <w:jc w:val="both"/>
      </w:pPr>
      <w:r>
        <w:rPr>
          <w:rFonts w:ascii="Arial" w:hAnsi="Arial"/>
          <w:i w:val="0"/>
          <w:sz w:val="16"/>
        </w:rPr>
        <w:t>• Dai, Y., et al. (2024). Revolutionizing cross-border e-commerce with AI and big data. PLOS ONE.</w:t>
      </w:r>
    </w:p>
    <w:p>
      <w:pPr>
        <w:jc w:val="both"/>
      </w:pPr>
      <w:r>
        <w:rPr>
          <w:rFonts w:ascii="Arial" w:hAnsi="Arial"/>
          <w:i w:val="0"/>
          <w:sz w:val="16"/>
        </w:rPr>
        <w:t>• Paleyes, A., et al. (2022). Challenges in deploying machine learning. ACM Computing Surveys.</w:t>
      </w:r>
    </w:p>
    <w:p>
      <w:pPr>
        <w:jc w:val="both"/>
      </w:pPr>
      <w:r>
        <w:rPr>
          <w:rFonts w:ascii="Arial" w:hAnsi="Arial"/>
          <w:i w:val="0"/>
          <w:sz w:val="16"/>
        </w:rPr>
        <w:t>• Project Management Institute (2021). A Guide to the Project Management Body of Knowledge (PMBOK Guide), 7th ed.</w:t>
      </w:r>
    </w:p>
    <w:p>
      <w:r>
        <w:br w:type="page"/>
      </w:r>
    </w:p>
    <w:p>
      <w:pPr>
        <w:sectPr>
          <w:pgSz w:w="12240" w:h="15840"/>
          <w:pgMar w:top="1008" w:right="1152" w:bottom="1008" w:left="1152" w:header="720" w:footer="720" w:gutter="0"/>
          <w:cols w:space="720"/>
          <w:docGrid w:linePitch="360"/>
        </w:sectPr>
      </w:pPr>
    </w:p>
    <w:p>
      <w:pPr>
        <w:jc w:val="center"/>
      </w:pPr>
      <w:r>
        <w:rPr>
          <w:rFonts w:ascii="Arial" w:hAnsi="Arial"/>
          <w:b/>
          <w:sz w:val="20"/>
        </w:rPr>
        <w:t>ANEXO — MATRIZ CU-T13 VIABILIDAD INICIAL (TRAZABILIDAD COMPLETA)</w:t>
      </w:r>
    </w:p>
    <w:tbl>
      <w:tblPr>
        <w:tblStyle w:val="TableGrid"/>
        <w:tblW w:type="auto" w:w="0"/>
        <w:tblLayout w:type="fixed"/>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504"/>
            <w:vAlign w:val="top"/>
            <w:shd w:fill="1F4E79"/>
          </w:tcPr>
          <w:p>
            <w:pPr>
              <w:jc w:val="both"/>
            </w:pPr>
            <w:r/>
            <w:r>
              <w:rPr>
                <w:rFonts w:ascii="Arial" w:hAnsi="Arial" w:eastAsia="Arial"/>
                <w:b/>
                <w:sz w:val="14"/>
              </w:rPr>
              <w:t>Dim</w:t>
            </w:r>
          </w:p>
        </w:tc>
        <w:tc>
          <w:tcPr>
            <w:tcW w:type="dxa" w:w="792"/>
            <w:vAlign w:val="top"/>
            <w:shd w:fill="1F4E79"/>
          </w:tcPr>
          <w:p>
            <w:pPr>
              <w:jc w:val="both"/>
            </w:pPr>
            <w:r/>
            <w:r>
              <w:rPr>
                <w:rFonts w:ascii="Arial" w:hAnsi="Arial" w:eastAsia="Arial"/>
                <w:b/>
                <w:sz w:val="14"/>
              </w:rPr>
              <w:t>ID</w:t>
            </w:r>
          </w:p>
        </w:tc>
        <w:tc>
          <w:tcPr>
            <w:tcW w:type="dxa" w:w="1512"/>
            <w:vAlign w:val="top"/>
            <w:shd w:fill="1F4E79"/>
          </w:tcPr>
          <w:p>
            <w:pPr>
              <w:jc w:val="both"/>
            </w:pPr>
            <w:r/>
            <w:r>
              <w:rPr>
                <w:rFonts w:ascii="Arial" w:hAnsi="Arial" w:eastAsia="Arial"/>
                <w:b/>
                <w:sz w:val="14"/>
              </w:rPr>
              <w:t>Criterio</w:t>
            </w:r>
          </w:p>
        </w:tc>
        <w:tc>
          <w:tcPr>
            <w:tcW w:type="dxa" w:w="1800"/>
            <w:vAlign w:val="top"/>
            <w:shd w:fill="1F4E79"/>
          </w:tcPr>
          <w:p>
            <w:pPr>
              <w:jc w:val="both"/>
            </w:pPr>
            <w:r/>
            <w:r>
              <w:rPr>
                <w:rFonts w:ascii="Arial" w:hAnsi="Arial" w:eastAsia="Arial"/>
                <w:b/>
                <w:sz w:val="14"/>
              </w:rPr>
              <w:t>Indicador</w:t>
            </w:r>
          </w:p>
        </w:tc>
        <w:tc>
          <w:tcPr>
            <w:tcW w:type="dxa" w:w="1512"/>
            <w:vAlign w:val="top"/>
            <w:shd w:fill="1F4E79"/>
          </w:tcPr>
          <w:p>
            <w:pPr>
              <w:jc w:val="both"/>
            </w:pPr>
            <w:r/>
            <w:r>
              <w:rPr>
                <w:rFonts w:ascii="Arial" w:hAnsi="Arial" w:eastAsia="Arial"/>
                <w:b/>
                <w:sz w:val="14"/>
              </w:rPr>
              <w:t>Evidencia</w:t>
            </w:r>
          </w:p>
        </w:tc>
        <w:tc>
          <w:tcPr>
            <w:tcW w:type="dxa" w:w="1944"/>
            <w:vAlign w:val="top"/>
            <w:shd w:fill="1F4E79"/>
          </w:tcPr>
          <w:p>
            <w:pPr>
              <w:jc w:val="both"/>
            </w:pPr>
            <w:r/>
            <w:r>
              <w:rPr>
                <w:rFonts w:ascii="Arial" w:hAnsi="Arial" w:eastAsia="Arial"/>
                <w:b/>
                <w:sz w:val="14"/>
              </w:rPr>
              <w:t>Art. Q1</w:t>
            </w:r>
          </w:p>
        </w:tc>
        <w:tc>
          <w:tcPr>
            <w:tcW w:type="dxa" w:w="1368"/>
            <w:vAlign w:val="top"/>
            <w:shd w:fill="1F4E79"/>
          </w:tcPr>
          <w:p>
            <w:pPr>
              <w:jc w:val="both"/>
            </w:pPr>
            <w:r/>
            <w:r>
              <w:rPr>
                <w:rFonts w:ascii="Arial" w:hAnsi="Arial" w:eastAsia="Arial"/>
                <w:b/>
                <w:sz w:val="14"/>
              </w:rPr>
              <w:t>DOI</w:t>
            </w:r>
          </w:p>
        </w:tc>
        <w:tc>
          <w:tcPr>
            <w:tcW w:type="dxa" w:w="504"/>
            <w:vAlign w:val="top"/>
            <w:shd w:fill="1F4E79"/>
          </w:tcPr>
          <w:p>
            <w:pPr>
              <w:jc w:val="both"/>
            </w:pPr>
            <w:r/>
            <w:r>
              <w:rPr>
                <w:rFonts w:ascii="Arial" w:hAnsi="Arial" w:eastAsia="Arial"/>
                <w:b/>
                <w:sz w:val="14"/>
              </w:rPr>
              <w:t>Pts</w:t>
            </w:r>
          </w:p>
        </w:tc>
        <w:tc>
          <w:tcPr>
            <w:tcW w:type="dxa" w:w="1080"/>
            <w:vAlign w:val="top"/>
            <w:shd w:fill="1F4E79"/>
          </w:tcPr>
          <w:p>
            <w:pPr>
              <w:jc w:val="both"/>
            </w:pPr>
            <w:r/>
            <w:r>
              <w:rPr>
                <w:rFonts w:ascii="Arial" w:hAnsi="Arial" w:eastAsia="Arial"/>
                <w:b/>
                <w:sz w:val="14"/>
              </w:rPr>
              <w:t>Veredicto</w:t>
            </w:r>
          </w:p>
        </w:tc>
      </w:tr>
      <w:tr>
        <w:tc>
          <w:tcPr>
            <w:tcW w:type="dxa" w:w="504"/>
            <w:vAlign w:val="top"/>
            <w:shd w:fill="E2EFDA"/>
          </w:tcPr>
          <w:p>
            <w:pPr>
              <w:jc w:val="both"/>
            </w:pPr>
            <w:r/>
            <w:r>
              <w:rPr>
                <w:rFonts w:ascii="Arial" w:hAnsi="Arial" w:eastAsia="Arial"/>
                <w:b w:val="0"/>
                <w:sz w:val="13"/>
              </w:rPr>
              <w:t>Tec</w:t>
            </w:r>
          </w:p>
        </w:tc>
        <w:tc>
          <w:tcPr>
            <w:tcW w:type="dxa" w:w="792"/>
            <w:vAlign w:val="top"/>
            <w:shd w:fill="E2EFDA"/>
          </w:tcPr>
          <w:p>
            <w:pPr>
              <w:jc w:val="both"/>
            </w:pPr>
            <w:r/>
            <w:r>
              <w:rPr>
                <w:rFonts w:ascii="Arial" w:hAnsi="Arial" w:eastAsia="Arial"/>
                <w:b w:val="0"/>
                <w:sz w:val="13"/>
              </w:rPr>
              <w:t>VT-01</w:t>
            </w:r>
          </w:p>
        </w:tc>
        <w:tc>
          <w:tcPr>
            <w:tcW w:type="dxa" w:w="1512"/>
            <w:vAlign w:val="top"/>
            <w:shd w:fill="E2EFDA"/>
          </w:tcPr>
          <w:p>
            <w:pPr>
              <w:jc w:val="both"/>
            </w:pPr>
            <w:r/>
            <w:r>
              <w:rPr>
                <w:rFonts w:ascii="Arial" w:hAnsi="Arial" w:eastAsia="Arial"/>
                <w:b w:val="0"/>
                <w:sz w:val="13"/>
              </w:rPr>
              <w:t>Stack tecnologico maduro y documentado</w:t>
            </w:r>
          </w:p>
        </w:tc>
        <w:tc>
          <w:tcPr>
            <w:tcW w:type="dxa" w:w="1800"/>
            <w:vAlign w:val="top"/>
            <w:shd w:fill="E2EFDA"/>
          </w:tcPr>
          <w:p>
            <w:pPr>
              <w:jc w:val="both"/>
            </w:pPr>
            <w:r/>
            <w:r>
              <w:rPr>
                <w:rFonts w:ascii="Arial" w:hAnsi="Arial" w:eastAsia="Arial"/>
                <w:b w:val="0"/>
                <w:sz w:val="13"/>
              </w:rPr>
              <w:t>React/Vite/TS + Supabase + Firebase Auth operativos en …</w:t>
            </w:r>
          </w:p>
        </w:tc>
        <w:tc>
          <w:tcPr>
            <w:tcW w:type="dxa" w:w="1512"/>
            <w:vAlign w:val="top"/>
            <w:shd w:fill="E2EFDA"/>
          </w:tcPr>
          <w:p>
            <w:pPr>
              <w:jc w:val="both"/>
            </w:pPr>
            <w:r/>
            <w:r>
              <w:rPr>
                <w:rFonts w:ascii="Arial" w:hAnsi="Arial" w:eastAsia="Arial"/>
                <w:b w:val="0"/>
                <w:sz w:val="13"/>
              </w:rPr>
              <w:t>ci.yml verde; formato-09; arquitectura-s…</w:t>
            </w:r>
          </w:p>
        </w:tc>
        <w:tc>
          <w:tcPr>
            <w:tcW w:type="dxa" w:w="1944"/>
            <w:vAlign w:val="top"/>
            <w:shd w:fill="E2EFDA"/>
          </w:tcPr>
          <w:p>
            <w:pPr>
              <w:jc w:val="both"/>
            </w:pPr>
            <w:r/>
            <w:r>
              <w:rPr>
                <w:rFonts w:ascii="Arial" w:hAnsi="Arial" w:eastAsia="Arial"/>
                <w:b w:val="0"/>
                <w:sz w:val="13"/>
              </w:rPr>
              <w:t>#28 Jamshidi et al. (2018). Microservic…</w:t>
            </w:r>
          </w:p>
        </w:tc>
        <w:tc>
          <w:tcPr>
            <w:tcW w:type="dxa" w:w="1368"/>
            <w:vAlign w:val="top"/>
            <w:shd w:fill="E2EFDA"/>
          </w:tcPr>
          <w:p>
            <w:pPr>
              <w:jc w:val="both"/>
            </w:pPr>
            <w:r/>
            <w:r>
              <w:rPr>
                <w:rFonts w:ascii="Arial" w:hAnsi="Arial" w:eastAsia="Arial"/>
                <w:b w:val="0"/>
                <w:sz w:val="13"/>
              </w:rPr>
              <w:t>https://doi.org/10.1109/ms.2</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Tec</w:t>
            </w:r>
          </w:p>
        </w:tc>
        <w:tc>
          <w:tcPr>
            <w:tcW w:type="dxa" w:w="792"/>
            <w:vAlign w:val="top"/>
            <w:shd w:fill="FFF2CC"/>
          </w:tcPr>
          <w:p>
            <w:pPr>
              <w:jc w:val="both"/>
            </w:pPr>
            <w:r/>
            <w:r>
              <w:rPr>
                <w:rFonts w:ascii="Arial" w:hAnsi="Arial" w:eastAsia="Arial"/>
                <w:b w:val="0"/>
                <w:sz w:val="13"/>
              </w:rPr>
              <w:t>VT-02</w:t>
            </w:r>
          </w:p>
        </w:tc>
        <w:tc>
          <w:tcPr>
            <w:tcW w:type="dxa" w:w="1512"/>
            <w:vAlign w:val="top"/>
            <w:shd w:fill="FFF2CC"/>
          </w:tcPr>
          <w:p>
            <w:pPr>
              <w:jc w:val="both"/>
            </w:pPr>
            <w:r/>
            <w:r>
              <w:rPr>
                <w:rFonts w:ascii="Arial" w:hAnsi="Arial" w:eastAsia="Arial"/>
                <w:b w:val="0"/>
                <w:sz w:val="13"/>
              </w:rPr>
              <w:t>Integracion multi-servicio verificable</w:t>
            </w:r>
          </w:p>
        </w:tc>
        <w:tc>
          <w:tcPr>
            <w:tcW w:type="dxa" w:w="1800"/>
            <w:vAlign w:val="top"/>
            <w:shd w:fill="FFF2CC"/>
          </w:tcPr>
          <w:p>
            <w:pPr>
              <w:jc w:val="both"/>
            </w:pPr>
            <w:r/>
            <w:r>
              <w:rPr>
                <w:rFonts w:ascii="Arial" w:hAnsi="Arial" w:eastAsia="Arial"/>
                <w:b w:val="0"/>
                <w:sz w:val="13"/>
              </w:rPr>
              <w:t>Stripe Cloudinary APISPERU ORS Upstash con E2E/gates</w:t>
            </w:r>
          </w:p>
        </w:tc>
        <w:tc>
          <w:tcPr>
            <w:tcW w:type="dxa" w:w="1512"/>
            <w:vAlign w:val="top"/>
            <w:shd w:fill="FFF2CC"/>
          </w:tcPr>
          <w:p>
            <w:pPr>
              <w:jc w:val="both"/>
            </w:pPr>
            <w:r/>
            <w:r>
              <w:rPr>
                <w:rFonts w:ascii="Arial" w:hAnsi="Arial" w:eastAsia="Arial"/>
                <w:b w:val="0"/>
                <w:sz w:val="13"/>
              </w:rPr>
              <w:t>9 dominios integracion OK; gate dashboar…</w:t>
            </w:r>
          </w:p>
        </w:tc>
        <w:tc>
          <w:tcPr>
            <w:tcW w:type="dxa" w:w="1944"/>
            <w:vAlign w:val="top"/>
            <w:shd w:fill="FFF2CC"/>
          </w:tcPr>
          <w:p>
            <w:pPr>
              <w:jc w:val="both"/>
            </w:pPr>
            <w:r/>
            <w:r>
              <w:rPr>
                <w:rFonts w:ascii="Arial" w:hAnsi="Arial" w:eastAsia="Arial"/>
                <w:b w:val="0"/>
                <w:sz w:val="13"/>
              </w:rPr>
              <w:t>#34 Li et al. (2021). Understanding qua…</w:t>
            </w:r>
          </w:p>
        </w:tc>
        <w:tc>
          <w:tcPr>
            <w:tcW w:type="dxa" w:w="1368"/>
            <w:vAlign w:val="top"/>
            <w:shd w:fill="FFF2CC"/>
          </w:tcPr>
          <w:p>
            <w:pPr>
              <w:jc w:val="both"/>
            </w:pPr>
            <w:r/>
            <w:r>
              <w:rPr>
                <w:rFonts w:ascii="Arial" w:hAnsi="Arial" w:eastAsia="Arial"/>
                <w:b w:val="0"/>
                <w:sz w:val="13"/>
              </w:rPr>
              <w:t>https://doi.org/10.1016/j.in</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 con reserva</w:t>
            </w:r>
          </w:p>
        </w:tc>
      </w:tr>
      <w:tr>
        <w:tc>
          <w:tcPr>
            <w:tcW w:type="dxa" w:w="504"/>
            <w:vAlign w:val="top"/>
            <w:shd w:fill="FFF2CC"/>
          </w:tcPr>
          <w:p>
            <w:pPr>
              <w:jc w:val="both"/>
            </w:pPr>
            <w:r/>
            <w:r>
              <w:rPr>
                <w:rFonts w:ascii="Arial" w:hAnsi="Arial" w:eastAsia="Arial"/>
                <w:b w:val="0"/>
                <w:sz w:val="13"/>
              </w:rPr>
              <w:t>Tec</w:t>
            </w:r>
          </w:p>
        </w:tc>
        <w:tc>
          <w:tcPr>
            <w:tcW w:type="dxa" w:w="792"/>
            <w:vAlign w:val="top"/>
            <w:shd w:fill="FFF2CC"/>
          </w:tcPr>
          <w:p>
            <w:pPr>
              <w:jc w:val="both"/>
            </w:pPr>
            <w:r/>
            <w:r>
              <w:rPr>
                <w:rFonts w:ascii="Arial" w:hAnsi="Arial" w:eastAsia="Arial"/>
                <w:b w:val="0"/>
                <w:sz w:val="13"/>
              </w:rPr>
              <w:t>VT-03</w:t>
            </w:r>
          </w:p>
        </w:tc>
        <w:tc>
          <w:tcPr>
            <w:tcW w:type="dxa" w:w="1512"/>
            <w:vAlign w:val="top"/>
            <w:shd w:fill="FFF2CC"/>
          </w:tcPr>
          <w:p>
            <w:pPr>
              <w:jc w:val="both"/>
            </w:pPr>
            <w:r/>
            <w:r>
              <w:rPr>
                <w:rFonts w:ascii="Arial" w:hAnsi="Arial" w:eastAsia="Arial"/>
                <w:b w:val="0"/>
                <w:sz w:val="13"/>
              </w:rPr>
              <w:t>Despliegue ML en produccion factible</w:t>
            </w:r>
          </w:p>
        </w:tc>
        <w:tc>
          <w:tcPr>
            <w:tcW w:type="dxa" w:w="1800"/>
            <w:vAlign w:val="top"/>
            <w:shd w:fill="FFF2CC"/>
          </w:tcPr>
          <w:p>
            <w:pPr>
              <w:jc w:val="both"/>
            </w:pPr>
            <w:r/>
            <w:r>
              <w:rPr>
                <w:rFonts w:ascii="Arial" w:hAnsi="Arial" w:eastAsia="Arial"/>
                <w:b w:val="0"/>
                <w:sz w:val="13"/>
              </w:rPr>
              <w:t>FastAPI ai-service + Render; backtest gate</w:t>
            </w:r>
          </w:p>
        </w:tc>
        <w:tc>
          <w:tcPr>
            <w:tcW w:type="dxa" w:w="1512"/>
            <w:vAlign w:val="top"/>
            <w:shd w:fill="FFF2CC"/>
          </w:tcPr>
          <w:p>
            <w:pPr>
              <w:jc w:val="both"/>
            </w:pPr>
            <w:r/>
            <w:r>
              <w:rPr>
                <w:rFonts w:ascii="Arial" w:hAnsi="Arial" w:eastAsia="Arial"/>
                <w:b w:val="0"/>
                <w:sz w:val="13"/>
              </w:rPr>
              <w:t>07-modulo-ia; ai-service/tests</w:t>
            </w:r>
          </w:p>
        </w:tc>
        <w:tc>
          <w:tcPr>
            <w:tcW w:type="dxa" w:w="1944"/>
            <w:vAlign w:val="top"/>
            <w:shd w:fill="FFF2CC"/>
          </w:tcPr>
          <w:p>
            <w:pPr>
              <w:jc w:val="both"/>
            </w:pPr>
            <w:r/>
            <w:r>
              <w:rPr>
                <w:rFonts w:ascii="Arial" w:hAnsi="Arial" w:eastAsia="Arial"/>
                <w:b w:val="0"/>
                <w:sz w:val="13"/>
              </w:rPr>
              <w:t>#32 Paleyes et al. (2022). Challenges i…</w:t>
            </w:r>
          </w:p>
        </w:tc>
        <w:tc>
          <w:tcPr>
            <w:tcW w:type="dxa" w:w="1368"/>
            <w:vAlign w:val="top"/>
            <w:shd w:fill="FFF2CC"/>
          </w:tcPr>
          <w:p>
            <w:pPr>
              <w:jc w:val="both"/>
            </w:pPr>
            <w:r/>
            <w:r>
              <w:rPr>
                <w:rFonts w:ascii="Arial" w:hAnsi="Arial" w:eastAsia="Arial"/>
                <w:b w:val="0"/>
                <w:sz w:val="13"/>
              </w:rPr>
              <w:t>https://doi.org/10.1145/3533</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 con reserva</w:t>
            </w:r>
          </w:p>
        </w:tc>
      </w:tr>
      <w:tr>
        <w:tc>
          <w:tcPr>
            <w:tcW w:type="dxa" w:w="504"/>
            <w:vAlign w:val="top"/>
            <w:shd w:fill="FFF2CC"/>
          </w:tcPr>
          <w:p>
            <w:pPr>
              <w:jc w:val="both"/>
            </w:pPr>
            <w:r/>
            <w:r>
              <w:rPr>
                <w:rFonts w:ascii="Arial" w:hAnsi="Arial" w:eastAsia="Arial"/>
                <w:b w:val="0"/>
                <w:sz w:val="13"/>
              </w:rPr>
              <w:t>Tec</w:t>
            </w:r>
          </w:p>
        </w:tc>
        <w:tc>
          <w:tcPr>
            <w:tcW w:type="dxa" w:w="792"/>
            <w:vAlign w:val="top"/>
            <w:shd w:fill="FFF2CC"/>
          </w:tcPr>
          <w:p>
            <w:pPr>
              <w:jc w:val="both"/>
            </w:pPr>
            <w:r/>
            <w:r>
              <w:rPr>
                <w:rFonts w:ascii="Arial" w:hAnsi="Arial" w:eastAsia="Arial"/>
                <w:b w:val="0"/>
                <w:sz w:val="13"/>
              </w:rPr>
              <w:t>VT-04</w:t>
            </w:r>
          </w:p>
        </w:tc>
        <w:tc>
          <w:tcPr>
            <w:tcW w:type="dxa" w:w="1512"/>
            <w:vAlign w:val="top"/>
            <w:shd w:fill="FFF2CC"/>
          </w:tcPr>
          <w:p>
            <w:pPr>
              <w:jc w:val="both"/>
            </w:pPr>
            <w:r/>
            <w:r>
              <w:rPr>
                <w:rFonts w:ascii="Arial" w:hAnsi="Arial" w:eastAsia="Arial"/>
                <w:b w:val="0"/>
                <w:sz w:val="13"/>
              </w:rPr>
              <w:t>MLops industrial escala PYME</w:t>
            </w:r>
          </w:p>
        </w:tc>
        <w:tc>
          <w:tcPr>
            <w:tcW w:type="dxa" w:w="1800"/>
            <w:vAlign w:val="top"/>
            <w:shd w:fill="FFF2CC"/>
          </w:tcPr>
          <w:p>
            <w:pPr>
              <w:jc w:val="both"/>
            </w:pPr>
            <w:r/>
            <w:r>
              <w:rPr>
                <w:rFonts w:ascii="Arial" w:hAnsi="Arial" w:eastAsia="Arial"/>
                <w:b w:val="0"/>
                <w:sz w:val="13"/>
              </w:rPr>
              <w:t>Lwakatare pipeline CI para IA + evaluate.py</w:t>
            </w:r>
          </w:p>
        </w:tc>
        <w:tc>
          <w:tcPr>
            <w:tcW w:type="dxa" w:w="1512"/>
            <w:vAlign w:val="top"/>
            <w:shd w:fill="FFF2CC"/>
          </w:tcPr>
          <w:p>
            <w:pPr>
              <w:jc w:val="both"/>
            </w:pPr>
            <w:r/>
            <w:r>
              <w:rPr>
                <w:rFonts w:ascii="Arial" w:hAnsi="Arial" w:eastAsia="Arial"/>
                <w:b w:val="0"/>
                <w:sz w:val="13"/>
              </w:rPr>
              <w:t>09-implementacion-despliegue-ci.md</w:t>
            </w:r>
          </w:p>
        </w:tc>
        <w:tc>
          <w:tcPr>
            <w:tcW w:type="dxa" w:w="1944"/>
            <w:vAlign w:val="top"/>
            <w:shd w:fill="FFF2CC"/>
          </w:tcPr>
          <w:p>
            <w:pPr>
              <w:jc w:val="both"/>
            </w:pPr>
            <w:r/>
            <w:r>
              <w:rPr>
                <w:rFonts w:ascii="Arial" w:hAnsi="Arial" w:eastAsia="Arial"/>
                <w:b w:val="0"/>
                <w:sz w:val="13"/>
              </w:rPr>
              <w:t>#29 Lwakatare et al. (2020). Large-scal…</w:t>
            </w:r>
          </w:p>
        </w:tc>
        <w:tc>
          <w:tcPr>
            <w:tcW w:type="dxa" w:w="1368"/>
            <w:vAlign w:val="top"/>
            <w:shd w:fill="FFF2CC"/>
          </w:tcPr>
          <w:p>
            <w:pPr>
              <w:jc w:val="both"/>
            </w:pPr>
            <w:r/>
            <w:r>
              <w:rPr>
                <w:rFonts w:ascii="Arial" w:hAnsi="Arial" w:eastAsia="Arial"/>
                <w:b w:val="0"/>
                <w:sz w:val="13"/>
              </w:rPr>
              <w:t>https://doi.org/10.1016/j.in</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Tec</w:t>
            </w:r>
          </w:p>
        </w:tc>
        <w:tc>
          <w:tcPr>
            <w:tcW w:type="dxa" w:w="792"/>
            <w:vAlign w:val="top"/>
            <w:shd w:fill="E2EFDA"/>
          </w:tcPr>
          <w:p>
            <w:pPr>
              <w:jc w:val="both"/>
            </w:pPr>
            <w:r/>
            <w:r>
              <w:rPr>
                <w:rFonts w:ascii="Arial" w:hAnsi="Arial" w:eastAsia="Arial"/>
                <w:b w:val="0"/>
                <w:sz w:val="13"/>
              </w:rPr>
              <w:t>VT-05</w:t>
            </w:r>
          </w:p>
        </w:tc>
        <w:tc>
          <w:tcPr>
            <w:tcW w:type="dxa" w:w="1512"/>
            <w:vAlign w:val="top"/>
            <w:shd w:fill="E2EFDA"/>
          </w:tcPr>
          <w:p>
            <w:pPr>
              <w:jc w:val="both"/>
            </w:pPr>
            <w:r/>
            <w:r>
              <w:rPr>
                <w:rFonts w:ascii="Arial" w:hAnsi="Arial" w:eastAsia="Arial"/>
                <w:b w:val="0"/>
                <w:sz w:val="13"/>
              </w:rPr>
              <w:t>Calidad software verificable (ISO 25010)</w:t>
            </w:r>
          </w:p>
        </w:tc>
        <w:tc>
          <w:tcPr>
            <w:tcW w:type="dxa" w:w="1800"/>
            <w:vAlign w:val="top"/>
            <w:shd w:fill="E2EFDA"/>
          </w:tcPr>
          <w:p>
            <w:pPr>
              <w:jc w:val="both"/>
            </w:pPr>
            <w:r/>
            <w:r>
              <w:rPr>
                <w:rFonts w:ascii="Arial" w:hAnsi="Arial" w:eastAsia="Arial"/>
                <w:b w:val="0"/>
                <w:sz w:val="13"/>
              </w:rPr>
              <w:t>Gates verify-* + 34+ E2E Playwright</w:t>
            </w:r>
          </w:p>
        </w:tc>
        <w:tc>
          <w:tcPr>
            <w:tcW w:type="dxa" w:w="1512"/>
            <w:vAlign w:val="top"/>
            <w:shd w:fill="E2EFDA"/>
          </w:tcPr>
          <w:p>
            <w:pPr>
              <w:jc w:val="both"/>
            </w:pPr>
            <w:r/>
            <w:r>
              <w:rPr>
                <w:rFonts w:ascii="Arial" w:hAnsi="Arial" w:eastAsia="Arial"/>
                <w:b w:val="0"/>
                <w:sz w:val="13"/>
              </w:rPr>
              <w:t>dashboard-iso25000; verify-idoneidad</w:t>
            </w:r>
          </w:p>
        </w:tc>
        <w:tc>
          <w:tcPr>
            <w:tcW w:type="dxa" w:w="1944"/>
            <w:vAlign w:val="top"/>
            <w:shd w:fill="E2EFDA"/>
          </w:tcPr>
          <w:p>
            <w:pPr>
              <w:jc w:val="both"/>
            </w:pPr>
            <w:r/>
            <w:r>
              <w:rPr>
                <w:rFonts w:ascii="Arial" w:hAnsi="Arial" w:eastAsia="Arial"/>
                <w:b w:val="0"/>
                <w:sz w:val="13"/>
              </w:rPr>
              <w:t>#33 Martinez-Fernandez et al. (2022). S…</w:t>
            </w:r>
          </w:p>
        </w:tc>
        <w:tc>
          <w:tcPr>
            <w:tcW w:type="dxa" w:w="1368"/>
            <w:vAlign w:val="top"/>
            <w:shd w:fill="E2EFDA"/>
          </w:tcPr>
          <w:p>
            <w:pPr>
              <w:jc w:val="both"/>
            </w:pPr>
            <w:r/>
            <w:r>
              <w:rPr>
                <w:rFonts w:ascii="Arial" w:hAnsi="Arial" w:eastAsia="Arial"/>
                <w:b w:val="0"/>
                <w:sz w:val="13"/>
              </w:rPr>
              <w:t>https://doi.org/10.1145/3487</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Tec</w:t>
            </w:r>
          </w:p>
        </w:tc>
        <w:tc>
          <w:tcPr>
            <w:tcW w:type="dxa" w:w="792"/>
            <w:vAlign w:val="top"/>
            <w:shd w:fill="FFF2CC"/>
          </w:tcPr>
          <w:p>
            <w:pPr>
              <w:jc w:val="both"/>
            </w:pPr>
            <w:r/>
            <w:r>
              <w:rPr>
                <w:rFonts w:ascii="Arial" w:hAnsi="Arial" w:eastAsia="Arial"/>
                <w:b w:val="0"/>
                <w:sz w:val="13"/>
              </w:rPr>
              <w:t>VT-06</w:t>
            </w:r>
          </w:p>
        </w:tc>
        <w:tc>
          <w:tcPr>
            <w:tcW w:type="dxa" w:w="1512"/>
            <w:vAlign w:val="top"/>
            <w:shd w:fill="FFF2CC"/>
          </w:tcPr>
          <w:p>
            <w:pPr>
              <w:jc w:val="both"/>
            </w:pPr>
            <w:r/>
            <w:r>
              <w:rPr>
                <w:rFonts w:ascii="Arial" w:hAnsi="Arial" w:eastAsia="Arial"/>
                <w:b w:val="0"/>
                <w:sz w:val="13"/>
              </w:rPr>
              <w:t>Seguridad tecnica RLS auth cifrado</w:t>
            </w:r>
          </w:p>
        </w:tc>
        <w:tc>
          <w:tcPr>
            <w:tcW w:type="dxa" w:w="1800"/>
            <w:vAlign w:val="top"/>
            <w:shd w:fill="FFF2CC"/>
          </w:tcPr>
          <w:p>
            <w:pPr>
              <w:jc w:val="both"/>
            </w:pPr>
            <w:r/>
            <w:r>
              <w:rPr>
                <w:rFonts w:ascii="Arial" w:hAnsi="Arial" w:eastAsia="Arial"/>
                <w:b w:val="0"/>
                <w:sz w:val="13"/>
              </w:rPr>
              <w:t>RLS matrix; ZAP DAP; Firebase Auth; BFF fail-closed</w:t>
            </w:r>
          </w:p>
        </w:tc>
        <w:tc>
          <w:tcPr>
            <w:tcW w:type="dxa" w:w="1512"/>
            <w:vAlign w:val="top"/>
            <w:shd w:fill="FFF2CC"/>
          </w:tcPr>
          <w:p>
            <w:pPr>
              <w:jc w:val="both"/>
            </w:pPr>
            <w:r/>
            <w:r>
              <w:rPr>
                <w:rFonts w:ascii="Arial" w:hAnsi="Arial" w:eastAsia="Arial"/>
                <w:b w:val="0"/>
                <w:sz w:val="13"/>
              </w:rPr>
              <w:t>10 dimensiones seguridad OK; gate busca …</w:t>
            </w:r>
          </w:p>
        </w:tc>
        <w:tc>
          <w:tcPr>
            <w:tcW w:type="dxa" w:w="1944"/>
            <w:vAlign w:val="top"/>
            <w:shd w:fill="FFF2CC"/>
          </w:tcPr>
          <w:p>
            <w:pPr>
              <w:jc w:val="both"/>
            </w:pPr>
            <w:r/>
            <w:r>
              <w:rPr>
                <w:rFonts w:ascii="Arial" w:hAnsi="Arial" w:eastAsia="Arial"/>
                <w:b w:val="0"/>
                <w:sz w:val="13"/>
              </w:rPr>
              <w:t>#44 Buck et al. (2021). Never trust alw…</w:t>
            </w:r>
          </w:p>
        </w:tc>
        <w:tc>
          <w:tcPr>
            <w:tcW w:type="dxa" w:w="1368"/>
            <w:vAlign w:val="top"/>
            <w:shd w:fill="FFF2CC"/>
          </w:tcPr>
          <w:p>
            <w:pPr>
              <w:jc w:val="both"/>
            </w:pPr>
            <w:r/>
            <w:r>
              <w:rPr>
                <w:rFonts w:ascii="Arial" w:hAnsi="Arial" w:eastAsia="Arial"/>
                <w:b w:val="0"/>
                <w:sz w:val="13"/>
              </w:rPr>
              <w:t>https://doi.org/10.1016/j.co</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 con reserva</w:t>
            </w:r>
          </w:p>
        </w:tc>
      </w:tr>
      <w:tr>
        <w:tc>
          <w:tcPr>
            <w:tcW w:type="dxa" w:w="504"/>
            <w:vAlign w:val="top"/>
            <w:shd w:fill="E2EFDA"/>
          </w:tcPr>
          <w:p>
            <w:pPr>
              <w:jc w:val="both"/>
            </w:pPr>
            <w:r/>
            <w:r>
              <w:rPr>
                <w:rFonts w:ascii="Arial" w:hAnsi="Arial" w:eastAsia="Arial"/>
                <w:b w:val="0"/>
                <w:sz w:val="13"/>
              </w:rPr>
              <w:t>Eco</w:t>
            </w:r>
          </w:p>
        </w:tc>
        <w:tc>
          <w:tcPr>
            <w:tcW w:type="dxa" w:w="792"/>
            <w:vAlign w:val="top"/>
            <w:shd w:fill="E2EFDA"/>
          </w:tcPr>
          <w:p>
            <w:pPr>
              <w:jc w:val="both"/>
            </w:pPr>
            <w:r/>
            <w:r>
              <w:rPr>
                <w:rFonts w:ascii="Arial" w:hAnsi="Arial" w:eastAsia="Arial"/>
                <w:b w:val="0"/>
                <w:sz w:val="13"/>
              </w:rPr>
              <w:t>VE-01</w:t>
            </w:r>
          </w:p>
        </w:tc>
        <w:tc>
          <w:tcPr>
            <w:tcW w:type="dxa" w:w="1512"/>
            <w:vAlign w:val="top"/>
            <w:shd w:fill="E2EFDA"/>
          </w:tcPr>
          <w:p>
            <w:pPr>
              <w:jc w:val="both"/>
            </w:pPr>
            <w:r/>
            <w:r>
              <w:rPr>
                <w:rFonts w:ascii="Arial" w:hAnsi="Arial" w:eastAsia="Arial"/>
                <w:b w:val="0"/>
                <w:sz w:val="13"/>
              </w:rPr>
              <w:t>Costo infraestructura accesible PYME</w:t>
            </w:r>
          </w:p>
        </w:tc>
        <w:tc>
          <w:tcPr>
            <w:tcW w:type="dxa" w:w="1800"/>
            <w:vAlign w:val="top"/>
            <w:shd w:fill="E2EFDA"/>
          </w:tcPr>
          <w:p>
            <w:pPr>
              <w:jc w:val="both"/>
            </w:pPr>
            <w:r/>
            <w:r>
              <w:rPr>
                <w:rFonts w:ascii="Arial" w:hAnsi="Arial" w:eastAsia="Arial"/>
                <w:b w:val="0"/>
                <w:sz w:val="13"/>
              </w:rPr>
              <w:t>Firebase Hosting tier; Supabase; Render free/low tier</w:t>
            </w:r>
          </w:p>
        </w:tc>
        <w:tc>
          <w:tcPr>
            <w:tcW w:type="dxa" w:w="1512"/>
            <w:vAlign w:val="top"/>
            <w:shd w:fill="E2EFDA"/>
          </w:tcPr>
          <w:p>
            <w:pPr>
              <w:jc w:val="both"/>
            </w:pPr>
            <w:r/>
            <w:r>
              <w:rPr>
                <w:rFonts w:ascii="Arial" w:hAnsi="Arial" w:eastAsia="Arial"/>
                <w:b w:val="0"/>
                <w:sz w:val="13"/>
              </w:rPr>
              <w:t>documentacion-general; 10-operacion</w:t>
            </w:r>
          </w:p>
        </w:tc>
        <w:tc>
          <w:tcPr>
            <w:tcW w:type="dxa" w:w="1944"/>
            <w:vAlign w:val="top"/>
            <w:shd w:fill="E2EFDA"/>
          </w:tcPr>
          <w:p>
            <w:pPr>
              <w:jc w:val="both"/>
            </w:pPr>
            <w:r/>
            <w:r>
              <w:rPr>
                <w:rFonts w:ascii="Arial" w:hAnsi="Arial" w:eastAsia="Arial"/>
                <w:b w:val="0"/>
                <w:sz w:val="13"/>
              </w:rPr>
              <w:t>#01 Verhoef et al. (2019). Digital tran…</w:t>
            </w:r>
          </w:p>
        </w:tc>
        <w:tc>
          <w:tcPr>
            <w:tcW w:type="dxa" w:w="1368"/>
            <w:vAlign w:val="top"/>
            <w:shd w:fill="E2EFDA"/>
          </w:tcPr>
          <w:p>
            <w:pPr>
              <w:jc w:val="both"/>
            </w:pPr>
            <w:r/>
            <w:r>
              <w:rPr>
                <w:rFonts w:ascii="Arial" w:hAnsi="Arial" w:eastAsia="Arial"/>
                <w:b w:val="0"/>
                <w:sz w:val="13"/>
              </w:rPr>
              <w:t>https://doi.org/10.1016/j.jb</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Eco</w:t>
            </w:r>
          </w:p>
        </w:tc>
        <w:tc>
          <w:tcPr>
            <w:tcW w:type="dxa" w:w="792"/>
            <w:vAlign w:val="top"/>
            <w:shd w:fill="E2EFDA"/>
          </w:tcPr>
          <w:p>
            <w:pPr>
              <w:jc w:val="both"/>
            </w:pPr>
            <w:r/>
            <w:r>
              <w:rPr>
                <w:rFonts w:ascii="Arial" w:hAnsi="Arial" w:eastAsia="Arial"/>
                <w:b w:val="0"/>
                <w:sz w:val="13"/>
              </w:rPr>
              <w:t>VE-02</w:t>
            </w:r>
          </w:p>
        </w:tc>
        <w:tc>
          <w:tcPr>
            <w:tcW w:type="dxa" w:w="1512"/>
            <w:vAlign w:val="top"/>
            <w:shd w:fill="E2EFDA"/>
          </w:tcPr>
          <w:p>
            <w:pPr>
              <w:jc w:val="both"/>
            </w:pPr>
            <w:r/>
            <w:r>
              <w:rPr>
                <w:rFonts w:ascii="Arial" w:hAnsi="Arial" w:eastAsia="Arial"/>
                <w:b w:val="0"/>
                <w:sz w:val="13"/>
              </w:rPr>
              <w:t>Beneficio digitalizacion retail cadena valor</w:t>
            </w:r>
          </w:p>
        </w:tc>
        <w:tc>
          <w:tcPr>
            <w:tcW w:type="dxa" w:w="1800"/>
            <w:vAlign w:val="top"/>
            <w:shd w:fill="E2EFDA"/>
          </w:tcPr>
          <w:p>
            <w:pPr>
              <w:jc w:val="both"/>
            </w:pPr>
            <w:r/>
            <w:r>
              <w:rPr>
                <w:rFonts w:ascii="Arial" w:hAnsi="Arial" w:eastAsia="Arial"/>
                <w:b w:val="0"/>
                <w:sz w:val="13"/>
              </w:rPr>
              <w:t>Canal online amplia cobertura Huancayo+</w:t>
            </w:r>
          </w:p>
        </w:tc>
        <w:tc>
          <w:tcPr>
            <w:tcW w:type="dxa" w:w="1512"/>
            <w:vAlign w:val="top"/>
            <w:shd w:fill="E2EFDA"/>
          </w:tcPr>
          <w:p>
            <w:pPr>
              <w:jc w:val="both"/>
            </w:pPr>
            <w:r/>
            <w:r>
              <w:rPr>
                <w:rFonts w:ascii="Arial" w:hAnsi="Arial" w:eastAsia="Arial"/>
                <w:b w:val="0"/>
                <w:sz w:val="13"/>
              </w:rPr>
              <w:t>formato-09 objetivos; matriz propuesta v…</w:t>
            </w:r>
          </w:p>
        </w:tc>
        <w:tc>
          <w:tcPr>
            <w:tcW w:type="dxa" w:w="1944"/>
            <w:vAlign w:val="top"/>
            <w:shd w:fill="E2EFDA"/>
          </w:tcPr>
          <w:p>
            <w:pPr>
              <w:jc w:val="both"/>
            </w:pPr>
            <w:r/>
            <w:r>
              <w:rPr>
                <w:rFonts w:ascii="Arial" w:hAnsi="Arial" w:eastAsia="Arial"/>
                <w:b w:val="0"/>
                <w:sz w:val="13"/>
              </w:rPr>
              <w:t>#07 Reinartz et al. (2019). The impact …</w:t>
            </w:r>
          </w:p>
        </w:tc>
        <w:tc>
          <w:tcPr>
            <w:tcW w:type="dxa" w:w="1368"/>
            <w:vAlign w:val="top"/>
            <w:shd w:fill="E2EFDA"/>
          </w:tcPr>
          <w:p>
            <w:pPr>
              <w:jc w:val="both"/>
            </w:pPr>
            <w:r/>
            <w:r>
              <w:rPr>
                <w:rFonts w:ascii="Arial" w:hAnsi="Arial" w:eastAsia="Arial"/>
                <w:b w:val="0"/>
                <w:sz w:val="13"/>
              </w:rPr>
              <w:t>https://doi.org/10.1016/j.ij</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Eco</w:t>
            </w:r>
          </w:p>
        </w:tc>
        <w:tc>
          <w:tcPr>
            <w:tcW w:type="dxa" w:w="792"/>
            <w:vAlign w:val="top"/>
            <w:shd w:fill="FFF2CC"/>
          </w:tcPr>
          <w:p>
            <w:pPr>
              <w:jc w:val="both"/>
            </w:pPr>
            <w:r/>
            <w:r>
              <w:rPr>
                <w:rFonts w:ascii="Arial" w:hAnsi="Arial" w:eastAsia="Arial"/>
                <w:b w:val="0"/>
                <w:sz w:val="13"/>
              </w:rPr>
              <w:t>VE-03</w:t>
            </w:r>
          </w:p>
        </w:tc>
        <w:tc>
          <w:tcPr>
            <w:tcW w:type="dxa" w:w="1512"/>
            <w:vAlign w:val="top"/>
            <w:shd w:fill="FFF2CC"/>
          </w:tcPr>
          <w:p>
            <w:pPr>
              <w:jc w:val="both"/>
            </w:pPr>
            <w:r/>
            <w:r>
              <w:rPr>
                <w:rFonts w:ascii="Arial" w:hAnsi="Arial" w:eastAsia="Arial"/>
                <w:b w:val="0"/>
                <w:sz w:val="13"/>
              </w:rPr>
              <w:t>Big data analytics mejora desempeno</w:t>
            </w:r>
          </w:p>
        </w:tc>
        <w:tc>
          <w:tcPr>
            <w:tcW w:type="dxa" w:w="1800"/>
            <w:vAlign w:val="top"/>
            <w:shd w:fill="FFF2CC"/>
          </w:tcPr>
          <w:p>
            <w:pPr>
              <w:jc w:val="both"/>
            </w:pPr>
            <w:r/>
            <w:r>
              <w:rPr>
                <w:rFonts w:ascii="Arial" w:hAnsi="Arial" w:eastAsia="Arial"/>
                <w:b w:val="0"/>
                <w:sz w:val="13"/>
              </w:rPr>
              <w:t>KPIs dashboard + IRE reducen perdidas operativas</w:t>
            </w:r>
          </w:p>
        </w:tc>
        <w:tc>
          <w:tcPr>
            <w:tcW w:type="dxa" w:w="1512"/>
            <w:vAlign w:val="top"/>
            <w:shd w:fill="FFF2CC"/>
          </w:tcPr>
          <w:p>
            <w:pPr>
              <w:jc w:val="both"/>
            </w:pPr>
            <w:r/>
            <w:r>
              <w:rPr>
                <w:rFonts w:ascii="Arial" w:hAnsi="Arial" w:eastAsia="Arial"/>
                <w:b w:val="0"/>
                <w:sz w:val="13"/>
              </w:rPr>
              <w:t>RF-ADM-01; RF-IA-01</w:t>
            </w:r>
          </w:p>
        </w:tc>
        <w:tc>
          <w:tcPr>
            <w:tcW w:type="dxa" w:w="1944"/>
            <w:vAlign w:val="top"/>
            <w:shd w:fill="FFF2CC"/>
          </w:tcPr>
          <w:p>
            <w:pPr>
              <w:jc w:val="both"/>
            </w:pPr>
            <w:r/>
            <w:r>
              <w:rPr>
                <w:rFonts w:ascii="Arial" w:hAnsi="Arial" w:eastAsia="Arial"/>
                <w:b w:val="0"/>
                <w:sz w:val="13"/>
              </w:rPr>
              <w:t>#12 Amba et al. (2017). Big data analyt…</w:t>
            </w:r>
          </w:p>
        </w:tc>
        <w:tc>
          <w:tcPr>
            <w:tcW w:type="dxa" w:w="1368"/>
            <w:vAlign w:val="top"/>
            <w:shd w:fill="FFF2CC"/>
          </w:tcPr>
          <w:p>
            <w:pPr>
              <w:jc w:val="both"/>
            </w:pPr>
            <w:r/>
            <w:r>
              <w:rPr>
                <w:rFonts w:ascii="Arial" w:hAnsi="Arial" w:eastAsia="Arial"/>
                <w:b w:val="0"/>
                <w:sz w:val="13"/>
              </w:rPr>
              <w:t>https://doi.org/10.1016/j.jb</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Eco</w:t>
            </w:r>
          </w:p>
        </w:tc>
        <w:tc>
          <w:tcPr>
            <w:tcW w:type="dxa" w:w="792"/>
            <w:vAlign w:val="top"/>
            <w:shd w:fill="E2EFDA"/>
          </w:tcPr>
          <w:p>
            <w:pPr>
              <w:jc w:val="both"/>
            </w:pPr>
            <w:r/>
            <w:r>
              <w:rPr>
                <w:rFonts w:ascii="Arial" w:hAnsi="Arial" w:eastAsia="Arial"/>
                <w:b w:val="0"/>
                <w:sz w:val="13"/>
              </w:rPr>
              <w:t>VE-04</w:t>
            </w:r>
          </w:p>
        </w:tc>
        <w:tc>
          <w:tcPr>
            <w:tcW w:type="dxa" w:w="1512"/>
            <w:vAlign w:val="top"/>
            <w:shd w:fill="E2EFDA"/>
          </w:tcPr>
          <w:p>
            <w:pPr>
              <w:jc w:val="both"/>
            </w:pPr>
            <w:r/>
            <w:r>
              <w:rPr>
                <w:rFonts w:ascii="Arial" w:hAnsi="Arial" w:eastAsia="Arial"/>
                <w:b w:val="0"/>
                <w:sz w:val="13"/>
              </w:rPr>
              <w:t>Relacion costo-beneficio vs alternativas SaaS</w:t>
            </w:r>
          </w:p>
        </w:tc>
        <w:tc>
          <w:tcPr>
            <w:tcW w:type="dxa" w:w="1800"/>
            <w:vAlign w:val="top"/>
            <w:shd w:fill="E2EFDA"/>
          </w:tcPr>
          <w:p>
            <w:pPr>
              <w:jc w:val="both"/>
            </w:pPr>
            <w:r/>
            <w:r>
              <w:rPr>
                <w:rFonts w:ascii="Arial" w:hAnsi="Arial" w:eastAsia="Arial"/>
                <w:b w:val="0"/>
                <w:sz w:val="13"/>
              </w:rPr>
              <w:t>Desarrollo propio vs Shopify+plugins IA inexistentes</w:t>
            </w:r>
          </w:p>
        </w:tc>
        <w:tc>
          <w:tcPr>
            <w:tcW w:type="dxa" w:w="1512"/>
            <w:vAlign w:val="top"/>
            <w:shd w:fill="E2EFDA"/>
          </w:tcPr>
          <w:p>
            <w:pPr>
              <w:jc w:val="both"/>
            </w:pPr>
            <w:r/>
            <w:r>
              <w:rPr>
                <w:rFonts w:ascii="Arial" w:hAnsi="Arial" w:eastAsia="Arial"/>
                <w:b w:val="0"/>
                <w:sz w:val="13"/>
              </w:rPr>
              <w:t>Matriz propuesta valor diferenciadores</w:t>
            </w:r>
          </w:p>
        </w:tc>
        <w:tc>
          <w:tcPr>
            <w:tcW w:type="dxa" w:w="1944"/>
            <w:vAlign w:val="top"/>
            <w:shd w:fill="E2EFDA"/>
          </w:tcPr>
          <w:p>
            <w:pPr>
              <w:jc w:val="both"/>
            </w:pPr>
            <w:r/>
            <w:r>
              <w:rPr>
                <w:rFonts w:ascii="Arial" w:hAnsi="Arial" w:eastAsia="Arial"/>
                <w:b w:val="0"/>
                <w:sz w:val="13"/>
              </w:rPr>
              <w:t>#43 Dai et al. (2024). Revolutionizing …</w:t>
            </w:r>
          </w:p>
        </w:tc>
        <w:tc>
          <w:tcPr>
            <w:tcW w:type="dxa" w:w="1368"/>
            <w:vAlign w:val="top"/>
            <w:shd w:fill="E2EFDA"/>
          </w:tcPr>
          <w:p>
            <w:pPr>
              <w:jc w:val="both"/>
            </w:pPr>
            <w:r/>
            <w:r>
              <w:rPr>
                <w:rFonts w:ascii="Arial" w:hAnsi="Arial" w:eastAsia="Arial"/>
                <w:b w:val="0"/>
                <w:sz w:val="13"/>
              </w:rPr>
              <w:t>https://doi.org/10.1371/jour</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Eco</w:t>
            </w:r>
          </w:p>
        </w:tc>
        <w:tc>
          <w:tcPr>
            <w:tcW w:type="dxa" w:w="792"/>
            <w:vAlign w:val="top"/>
            <w:shd w:fill="FFF2CC"/>
          </w:tcPr>
          <w:p>
            <w:pPr>
              <w:jc w:val="both"/>
            </w:pPr>
            <w:r/>
            <w:r>
              <w:rPr>
                <w:rFonts w:ascii="Arial" w:hAnsi="Arial" w:eastAsia="Arial"/>
                <w:b w:val="0"/>
                <w:sz w:val="13"/>
              </w:rPr>
              <w:t>VE-05</w:t>
            </w:r>
          </w:p>
        </w:tc>
        <w:tc>
          <w:tcPr>
            <w:tcW w:type="dxa" w:w="1512"/>
            <w:vAlign w:val="top"/>
            <w:shd w:fill="FFF2CC"/>
          </w:tcPr>
          <w:p>
            <w:pPr>
              <w:jc w:val="both"/>
            </w:pPr>
            <w:r/>
            <w:r>
              <w:rPr>
                <w:rFonts w:ascii="Arial" w:hAnsi="Arial" w:eastAsia="Arial"/>
                <w:b w:val="0"/>
                <w:sz w:val="13"/>
              </w:rPr>
              <w:t>Reduccion costos operativos stock/demanda</w:t>
            </w:r>
          </w:p>
        </w:tc>
        <w:tc>
          <w:tcPr>
            <w:tcW w:type="dxa" w:w="1800"/>
            <w:vAlign w:val="top"/>
            <w:shd w:fill="FFF2CC"/>
          </w:tcPr>
          <w:p>
            <w:pPr>
              <w:jc w:val="both"/>
            </w:pPr>
            <w:r/>
            <w:r>
              <w:rPr>
                <w:rFonts w:ascii="Arial" w:hAnsi="Arial" w:eastAsia="Arial"/>
                <w:b w:val="0"/>
                <w:sz w:val="13"/>
              </w:rPr>
              <w:t>Alertas quiebre + ABC inventario</w:t>
            </w:r>
          </w:p>
        </w:tc>
        <w:tc>
          <w:tcPr>
            <w:tcW w:type="dxa" w:w="1512"/>
            <w:vAlign w:val="top"/>
            <w:shd w:fill="FFF2CC"/>
          </w:tcPr>
          <w:p>
            <w:pPr>
              <w:jc w:val="both"/>
            </w:pPr>
            <w:r/>
            <w:r>
              <w:rPr>
                <w:rFonts w:ascii="Arial" w:hAnsi="Arial" w:eastAsia="Arial"/>
                <w:b w:val="0"/>
                <w:sz w:val="13"/>
              </w:rPr>
              <w:t>IN-27; IN-34; IN-35</w:t>
            </w:r>
          </w:p>
        </w:tc>
        <w:tc>
          <w:tcPr>
            <w:tcW w:type="dxa" w:w="1944"/>
            <w:vAlign w:val="top"/>
            <w:shd w:fill="FFF2CC"/>
          </w:tcPr>
          <w:p>
            <w:pPr>
              <w:jc w:val="both"/>
            </w:pPr>
            <w:r/>
            <w:r>
              <w:rPr>
                <w:rFonts w:ascii="Arial" w:hAnsi="Arial" w:eastAsia="Arial"/>
                <w:b w:val="0"/>
                <w:sz w:val="13"/>
              </w:rPr>
              <w:t>#40 Choi et al. (2018). Big data analyt…</w:t>
            </w:r>
          </w:p>
        </w:tc>
        <w:tc>
          <w:tcPr>
            <w:tcW w:type="dxa" w:w="1368"/>
            <w:vAlign w:val="top"/>
            <w:shd w:fill="FFF2CC"/>
          </w:tcPr>
          <w:p>
            <w:pPr>
              <w:jc w:val="both"/>
            </w:pPr>
            <w:r/>
            <w:r>
              <w:rPr>
                <w:rFonts w:ascii="Arial" w:hAnsi="Arial" w:eastAsia="Arial"/>
                <w:b w:val="0"/>
                <w:sz w:val="13"/>
              </w:rPr>
              <w:t>https://doi.org/10.1111/poms</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Leg</w:t>
            </w:r>
          </w:p>
        </w:tc>
        <w:tc>
          <w:tcPr>
            <w:tcW w:type="dxa" w:w="792"/>
            <w:vAlign w:val="top"/>
            <w:shd w:fill="E2EFDA"/>
          </w:tcPr>
          <w:p>
            <w:pPr>
              <w:jc w:val="both"/>
            </w:pPr>
            <w:r/>
            <w:r>
              <w:rPr>
                <w:rFonts w:ascii="Arial" w:hAnsi="Arial" w:eastAsia="Arial"/>
                <w:b w:val="0"/>
                <w:sz w:val="13"/>
              </w:rPr>
              <w:t>VL-01</w:t>
            </w:r>
          </w:p>
        </w:tc>
        <w:tc>
          <w:tcPr>
            <w:tcW w:type="dxa" w:w="1512"/>
            <w:vAlign w:val="top"/>
            <w:shd w:fill="E2EFDA"/>
          </w:tcPr>
          <w:p>
            <w:pPr>
              <w:jc w:val="both"/>
            </w:pPr>
            <w:r/>
            <w:r>
              <w:rPr>
                <w:rFonts w:ascii="Arial" w:hAnsi="Arial" w:eastAsia="Arial"/>
                <w:b w:val="0"/>
                <w:sz w:val="13"/>
              </w:rPr>
              <w:t>Cumplimiento Ley 29571 consumidor</w:t>
            </w:r>
          </w:p>
        </w:tc>
        <w:tc>
          <w:tcPr>
            <w:tcW w:type="dxa" w:w="1800"/>
            <w:vAlign w:val="top"/>
            <w:shd w:fill="E2EFDA"/>
          </w:tcPr>
          <w:p>
            <w:pPr>
              <w:jc w:val="both"/>
            </w:pPr>
            <w:r/>
            <w:r>
              <w:rPr>
                <w:rFonts w:ascii="Arial" w:hAnsi="Arial" w:eastAsia="Arial"/>
                <w:b w:val="0"/>
                <w:sz w:val="13"/>
              </w:rPr>
              <w:t>Libro reclamaciones virtual implementado</w:t>
            </w:r>
          </w:p>
        </w:tc>
        <w:tc>
          <w:tcPr>
            <w:tcW w:type="dxa" w:w="1512"/>
            <w:vAlign w:val="top"/>
            <w:shd w:fill="E2EFDA"/>
          </w:tcPr>
          <w:p>
            <w:pPr>
              <w:jc w:val="both"/>
            </w:pPr>
            <w:r/>
            <w:r>
              <w:rPr>
                <w:rFonts w:ascii="Arial" w:hAnsi="Arial" w:eastAsia="Arial"/>
                <w:b w:val="0"/>
                <w:sz w:val="13"/>
              </w:rPr>
              <w:t>RF-LEG-01; TC-CMP-001</w:t>
            </w:r>
          </w:p>
        </w:tc>
        <w:tc>
          <w:tcPr>
            <w:tcW w:type="dxa" w:w="1944"/>
            <w:vAlign w:val="top"/>
            <w:shd w:fill="E2EFDA"/>
          </w:tcPr>
          <w:p>
            <w:pPr>
              <w:jc w:val="both"/>
            </w:pPr>
            <w:r/>
            <w:r>
              <w:rPr>
                <w:rFonts w:ascii="Arial" w:hAnsi="Arial" w:eastAsia="Arial"/>
                <w:b w:val="0"/>
                <w:sz w:val="13"/>
              </w:rPr>
              <w:t>#Norma Ley 29571 Codigo Proteccion Consumi…</w:t>
            </w:r>
          </w:p>
        </w:tc>
        <w:tc>
          <w:tcPr>
            <w:tcW w:type="dxa" w:w="1368"/>
            <w:vAlign w:val="top"/>
            <w:shd w:fill="E2EFDA"/>
          </w:tcPr>
          <w:p>
            <w:pPr>
              <w:jc w:val="both"/>
            </w:pPr>
            <w:r/>
            <w:r>
              <w:rPr>
                <w:rFonts w:ascii="Arial" w:hAnsi="Arial" w:eastAsia="Arial"/>
                <w:b w:val="0"/>
                <w:sz w:val="13"/>
              </w:rPr>
              <w:t>Norma</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Leg</w:t>
            </w:r>
          </w:p>
        </w:tc>
        <w:tc>
          <w:tcPr>
            <w:tcW w:type="dxa" w:w="792"/>
            <w:vAlign w:val="top"/>
            <w:shd w:fill="E2EFDA"/>
          </w:tcPr>
          <w:p>
            <w:pPr>
              <w:jc w:val="both"/>
            </w:pPr>
            <w:r/>
            <w:r>
              <w:rPr>
                <w:rFonts w:ascii="Arial" w:hAnsi="Arial" w:eastAsia="Arial"/>
                <w:b w:val="0"/>
                <w:sz w:val="13"/>
              </w:rPr>
              <w:t>VL-02</w:t>
            </w:r>
          </w:p>
        </w:tc>
        <w:tc>
          <w:tcPr>
            <w:tcW w:type="dxa" w:w="1512"/>
            <w:vAlign w:val="top"/>
            <w:shd w:fill="E2EFDA"/>
          </w:tcPr>
          <w:p>
            <w:pPr>
              <w:jc w:val="both"/>
            </w:pPr>
            <w:r/>
            <w:r>
              <w:rPr>
                <w:rFonts w:ascii="Arial" w:hAnsi="Arial" w:eastAsia="Arial"/>
                <w:b w:val="0"/>
                <w:sz w:val="13"/>
              </w:rPr>
              <w:t>Cumplimiento Ley 29733 datos personales</w:t>
            </w:r>
          </w:p>
        </w:tc>
        <w:tc>
          <w:tcPr>
            <w:tcW w:type="dxa" w:w="1800"/>
            <w:vAlign w:val="top"/>
            <w:shd w:fill="E2EFDA"/>
          </w:tcPr>
          <w:p>
            <w:pPr>
              <w:jc w:val="both"/>
            </w:pPr>
            <w:r/>
            <w:r>
              <w:rPr>
                <w:rFonts w:ascii="Arial" w:hAnsi="Arial" w:eastAsia="Arial"/>
                <w:b w:val="0"/>
                <w:sz w:val="13"/>
              </w:rPr>
              <w:t>Politica privacidad cookies consentimiento</w:t>
            </w:r>
          </w:p>
        </w:tc>
        <w:tc>
          <w:tcPr>
            <w:tcW w:type="dxa" w:w="1512"/>
            <w:vAlign w:val="top"/>
            <w:shd w:fill="E2EFDA"/>
          </w:tcPr>
          <w:p>
            <w:pPr>
              <w:jc w:val="both"/>
            </w:pPr>
            <w:r/>
            <w:r>
              <w:rPr>
                <w:rFonts w:ascii="Arial" w:hAnsi="Arial" w:eastAsia="Arial"/>
                <w:b w:val="0"/>
                <w:sz w:val="13"/>
              </w:rPr>
              <w:t>RF-LEG-02/03; TC-CMP-002/003</w:t>
            </w:r>
          </w:p>
        </w:tc>
        <w:tc>
          <w:tcPr>
            <w:tcW w:type="dxa" w:w="1944"/>
            <w:vAlign w:val="top"/>
            <w:shd w:fill="E2EFDA"/>
          </w:tcPr>
          <w:p>
            <w:pPr>
              <w:jc w:val="both"/>
            </w:pPr>
            <w:r/>
            <w:r>
              <w:rPr>
                <w:rFonts w:ascii="Arial" w:hAnsi="Arial" w:eastAsia="Arial"/>
                <w:b w:val="0"/>
                <w:sz w:val="13"/>
              </w:rPr>
              <w:t>#44 Buck et al. (2021). Zero-trust mult…</w:t>
            </w:r>
          </w:p>
        </w:tc>
        <w:tc>
          <w:tcPr>
            <w:tcW w:type="dxa" w:w="1368"/>
            <w:vAlign w:val="top"/>
            <w:shd w:fill="E2EFDA"/>
          </w:tcPr>
          <w:p>
            <w:pPr>
              <w:jc w:val="both"/>
            </w:pPr>
            <w:r/>
            <w:r>
              <w:rPr>
                <w:rFonts w:ascii="Arial" w:hAnsi="Arial" w:eastAsia="Arial"/>
                <w:b w:val="0"/>
                <w:sz w:val="13"/>
              </w:rPr>
              <w:t>https://doi.org/10.1016/j.co</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Leg</w:t>
            </w:r>
          </w:p>
        </w:tc>
        <w:tc>
          <w:tcPr>
            <w:tcW w:type="dxa" w:w="792"/>
            <w:vAlign w:val="top"/>
            <w:shd w:fill="E2EFDA"/>
          </w:tcPr>
          <w:p>
            <w:pPr>
              <w:jc w:val="both"/>
            </w:pPr>
            <w:r/>
            <w:r>
              <w:rPr>
                <w:rFonts w:ascii="Arial" w:hAnsi="Arial" w:eastAsia="Arial"/>
                <w:b w:val="0"/>
                <w:sz w:val="13"/>
              </w:rPr>
              <w:t>VL-03</w:t>
            </w:r>
          </w:p>
        </w:tc>
        <w:tc>
          <w:tcPr>
            <w:tcW w:type="dxa" w:w="1512"/>
            <w:vAlign w:val="top"/>
            <w:shd w:fill="E2EFDA"/>
          </w:tcPr>
          <w:p>
            <w:pPr>
              <w:jc w:val="both"/>
            </w:pPr>
            <w:r/>
            <w:r>
              <w:rPr>
                <w:rFonts w:ascii="Arial" w:hAnsi="Arial" w:eastAsia="Arial"/>
                <w:b w:val="0"/>
                <w:sz w:val="13"/>
              </w:rPr>
              <w:t>Licencias software y dependencias OSS</w:t>
            </w:r>
          </w:p>
        </w:tc>
        <w:tc>
          <w:tcPr>
            <w:tcW w:type="dxa" w:w="1800"/>
            <w:vAlign w:val="top"/>
            <w:shd w:fill="E2EFDA"/>
          </w:tcPr>
          <w:p>
            <w:pPr>
              <w:jc w:val="both"/>
            </w:pPr>
            <w:r/>
            <w:r>
              <w:rPr>
                <w:rFonts w:ascii="Arial" w:hAnsi="Arial" w:eastAsia="Arial"/>
                <w:b w:val="0"/>
                <w:sz w:val="13"/>
              </w:rPr>
              <w:t>package.json requirements.txt sin conflictos GPL bloque…</w:t>
            </w:r>
          </w:p>
        </w:tc>
        <w:tc>
          <w:tcPr>
            <w:tcW w:type="dxa" w:w="1512"/>
            <w:vAlign w:val="top"/>
            <w:shd w:fill="E2EFDA"/>
          </w:tcPr>
          <w:p>
            <w:pPr>
              <w:jc w:val="both"/>
            </w:pPr>
            <w:r/>
            <w:r>
              <w:rPr>
                <w:rFonts w:ascii="Arial" w:hAnsi="Arial" w:eastAsia="Arial"/>
                <w:b w:val="0"/>
                <w:sz w:val="13"/>
              </w:rPr>
              <w:t>Repositorio; CI npm audit</w:t>
            </w:r>
          </w:p>
        </w:tc>
        <w:tc>
          <w:tcPr>
            <w:tcW w:type="dxa" w:w="1944"/>
            <w:vAlign w:val="top"/>
            <w:shd w:fill="E2EFDA"/>
          </w:tcPr>
          <w:p>
            <w:pPr>
              <w:jc w:val="both"/>
            </w:pPr>
            <w:r/>
            <w:r>
              <w:rPr>
                <w:rFonts w:ascii="Arial" w:hAnsi="Arial" w:eastAsia="Arial"/>
                <w:b w:val="0"/>
                <w:sz w:val="13"/>
              </w:rPr>
              <w:t>#34 Li et al. (2021). Quality attribute…</w:t>
            </w:r>
          </w:p>
        </w:tc>
        <w:tc>
          <w:tcPr>
            <w:tcW w:type="dxa" w:w="1368"/>
            <w:vAlign w:val="top"/>
            <w:shd w:fill="E2EFDA"/>
          </w:tcPr>
          <w:p>
            <w:pPr>
              <w:jc w:val="both"/>
            </w:pPr>
            <w:r/>
            <w:r>
              <w:rPr>
                <w:rFonts w:ascii="Arial" w:hAnsi="Arial" w:eastAsia="Arial"/>
                <w:b w:val="0"/>
                <w:sz w:val="13"/>
              </w:rPr>
              <w:t>https://doi.org/10.1016/j.in</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Leg</w:t>
            </w:r>
          </w:p>
        </w:tc>
        <w:tc>
          <w:tcPr>
            <w:tcW w:type="dxa" w:w="792"/>
            <w:vAlign w:val="top"/>
            <w:shd w:fill="FFF2CC"/>
          </w:tcPr>
          <w:p>
            <w:pPr>
              <w:jc w:val="both"/>
            </w:pPr>
            <w:r/>
            <w:r>
              <w:rPr>
                <w:rFonts w:ascii="Arial" w:hAnsi="Arial" w:eastAsia="Arial"/>
                <w:b w:val="0"/>
                <w:sz w:val="13"/>
              </w:rPr>
              <w:t>VL-04</w:t>
            </w:r>
          </w:p>
        </w:tc>
        <w:tc>
          <w:tcPr>
            <w:tcW w:type="dxa" w:w="1512"/>
            <w:vAlign w:val="top"/>
            <w:shd w:fill="FFF2CC"/>
          </w:tcPr>
          <w:p>
            <w:pPr>
              <w:jc w:val="both"/>
            </w:pPr>
            <w:r/>
            <w:r>
              <w:rPr>
                <w:rFonts w:ascii="Arial" w:hAnsi="Arial" w:eastAsia="Arial"/>
                <w:b w:val="0"/>
                <w:sz w:val="13"/>
              </w:rPr>
              <w:t>Autorizacion uso datos empresa</w:t>
            </w:r>
          </w:p>
        </w:tc>
        <w:tc>
          <w:tcPr>
            <w:tcW w:type="dxa" w:w="1800"/>
            <w:vAlign w:val="top"/>
            <w:shd w:fill="FFF2CC"/>
          </w:tcPr>
          <w:p>
            <w:pPr>
              <w:jc w:val="both"/>
            </w:pPr>
            <w:r/>
            <w:r>
              <w:rPr>
                <w:rFonts w:ascii="Arial" w:hAnsi="Arial" w:eastAsia="Arial"/>
                <w:b w:val="0"/>
                <w:sz w:val="13"/>
              </w:rPr>
              <w:t>Carta aceptacion organizacion (tesis)</w:t>
            </w:r>
          </w:p>
        </w:tc>
        <w:tc>
          <w:tcPr>
            <w:tcW w:type="dxa" w:w="1512"/>
            <w:vAlign w:val="top"/>
            <w:shd w:fill="FFF2CC"/>
          </w:tcPr>
          <w:p>
            <w:pPr>
              <w:jc w:val="both"/>
            </w:pPr>
            <w:r/>
            <w:r>
              <w:rPr>
                <w:rFonts w:ascii="Arial" w:hAnsi="Arial" w:eastAsia="Arial"/>
                <w:b w:val="0"/>
                <w:sz w:val="13"/>
              </w:rPr>
              <w:t>Carta_Aceptacion_Organizacion_Calzatura_…</w:t>
            </w:r>
          </w:p>
        </w:tc>
        <w:tc>
          <w:tcPr>
            <w:tcW w:type="dxa" w:w="1944"/>
            <w:vAlign w:val="top"/>
            <w:shd w:fill="FFF2CC"/>
          </w:tcPr>
          <w:p>
            <w:pPr>
              <w:jc w:val="both"/>
            </w:pPr>
            <w:r/>
            <w:r>
              <w:rPr>
                <w:rFonts w:ascii="Arial" w:hAnsi="Arial" w:eastAsia="Arial"/>
                <w:b w:val="0"/>
                <w:sz w:val="13"/>
              </w:rPr>
              <w:t>#02 Soto-Acosta et al. (2020). COVID-19…</w:t>
            </w:r>
          </w:p>
        </w:tc>
        <w:tc>
          <w:tcPr>
            <w:tcW w:type="dxa" w:w="1368"/>
            <w:vAlign w:val="top"/>
            <w:shd w:fill="FFF2CC"/>
          </w:tcPr>
          <w:p>
            <w:pPr>
              <w:jc w:val="both"/>
            </w:pPr>
            <w:r/>
            <w:r>
              <w:rPr>
                <w:rFonts w:ascii="Arial" w:hAnsi="Arial" w:eastAsia="Arial"/>
                <w:b w:val="0"/>
                <w:sz w:val="13"/>
              </w:rPr>
              <w:t>https://doi.org/10.1080/1058</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Leg</w:t>
            </w:r>
          </w:p>
        </w:tc>
        <w:tc>
          <w:tcPr>
            <w:tcW w:type="dxa" w:w="792"/>
            <w:vAlign w:val="top"/>
            <w:shd w:fill="E2EFDA"/>
          </w:tcPr>
          <w:p>
            <w:pPr>
              <w:jc w:val="both"/>
            </w:pPr>
            <w:r/>
            <w:r>
              <w:rPr>
                <w:rFonts w:ascii="Arial" w:hAnsi="Arial" w:eastAsia="Arial"/>
                <w:b w:val="0"/>
                <w:sz w:val="13"/>
              </w:rPr>
              <w:t>VL-05</w:t>
            </w:r>
          </w:p>
        </w:tc>
        <w:tc>
          <w:tcPr>
            <w:tcW w:type="dxa" w:w="1512"/>
            <w:vAlign w:val="top"/>
            <w:shd w:fill="E2EFDA"/>
          </w:tcPr>
          <w:p>
            <w:pPr>
              <w:jc w:val="both"/>
            </w:pPr>
            <w:r/>
            <w:r>
              <w:rPr>
                <w:rFonts w:ascii="Arial" w:hAnsi="Arial" w:eastAsia="Arial"/>
                <w:b w:val="0"/>
                <w:sz w:val="13"/>
              </w:rPr>
              <w:t>Comercio electronico terminos condiciones</w:t>
            </w:r>
          </w:p>
        </w:tc>
        <w:tc>
          <w:tcPr>
            <w:tcW w:type="dxa" w:w="1800"/>
            <w:vAlign w:val="top"/>
            <w:shd w:fill="E2EFDA"/>
          </w:tcPr>
          <w:p>
            <w:pPr>
              <w:jc w:val="both"/>
            </w:pPr>
            <w:r/>
            <w:r>
              <w:rPr>
                <w:rFonts w:ascii="Arial" w:hAnsi="Arial" w:eastAsia="Arial"/>
                <w:b w:val="0"/>
                <w:sz w:val="13"/>
              </w:rPr>
              <w:t>RF-LEG-04 paginas legales checkout</w:t>
            </w:r>
          </w:p>
        </w:tc>
        <w:tc>
          <w:tcPr>
            <w:tcW w:type="dxa" w:w="1512"/>
            <w:vAlign w:val="top"/>
            <w:shd w:fill="E2EFDA"/>
          </w:tcPr>
          <w:p>
            <w:pPr>
              <w:jc w:val="both"/>
            </w:pPr>
            <w:r/>
            <w:r>
              <w:rPr>
                <w:rFonts w:ascii="Arial" w:hAnsi="Arial" w:eastAsia="Arial"/>
                <w:b w:val="0"/>
                <w:sz w:val="13"/>
              </w:rPr>
              <w:t>verify-cumplimiento</w:t>
            </w:r>
          </w:p>
        </w:tc>
        <w:tc>
          <w:tcPr>
            <w:tcW w:type="dxa" w:w="1944"/>
            <w:vAlign w:val="top"/>
            <w:shd w:fill="E2EFDA"/>
          </w:tcPr>
          <w:p>
            <w:pPr>
              <w:jc w:val="both"/>
            </w:pPr>
            <w:r/>
            <w:r>
              <w:rPr>
                <w:rFonts w:ascii="Arial" w:hAnsi="Arial" w:eastAsia="Arial"/>
                <w:b w:val="0"/>
                <w:sz w:val="13"/>
              </w:rPr>
              <w:t>#45 Gutierrez-Rodriguez et al. (2020). …</w:t>
            </w:r>
          </w:p>
        </w:tc>
        <w:tc>
          <w:tcPr>
            <w:tcW w:type="dxa" w:w="1368"/>
            <w:vAlign w:val="top"/>
            <w:shd w:fill="E2EFDA"/>
          </w:tcPr>
          <w:p>
            <w:pPr>
              <w:jc w:val="both"/>
            </w:pPr>
            <w:r/>
            <w:r>
              <w:rPr>
                <w:rFonts w:ascii="Arial" w:hAnsi="Arial" w:eastAsia="Arial"/>
                <w:b w:val="0"/>
                <w:sz w:val="13"/>
              </w:rPr>
              <w:t>https://doi.org/10.1016/j.jr</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Ope</w:t>
            </w:r>
          </w:p>
        </w:tc>
        <w:tc>
          <w:tcPr>
            <w:tcW w:type="dxa" w:w="792"/>
            <w:vAlign w:val="top"/>
            <w:shd w:fill="E2EFDA"/>
          </w:tcPr>
          <w:p>
            <w:pPr>
              <w:jc w:val="both"/>
            </w:pPr>
            <w:r/>
            <w:r>
              <w:rPr>
                <w:rFonts w:ascii="Arial" w:hAnsi="Arial" w:eastAsia="Arial"/>
                <w:b w:val="0"/>
                <w:sz w:val="13"/>
              </w:rPr>
              <w:t>VO-01</w:t>
            </w:r>
          </w:p>
        </w:tc>
        <w:tc>
          <w:tcPr>
            <w:tcW w:type="dxa" w:w="1512"/>
            <w:vAlign w:val="top"/>
            <w:shd w:fill="E2EFDA"/>
          </w:tcPr>
          <w:p>
            <w:pPr>
              <w:jc w:val="both"/>
            </w:pPr>
            <w:r/>
            <w:r>
              <w:rPr>
                <w:rFonts w:ascii="Arial" w:hAnsi="Arial" w:eastAsia="Arial"/>
                <w:b w:val="0"/>
                <w:sz w:val="13"/>
              </w:rPr>
              <w:t>Alineacion procesos retail calzado</w:t>
            </w:r>
          </w:p>
        </w:tc>
        <w:tc>
          <w:tcPr>
            <w:tcW w:type="dxa" w:w="1800"/>
            <w:vAlign w:val="top"/>
            <w:shd w:fill="E2EFDA"/>
          </w:tcPr>
          <w:p>
            <w:pPr>
              <w:jc w:val="both"/>
            </w:pPr>
            <w:r/>
            <w:r>
              <w:rPr>
                <w:rFonts w:ascii="Arial" w:hAnsi="Arial" w:eastAsia="Arial"/>
                <w:b w:val="0"/>
                <w:sz w:val="13"/>
              </w:rPr>
              <w:t>Catalogo stock ventas pedidos unificados</w:t>
            </w:r>
          </w:p>
        </w:tc>
        <w:tc>
          <w:tcPr>
            <w:tcW w:type="dxa" w:w="1512"/>
            <w:vAlign w:val="top"/>
            <w:shd w:fill="E2EFDA"/>
          </w:tcPr>
          <w:p>
            <w:pPr>
              <w:jc w:val="both"/>
            </w:pPr>
            <w:r/>
            <w:r>
              <w:rPr>
                <w:rFonts w:ascii="Arial" w:hAnsi="Arial" w:eastAsia="Arial"/>
                <w:b w:val="0"/>
                <w:sz w:val="13"/>
              </w:rPr>
              <w:t>BPMN; formato-09 IN-01..36</w:t>
            </w:r>
          </w:p>
        </w:tc>
        <w:tc>
          <w:tcPr>
            <w:tcW w:type="dxa" w:w="1944"/>
            <w:vAlign w:val="top"/>
            <w:shd w:fill="E2EFDA"/>
          </w:tcPr>
          <w:p>
            <w:pPr>
              <w:jc w:val="both"/>
            </w:pPr>
            <w:r/>
            <w:r>
              <w:rPr>
                <w:rFonts w:ascii="Arial" w:hAnsi="Arial" w:eastAsia="Arial"/>
                <w:b w:val="0"/>
                <w:sz w:val="13"/>
              </w:rPr>
              <w:t>#08 Hagberg et al. (2016). The digitali…</w:t>
            </w:r>
          </w:p>
        </w:tc>
        <w:tc>
          <w:tcPr>
            <w:tcW w:type="dxa" w:w="1368"/>
            <w:vAlign w:val="top"/>
            <w:shd w:fill="E2EFDA"/>
          </w:tcPr>
          <w:p>
            <w:pPr>
              <w:jc w:val="both"/>
            </w:pPr>
            <w:r/>
            <w:r>
              <w:rPr>
                <w:rFonts w:ascii="Arial" w:hAnsi="Arial" w:eastAsia="Arial"/>
                <w:b w:val="0"/>
                <w:sz w:val="13"/>
              </w:rPr>
              <w:t>https://doi.org/10.1108/ijrd</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Ope</w:t>
            </w:r>
          </w:p>
        </w:tc>
        <w:tc>
          <w:tcPr>
            <w:tcW w:type="dxa" w:w="792"/>
            <w:vAlign w:val="top"/>
            <w:shd w:fill="FFF2CC"/>
          </w:tcPr>
          <w:p>
            <w:pPr>
              <w:jc w:val="both"/>
            </w:pPr>
            <w:r/>
            <w:r>
              <w:rPr>
                <w:rFonts w:ascii="Arial" w:hAnsi="Arial" w:eastAsia="Arial"/>
                <w:b w:val="0"/>
                <w:sz w:val="13"/>
              </w:rPr>
              <w:t>VO-02</w:t>
            </w:r>
          </w:p>
        </w:tc>
        <w:tc>
          <w:tcPr>
            <w:tcW w:type="dxa" w:w="1512"/>
            <w:vAlign w:val="top"/>
            <w:shd w:fill="FFF2CC"/>
          </w:tcPr>
          <w:p>
            <w:pPr>
              <w:jc w:val="both"/>
            </w:pPr>
            <w:r/>
            <w:r>
              <w:rPr>
                <w:rFonts w:ascii="Arial" w:hAnsi="Arial" w:eastAsia="Arial"/>
                <w:b w:val="0"/>
                <w:sz w:val="13"/>
              </w:rPr>
              <w:t>Facilidad operacion panel admin</w:t>
            </w:r>
          </w:p>
        </w:tc>
        <w:tc>
          <w:tcPr>
            <w:tcW w:type="dxa" w:w="1800"/>
            <w:vAlign w:val="top"/>
            <w:shd w:fill="FFF2CC"/>
          </w:tcPr>
          <w:p>
            <w:pPr>
              <w:jc w:val="both"/>
            </w:pPr>
            <w:r/>
            <w:r>
              <w:rPr>
                <w:rFonts w:ascii="Arial" w:hAnsi="Arial" w:eastAsia="Arial"/>
                <w:b w:val="0"/>
                <w:sz w:val="13"/>
              </w:rPr>
              <w:t>Dashboard admin workflows E2E</w:t>
            </w:r>
          </w:p>
        </w:tc>
        <w:tc>
          <w:tcPr>
            <w:tcW w:type="dxa" w:w="1512"/>
            <w:vAlign w:val="top"/>
            <w:shd w:fill="FFF2CC"/>
          </w:tcPr>
          <w:p>
            <w:pPr>
              <w:jc w:val="both"/>
            </w:pPr>
            <w:r/>
            <w:r>
              <w:rPr>
                <w:rFonts w:ascii="Arial" w:hAnsi="Arial" w:eastAsia="Arial"/>
                <w:b w:val="0"/>
                <w:sz w:val="13"/>
              </w:rPr>
              <w:t>RF-ADM-01; e2e admin</w:t>
            </w:r>
          </w:p>
        </w:tc>
        <w:tc>
          <w:tcPr>
            <w:tcW w:type="dxa" w:w="1944"/>
            <w:vAlign w:val="top"/>
            <w:shd w:fill="FFF2CC"/>
          </w:tcPr>
          <w:p>
            <w:pPr>
              <w:jc w:val="both"/>
            </w:pPr>
            <w:r/>
            <w:r>
              <w:rPr>
                <w:rFonts w:ascii="Arial" w:hAnsi="Arial" w:eastAsia="Arial"/>
                <w:b w:val="0"/>
                <w:sz w:val="13"/>
              </w:rPr>
              <w:t>#11 Shrestha et al. (2019). Organizatio…</w:t>
            </w:r>
          </w:p>
        </w:tc>
        <w:tc>
          <w:tcPr>
            <w:tcW w:type="dxa" w:w="1368"/>
            <w:vAlign w:val="top"/>
            <w:shd w:fill="FFF2CC"/>
          </w:tcPr>
          <w:p>
            <w:pPr>
              <w:jc w:val="both"/>
            </w:pPr>
            <w:r/>
            <w:r>
              <w:rPr>
                <w:rFonts w:ascii="Arial" w:hAnsi="Arial" w:eastAsia="Arial"/>
                <w:b w:val="0"/>
                <w:sz w:val="13"/>
              </w:rPr>
              <w:t>https://doi.org/10.1177/0008</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Ope</w:t>
            </w:r>
          </w:p>
        </w:tc>
        <w:tc>
          <w:tcPr>
            <w:tcW w:type="dxa" w:w="792"/>
            <w:vAlign w:val="top"/>
            <w:shd w:fill="E2EFDA"/>
          </w:tcPr>
          <w:p>
            <w:pPr>
              <w:jc w:val="both"/>
            </w:pPr>
            <w:r/>
            <w:r>
              <w:rPr>
                <w:rFonts w:ascii="Arial" w:hAnsi="Arial" w:eastAsia="Arial"/>
                <w:b w:val="0"/>
                <w:sz w:val="13"/>
              </w:rPr>
              <w:t>VO-03</w:t>
            </w:r>
          </w:p>
        </w:tc>
        <w:tc>
          <w:tcPr>
            <w:tcW w:type="dxa" w:w="1512"/>
            <w:vAlign w:val="top"/>
            <w:shd w:fill="E2EFDA"/>
          </w:tcPr>
          <w:p>
            <w:pPr>
              <w:jc w:val="both"/>
            </w:pPr>
            <w:r/>
            <w:r>
              <w:rPr>
                <w:rFonts w:ascii="Arial" w:hAnsi="Arial" w:eastAsia="Arial"/>
                <w:b w:val="0"/>
                <w:sz w:val="13"/>
              </w:rPr>
              <w:t>Mantenibilidad post-implementacion</w:t>
            </w:r>
          </w:p>
        </w:tc>
        <w:tc>
          <w:tcPr>
            <w:tcW w:type="dxa" w:w="1800"/>
            <w:vAlign w:val="top"/>
            <w:shd w:fill="E2EFDA"/>
          </w:tcPr>
          <w:p>
            <w:pPr>
              <w:jc w:val="both"/>
            </w:pPr>
            <w:r/>
            <w:r>
              <w:rPr>
                <w:rFonts w:ascii="Arial" w:hAnsi="Arial" w:eastAsia="Arial"/>
                <w:b w:val="0"/>
                <w:sz w:val="13"/>
              </w:rPr>
              <w:t>CI SonarQube dominios desacoplados</w:t>
            </w:r>
          </w:p>
        </w:tc>
        <w:tc>
          <w:tcPr>
            <w:tcW w:type="dxa" w:w="1512"/>
            <w:vAlign w:val="top"/>
            <w:shd w:fill="E2EFDA"/>
          </w:tcPr>
          <w:p>
            <w:pPr>
              <w:jc w:val="both"/>
            </w:pPr>
            <w:r/>
            <w:r>
              <w:rPr>
                <w:rFonts w:ascii="Arial" w:hAnsi="Arial" w:eastAsia="Arial"/>
                <w:b w:val="0"/>
                <w:sz w:val="13"/>
              </w:rPr>
              <w:t>gates mantenibilidad; CODEOWNERS</w:t>
            </w:r>
          </w:p>
        </w:tc>
        <w:tc>
          <w:tcPr>
            <w:tcW w:type="dxa" w:w="1944"/>
            <w:vAlign w:val="top"/>
            <w:shd w:fill="E2EFDA"/>
          </w:tcPr>
          <w:p>
            <w:pPr>
              <w:jc w:val="both"/>
            </w:pPr>
            <w:r/>
            <w:r>
              <w:rPr>
                <w:rFonts w:ascii="Arial" w:hAnsi="Arial" w:eastAsia="Arial"/>
                <w:b w:val="0"/>
                <w:sz w:val="13"/>
              </w:rPr>
              <w:t>#36 Dingsøyr et al. (2012). Agile metho…</w:t>
            </w:r>
          </w:p>
        </w:tc>
        <w:tc>
          <w:tcPr>
            <w:tcW w:type="dxa" w:w="1368"/>
            <w:vAlign w:val="top"/>
            <w:shd w:fill="E2EFDA"/>
          </w:tcPr>
          <w:p>
            <w:pPr>
              <w:jc w:val="both"/>
            </w:pPr>
            <w:r/>
            <w:r>
              <w:rPr>
                <w:rFonts w:ascii="Arial" w:hAnsi="Arial" w:eastAsia="Arial"/>
                <w:b w:val="0"/>
                <w:sz w:val="13"/>
              </w:rPr>
              <w:t>https://doi.org/10.1016/j.js</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Ope</w:t>
            </w:r>
          </w:p>
        </w:tc>
        <w:tc>
          <w:tcPr>
            <w:tcW w:type="dxa" w:w="792"/>
            <w:vAlign w:val="top"/>
            <w:shd w:fill="FFF2CC"/>
          </w:tcPr>
          <w:p>
            <w:pPr>
              <w:jc w:val="both"/>
            </w:pPr>
            <w:r/>
            <w:r>
              <w:rPr>
                <w:rFonts w:ascii="Arial" w:hAnsi="Arial" w:eastAsia="Arial"/>
                <w:b w:val="0"/>
                <w:sz w:val="13"/>
              </w:rPr>
              <w:t>VO-04</w:t>
            </w:r>
          </w:p>
        </w:tc>
        <w:tc>
          <w:tcPr>
            <w:tcW w:type="dxa" w:w="1512"/>
            <w:vAlign w:val="top"/>
            <w:shd w:fill="FFF2CC"/>
          </w:tcPr>
          <w:p>
            <w:pPr>
              <w:jc w:val="both"/>
            </w:pPr>
            <w:r/>
            <w:r>
              <w:rPr>
                <w:rFonts w:ascii="Arial" w:hAnsi="Arial" w:eastAsia="Arial"/>
                <w:b w:val="0"/>
                <w:sz w:val="13"/>
              </w:rPr>
              <w:t>Usabilidad cliente e-commerce</w:t>
            </w:r>
          </w:p>
        </w:tc>
        <w:tc>
          <w:tcPr>
            <w:tcW w:type="dxa" w:w="1800"/>
            <w:vAlign w:val="top"/>
            <w:shd w:fill="FFF2CC"/>
          </w:tcPr>
          <w:p>
            <w:pPr>
              <w:jc w:val="both"/>
            </w:pPr>
            <w:r/>
            <w:r>
              <w:rPr>
                <w:rFonts w:ascii="Arial" w:hAnsi="Arial" w:eastAsia="Arial"/>
                <w:b w:val="0"/>
                <w:sz w:val="13"/>
              </w:rPr>
              <w:t>E2E responsive accesibilidad axe</w:t>
            </w:r>
          </w:p>
        </w:tc>
        <w:tc>
          <w:tcPr>
            <w:tcW w:type="dxa" w:w="1512"/>
            <w:vAlign w:val="top"/>
            <w:shd w:fill="FFF2CC"/>
          </w:tcPr>
          <w:p>
            <w:pPr>
              <w:jc w:val="both"/>
            </w:pPr>
            <w:r/>
            <w:r>
              <w:rPr>
                <w:rFonts w:ascii="Arial" w:hAnsi="Arial" w:eastAsia="Arial"/>
                <w:b w:val="0"/>
                <w:sz w:val="13"/>
              </w:rPr>
              <w:t>RF-CAT; accessibility.spec.ts</w:t>
            </w:r>
          </w:p>
        </w:tc>
        <w:tc>
          <w:tcPr>
            <w:tcW w:type="dxa" w:w="1944"/>
            <w:vAlign w:val="top"/>
            <w:shd w:fill="FFF2CC"/>
          </w:tcPr>
          <w:p>
            <w:pPr>
              <w:jc w:val="both"/>
            </w:pPr>
            <w:r/>
            <w:r>
              <w:rPr>
                <w:rFonts w:ascii="Arial" w:hAnsi="Arial" w:eastAsia="Arial"/>
                <w:b w:val="0"/>
                <w:sz w:val="13"/>
              </w:rPr>
              <w:t>#45 Gutierrez-Rodriguez et al. (2020). …</w:t>
            </w:r>
          </w:p>
        </w:tc>
        <w:tc>
          <w:tcPr>
            <w:tcW w:type="dxa" w:w="1368"/>
            <w:vAlign w:val="top"/>
            <w:shd w:fill="FFF2CC"/>
          </w:tcPr>
          <w:p>
            <w:pPr>
              <w:jc w:val="both"/>
            </w:pPr>
            <w:r/>
            <w:r>
              <w:rPr>
                <w:rFonts w:ascii="Arial" w:hAnsi="Arial" w:eastAsia="Arial"/>
                <w:b w:val="0"/>
                <w:sz w:val="13"/>
              </w:rPr>
              <w:t>https://doi.org/10.1016/j.jr</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FF2CC"/>
          </w:tcPr>
          <w:p>
            <w:pPr>
              <w:jc w:val="both"/>
            </w:pPr>
            <w:r/>
            <w:r>
              <w:rPr>
                <w:rFonts w:ascii="Arial" w:hAnsi="Arial" w:eastAsia="Arial"/>
                <w:b w:val="0"/>
                <w:sz w:val="13"/>
              </w:rPr>
              <w:t>Ope</w:t>
            </w:r>
          </w:p>
        </w:tc>
        <w:tc>
          <w:tcPr>
            <w:tcW w:type="dxa" w:w="792"/>
            <w:vAlign w:val="top"/>
            <w:shd w:fill="FFF2CC"/>
          </w:tcPr>
          <w:p>
            <w:pPr>
              <w:jc w:val="both"/>
            </w:pPr>
            <w:r/>
            <w:r>
              <w:rPr>
                <w:rFonts w:ascii="Arial" w:hAnsi="Arial" w:eastAsia="Arial"/>
                <w:b w:val="0"/>
                <w:sz w:val="13"/>
              </w:rPr>
              <w:t>VO-05</w:t>
            </w:r>
          </w:p>
        </w:tc>
        <w:tc>
          <w:tcPr>
            <w:tcW w:type="dxa" w:w="1512"/>
            <w:vAlign w:val="top"/>
            <w:shd w:fill="FFF2CC"/>
          </w:tcPr>
          <w:p>
            <w:pPr>
              <w:jc w:val="both"/>
            </w:pPr>
            <w:r/>
            <w:r>
              <w:rPr>
                <w:rFonts w:ascii="Arial" w:hAnsi="Arial" w:eastAsia="Arial"/>
                <w:b w:val="0"/>
                <w:sz w:val="13"/>
              </w:rPr>
              <w:t>Capacitacion admin aceptable</w:t>
            </w:r>
          </w:p>
        </w:tc>
        <w:tc>
          <w:tcPr>
            <w:tcW w:type="dxa" w:w="1800"/>
            <w:vAlign w:val="top"/>
            <w:shd w:fill="FFF2CC"/>
          </w:tcPr>
          <w:p>
            <w:pPr>
              <w:jc w:val="both"/>
            </w:pPr>
            <w:r/>
            <w:r>
              <w:rPr>
                <w:rFonts w:ascii="Arial" w:hAnsi="Arial" w:eastAsia="Arial"/>
                <w:b w:val="0"/>
                <w:sz w:val="13"/>
              </w:rPr>
              <w:t>UI espanol flujos guiados; complejidad IRE documentada</w:t>
            </w:r>
          </w:p>
        </w:tc>
        <w:tc>
          <w:tcPr>
            <w:tcW w:type="dxa" w:w="1512"/>
            <w:vAlign w:val="top"/>
            <w:shd w:fill="FFF2CC"/>
          </w:tcPr>
          <w:p>
            <w:pPr>
              <w:jc w:val="both"/>
            </w:pPr>
            <w:r/>
            <w:r>
              <w:rPr>
                <w:rFonts w:ascii="Arial" w:hAnsi="Arial" w:eastAsia="Arial"/>
                <w:b w:val="0"/>
                <w:sz w:val="13"/>
              </w:rPr>
              <w:t>AdminPredictions help text; 07-modulo-ia</w:t>
            </w:r>
          </w:p>
        </w:tc>
        <w:tc>
          <w:tcPr>
            <w:tcW w:type="dxa" w:w="1944"/>
            <w:vAlign w:val="top"/>
            <w:shd w:fill="FFF2CC"/>
          </w:tcPr>
          <w:p>
            <w:pPr>
              <w:jc w:val="both"/>
            </w:pPr>
            <w:r/>
            <w:r>
              <w:rPr>
                <w:rFonts w:ascii="Arial" w:hAnsi="Arial" w:eastAsia="Arial"/>
                <w:b w:val="0"/>
                <w:sz w:val="13"/>
              </w:rPr>
              <w:t>#11 Shrestha et al. (2019). Organizatio…</w:t>
            </w:r>
          </w:p>
        </w:tc>
        <w:tc>
          <w:tcPr>
            <w:tcW w:type="dxa" w:w="1368"/>
            <w:vAlign w:val="top"/>
            <w:shd w:fill="FFF2CC"/>
          </w:tcPr>
          <w:p>
            <w:pPr>
              <w:jc w:val="both"/>
            </w:pPr>
            <w:r/>
            <w:r>
              <w:rPr>
                <w:rFonts w:ascii="Arial" w:hAnsi="Arial" w:eastAsia="Arial"/>
                <w:b w:val="0"/>
                <w:sz w:val="13"/>
              </w:rPr>
              <w:t>https://doi.org/10.1177/0008</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FF2CC"/>
          </w:tcPr>
          <w:p>
            <w:pPr>
              <w:jc w:val="both"/>
            </w:pPr>
            <w:r/>
            <w:r>
              <w:rPr>
                <w:rFonts w:ascii="Arial" w:hAnsi="Arial" w:eastAsia="Arial"/>
                <w:b w:val="0"/>
                <w:sz w:val="13"/>
              </w:rPr>
              <w:t>Ope</w:t>
            </w:r>
          </w:p>
        </w:tc>
        <w:tc>
          <w:tcPr>
            <w:tcW w:type="dxa" w:w="792"/>
            <w:vAlign w:val="top"/>
            <w:shd w:fill="FFF2CC"/>
          </w:tcPr>
          <w:p>
            <w:pPr>
              <w:jc w:val="both"/>
            </w:pPr>
            <w:r/>
            <w:r>
              <w:rPr>
                <w:rFonts w:ascii="Arial" w:hAnsi="Arial" w:eastAsia="Arial"/>
                <w:b w:val="0"/>
                <w:sz w:val="13"/>
              </w:rPr>
              <w:t>VO-06</w:t>
            </w:r>
          </w:p>
        </w:tc>
        <w:tc>
          <w:tcPr>
            <w:tcW w:type="dxa" w:w="1512"/>
            <w:vAlign w:val="top"/>
            <w:shd w:fill="FFF2CC"/>
          </w:tcPr>
          <w:p>
            <w:pPr>
              <w:jc w:val="both"/>
            </w:pPr>
            <w:r/>
            <w:r>
              <w:rPr>
                <w:rFonts w:ascii="Arial" w:hAnsi="Arial" w:eastAsia="Arial"/>
                <w:b w:val="0"/>
                <w:sz w:val="13"/>
              </w:rPr>
              <w:t>Continuidad operativa cloud</w:t>
            </w:r>
          </w:p>
        </w:tc>
        <w:tc>
          <w:tcPr>
            <w:tcW w:type="dxa" w:w="1800"/>
            <w:vAlign w:val="top"/>
            <w:shd w:fill="FFF2CC"/>
          </w:tcPr>
          <w:p>
            <w:pPr>
              <w:jc w:val="both"/>
            </w:pPr>
            <w:r/>
            <w:r>
              <w:rPr>
                <w:rFonts w:ascii="Arial" w:hAnsi="Arial" w:eastAsia="Arial"/>
                <w:b w:val="0"/>
                <w:sz w:val="13"/>
              </w:rPr>
              <w:t>Runbook DR backups PITR Supabase</w:t>
            </w:r>
          </w:p>
        </w:tc>
        <w:tc>
          <w:tcPr>
            <w:tcW w:type="dxa" w:w="1512"/>
            <w:vAlign w:val="top"/>
            <w:shd w:fill="FFF2CC"/>
          </w:tcPr>
          <w:p>
            <w:pPr>
              <w:jc w:val="both"/>
            </w:pPr>
            <w:r/>
            <w:r>
              <w:rPr>
                <w:rFonts w:ascii="Arial" w:hAnsi="Arial" w:eastAsia="Arial"/>
                <w:b w:val="0"/>
                <w:sz w:val="13"/>
              </w:rPr>
              <w:t>10-operacion; fiabilidad-trazabilidad 84…</w:t>
            </w:r>
          </w:p>
        </w:tc>
        <w:tc>
          <w:tcPr>
            <w:tcW w:type="dxa" w:w="1944"/>
            <w:vAlign w:val="top"/>
            <w:shd w:fill="FFF2CC"/>
          </w:tcPr>
          <w:p>
            <w:pPr>
              <w:jc w:val="both"/>
            </w:pPr>
            <w:r/>
            <w:r>
              <w:rPr>
                <w:rFonts w:ascii="Arial" w:hAnsi="Arial" w:eastAsia="Arial"/>
                <w:b w:val="0"/>
                <w:sz w:val="13"/>
              </w:rPr>
              <w:t>#47 Lallie et al. (2021). Cyber securit…</w:t>
            </w:r>
          </w:p>
        </w:tc>
        <w:tc>
          <w:tcPr>
            <w:tcW w:type="dxa" w:w="1368"/>
            <w:vAlign w:val="top"/>
            <w:shd w:fill="FFF2CC"/>
          </w:tcPr>
          <w:p>
            <w:pPr>
              <w:jc w:val="both"/>
            </w:pPr>
            <w:r/>
            <w:r>
              <w:rPr>
                <w:rFonts w:ascii="Arial" w:hAnsi="Arial" w:eastAsia="Arial"/>
                <w:b w:val="0"/>
                <w:sz w:val="13"/>
              </w:rPr>
              <w:t>https://doi.org/10.1016/j.co</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FF2CC"/>
          </w:tcPr>
          <w:p>
            <w:pPr>
              <w:jc w:val="both"/>
            </w:pPr>
            <w:r/>
            <w:r>
              <w:rPr>
                <w:rFonts w:ascii="Arial" w:hAnsi="Arial" w:eastAsia="Arial"/>
                <w:b w:val="0"/>
                <w:sz w:val="13"/>
              </w:rPr>
              <w:t>Tem</w:t>
            </w:r>
          </w:p>
        </w:tc>
        <w:tc>
          <w:tcPr>
            <w:tcW w:type="dxa" w:w="792"/>
            <w:vAlign w:val="top"/>
            <w:shd w:fill="FFF2CC"/>
          </w:tcPr>
          <w:p>
            <w:pPr>
              <w:jc w:val="both"/>
            </w:pPr>
            <w:r/>
            <w:r>
              <w:rPr>
                <w:rFonts w:ascii="Arial" w:hAnsi="Arial" w:eastAsia="Arial"/>
                <w:b w:val="0"/>
                <w:sz w:val="13"/>
              </w:rPr>
              <w:t>VTM-01</w:t>
            </w:r>
          </w:p>
        </w:tc>
        <w:tc>
          <w:tcPr>
            <w:tcW w:type="dxa" w:w="1512"/>
            <w:vAlign w:val="top"/>
            <w:shd w:fill="FFF2CC"/>
          </w:tcPr>
          <w:p>
            <w:pPr>
              <w:jc w:val="both"/>
            </w:pPr>
            <w:r/>
            <w:r>
              <w:rPr>
                <w:rFonts w:ascii="Arial" w:hAnsi="Arial" w:eastAsia="Arial"/>
                <w:b w:val="0"/>
                <w:sz w:val="13"/>
              </w:rPr>
              <w:t>Cronograma tesis ejecutable</w:t>
            </w:r>
          </w:p>
        </w:tc>
        <w:tc>
          <w:tcPr>
            <w:tcW w:type="dxa" w:w="1800"/>
            <w:vAlign w:val="top"/>
            <w:shd w:fill="FFF2CC"/>
          </w:tcPr>
          <w:p>
            <w:pPr>
              <w:jc w:val="both"/>
            </w:pPr>
            <w:r/>
            <w:r>
              <w:rPr>
                <w:rFonts w:ascii="Arial" w:hAnsi="Arial" w:eastAsia="Arial"/>
                <w:b w:val="0"/>
                <w:sz w:val="13"/>
              </w:rPr>
              <w:t>CU-T03 hitos alineados fases ISO 12207</w:t>
            </w:r>
          </w:p>
        </w:tc>
        <w:tc>
          <w:tcPr>
            <w:tcW w:type="dxa" w:w="1512"/>
            <w:vAlign w:val="top"/>
            <w:shd w:fill="FFF2CC"/>
          </w:tcPr>
          <w:p>
            <w:pPr>
              <w:jc w:val="both"/>
            </w:pPr>
            <w:r/>
            <w:r>
              <w:rPr>
                <w:rFonts w:ascii="Arial" w:hAnsi="Arial" w:eastAsia="Arial"/>
                <w:b w:val="0"/>
                <w:sz w:val="13"/>
              </w:rPr>
              <w:t>CU-T03-cronograma.csv</w:t>
            </w:r>
          </w:p>
        </w:tc>
        <w:tc>
          <w:tcPr>
            <w:tcW w:type="dxa" w:w="1944"/>
            <w:vAlign w:val="top"/>
            <w:shd w:fill="FFF2CC"/>
          </w:tcPr>
          <w:p>
            <w:pPr>
              <w:jc w:val="both"/>
            </w:pPr>
            <w:r/>
            <w:r>
              <w:rPr>
                <w:rFonts w:ascii="Arial" w:hAnsi="Arial" w:eastAsia="Arial"/>
                <w:b w:val="0"/>
                <w:sz w:val="13"/>
              </w:rPr>
              <w:t>#38 Kuhrmann et al. (2018). Hybrid soft…</w:t>
            </w:r>
          </w:p>
        </w:tc>
        <w:tc>
          <w:tcPr>
            <w:tcW w:type="dxa" w:w="1368"/>
            <w:vAlign w:val="top"/>
            <w:shd w:fill="FFF2CC"/>
          </w:tcPr>
          <w:p>
            <w:pPr>
              <w:jc w:val="both"/>
            </w:pPr>
            <w:r/>
            <w:r>
              <w:rPr>
                <w:rFonts w:ascii="Arial" w:hAnsi="Arial" w:eastAsia="Arial"/>
                <w:b w:val="0"/>
                <w:sz w:val="13"/>
              </w:rPr>
              <w:t>https://doi.org/10.1109/ms.2</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Tem</w:t>
            </w:r>
          </w:p>
        </w:tc>
        <w:tc>
          <w:tcPr>
            <w:tcW w:type="dxa" w:w="792"/>
            <w:vAlign w:val="top"/>
            <w:shd w:fill="E2EFDA"/>
          </w:tcPr>
          <w:p>
            <w:pPr>
              <w:jc w:val="both"/>
            </w:pPr>
            <w:r/>
            <w:r>
              <w:rPr>
                <w:rFonts w:ascii="Arial" w:hAnsi="Arial" w:eastAsia="Arial"/>
                <w:b w:val="0"/>
                <w:sz w:val="13"/>
              </w:rPr>
              <w:t>VTM-02</w:t>
            </w:r>
          </w:p>
        </w:tc>
        <w:tc>
          <w:tcPr>
            <w:tcW w:type="dxa" w:w="1512"/>
            <w:vAlign w:val="top"/>
            <w:shd w:fill="E2EFDA"/>
          </w:tcPr>
          <w:p>
            <w:pPr>
              <w:jc w:val="both"/>
            </w:pPr>
            <w:r/>
            <w:r>
              <w:rPr>
                <w:rFonts w:ascii="Arial" w:hAnsi="Arial" w:eastAsia="Arial"/>
                <w:b w:val="0"/>
                <w:sz w:val="13"/>
              </w:rPr>
              <w:t>Metodologia iterativa entregas parciales</w:t>
            </w:r>
          </w:p>
        </w:tc>
        <w:tc>
          <w:tcPr>
            <w:tcW w:type="dxa" w:w="1800"/>
            <w:vAlign w:val="top"/>
            <w:shd w:fill="E2EFDA"/>
          </w:tcPr>
          <w:p>
            <w:pPr>
              <w:jc w:val="both"/>
            </w:pPr>
            <w:r/>
            <w:r>
              <w:rPr>
                <w:rFonts w:ascii="Arial" w:hAnsi="Arial" w:eastAsia="Arial"/>
                <w:b w:val="0"/>
                <w:sz w:val="13"/>
              </w:rPr>
              <w:t>CI/CD + entregas quincenales asesor</w:t>
            </w:r>
          </w:p>
        </w:tc>
        <w:tc>
          <w:tcPr>
            <w:tcW w:type="dxa" w:w="1512"/>
            <w:vAlign w:val="top"/>
            <w:shd w:fill="E2EFDA"/>
          </w:tcPr>
          <w:p>
            <w:pPr>
              <w:jc w:val="both"/>
            </w:pPr>
            <w:r/>
            <w:r>
              <w:rPr>
                <w:rFonts w:ascii="Arial" w:hAnsi="Arial" w:eastAsia="Arial"/>
                <w:b w:val="0"/>
                <w:sz w:val="13"/>
              </w:rPr>
              <w:t>02-normas-metodologia; ci.yml</w:t>
            </w:r>
          </w:p>
        </w:tc>
        <w:tc>
          <w:tcPr>
            <w:tcW w:type="dxa" w:w="1944"/>
            <w:vAlign w:val="top"/>
            <w:shd w:fill="E2EFDA"/>
          </w:tcPr>
          <w:p>
            <w:pPr>
              <w:jc w:val="both"/>
            </w:pPr>
            <w:r/>
            <w:r>
              <w:rPr>
                <w:rFonts w:ascii="Arial" w:hAnsi="Arial" w:eastAsia="Arial"/>
                <w:b w:val="0"/>
                <w:sz w:val="13"/>
              </w:rPr>
              <w:t>#36 Dingsøyr et al. (2012). Agile metho…</w:t>
            </w:r>
          </w:p>
        </w:tc>
        <w:tc>
          <w:tcPr>
            <w:tcW w:type="dxa" w:w="1368"/>
            <w:vAlign w:val="top"/>
            <w:shd w:fill="E2EFDA"/>
          </w:tcPr>
          <w:p>
            <w:pPr>
              <w:jc w:val="both"/>
            </w:pPr>
            <w:r/>
            <w:r>
              <w:rPr>
                <w:rFonts w:ascii="Arial" w:hAnsi="Arial" w:eastAsia="Arial"/>
                <w:b w:val="0"/>
                <w:sz w:val="13"/>
              </w:rPr>
              <w:t>https://doi.org/10.1016/j.js</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Tem</w:t>
            </w:r>
          </w:p>
        </w:tc>
        <w:tc>
          <w:tcPr>
            <w:tcW w:type="dxa" w:w="792"/>
            <w:vAlign w:val="top"/>
            <w:shd w:fill="FFF2CC"/>
          </w:tcPr>
          <w:p>
            <w:pPr>
              <w:jc w:val="both"/>
            </w:pPr>
            <w:r/>
            <w:r>
              <w:rPr>
                <w:rFonts w:ascii="Arial" w:hAnsi="Arial" w:eastAsia="Arial"/>
                <w:b w:val="0"/>
                <w:sz w:val="13"/>
              </w:rPr>
              <w:t>VTM-03</w:t>
            </w:r>
          </w:p>
        </w:tc>
        <w:tc>
          <w:tcPr>
            <w:tcW w:type="dxa" w:w="1512"/>
            <w:vAlign w:val="top"/>
            <w:shd w:fill="FFF2CC"/>
          </w:tcPr>
          <w:p>
            <w:pPr>
              <w:jc w:val="both"/>
            </w:pPr>
            <w:r/>
            <w:r>
              <w:rPr>
                <w:rFonts w:ascii="Arial" w:hAnsi="Arial" w:eastAsia="Arial"/>
                <w:b w:val="0"/>
                <w:sz w:val="13"/>
              </w:rPr>
              <w:t>Plazo desarrollo modulo IA realista</w:t>
            </w:r>
          </w:p>
        </w:tc>
        <w:tc>
          <w:tcPr>
            <w:tcW w:type="dxa" w:w="1800"/>
            <w:vAlign w:val="top"/>
            <w:shd w:fill="FFF2CC"/>
          </w:tcPr>
          <w:p>
            <w:pPr>
              <w:jc w:val="both"/>
            </w:pPr>
            <w:r/>
            <w:r>
              <w:rPr>
                <w:rFonts w:ascii="Arial" w:hAnsi="Arial" w:eastAsia="Arial"/>
                <w:b w:val="0"/>
                <w:sz w:val="13"/>
              </w:rPr>
              <w:t>RF-IA Must implementados; backtest gate</w:t>
            </w:r>
          </w:p>
        </w:tc>
        <w:tc>
          <w:tcPr>
            <w:tcW w:type="dxa" w:w="1512"/>
            <w:vAlign w:val="top"/>
            <w:shd w:fill="FFF2CC"/>
          </w:tcPr>
          <w:p>
            <w:pPr>
              <w:jc w:val="both"/>
            </w:pPr>
            <w:r/>
            <w:r>
              <w:rPr>
                <w:rFonts w:ascii="Arial" w:hAnsi="Arial" w:eastAsia="Arial"/>
                <w:b w:val="0"/>
                <w:sz w:val="13"/>
              </w:rPr>
              <w:t>RF-IA-01..04 implementado</w:t>
            </w:r>
          </w:p>
        </w:tc>
        <w:tc>
          <w:tcPr>
            <w:tcW w:type="dxa" w:w="1944"/>
            <w:vAlign w:val="top"/>
            <w:shd w:fill="FFF2CC"/>
          </w:tcPr>
          <w:p>
            <w:pPr>
              <w:jc w:val="both"/>
            </w:pPr>
            <w:r/>
            <w:r>
              <w:rPr>
                <w:rFonts w:ascii="Arial" w:hAnsi="Arial" w:eastAsia="Arial"/>
                <w:b w:val="0"/>
                <w:sz w:val="13"/>
              </w:rPr>
              <w:t>#41 Haakman et al. (2021). AI lifecycle…</w:t>
            </w:r>
          </w:p>
        </w:tc>
        <w:tc>
          <w:tcPr>
            <w:tcW w:type="dxa" w:w="1368"/>
            <w:vAlign w:val="top"/>
            <w:shd w:fill="FFF2CC"/>
          </w:tcPr>
          <w:p>
            <w:pPr>
              <w:jc w:val="both"/>
            </w:pPr>
            <w:r/>
            <w:r>
              <w:rPr>
                <w:rFonts w:ascii="Arial" w:hAnsi="Arial" w:eastAsia="Arial"/>
                <w:b w:val="0"/>
                <w:sz w:val="13"/>
              </w:rPr>
              <w:t>https://doi.org/10.1007/s106</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Tem</w:t>
            </w:r>
          </w:p>
        </w:tc>
        <w:tc>
          <w:tcPr>
            <w:tcW w:type="dxa" w:w="792"/>
            <w:vAlign w:val="top"/>
            <w:shd w:fill="E2EFDA"/>
          </w:tcPr>
          <w:p>
            <w:pPr>
              <w:jc w:val="both"/>
            </w:pPr>
            <w:r/>
            <w:r>
              <w:rPr>
                <w:rFonts w:ascii="Arial" w:hAnsi="Arial" w:eastAsia="Arial"/>
                <w:b w:val="0"/>
                <w:sz w:val="13"/>
              </w:rPr>
              <w:t>VTM-04</w:t>
            </w:r>
          </w:p>
        </w:tc>
        <w:tc>
          <w:tcPr>
            <w:tcW w:type="dxa" w:w="1512"/>
            <w:vAlign w:val="top"/>
            <w:shd w:fill="E2EFDA"/>
          </w:tcPr>
          <w:p>
            <w:pPr>
              <w:jc w:val="both"/>
            </w:pPr>
            <w:r/>
            <w:r>
              <w:rPr>
                <w:rFonts w:ascii="Arial" w:hAnsi="Arial" w:eastAsia="Arial"/>
                <w:b w:val="0"/>
                <w:sz w:val="13"/>
              </w:rPr>
              <w:t>Reduccion tiempo pruebas automatizadas</w:t>
            </w:r>
          </w:p>
        </w:tc>
        <w:tc>
          <w:tcPr>
            <w:tcW w:type="dxa" w:w="1800"/>
            <w:vAlign w:val="top"/>
            <w:shd w:fill="E2EFDA"/>
          </w:tcPr>
          <w:p>
            <w:pPr>
              <w:jc w:val="both"/>
            </w:pPr>
            <w:r/>
            <w:r>
              <w:rPr>
                <w:rFonts w:ascii="Arial" w:hAnsi="Arial" w:eastAsia="Arial"/>
                <w:b w:val="0"/>
                <w:sz w:val="13"/>
              </w:rPr>
              <w:t>Vitest Playwright k6 en pipeline</w:t>
            </w:r>
          </w:p>
        </w:tc>
        <w:tc>
          <w:tcPr>
            <w:tcW w:type="dxa" w:w="1512"/>
            <w:vAlign w:val="top"/>
            <w:shd w:fill="E2EFDA"/>
          </w:tcPr>
          <w:p>
            <w:pPr>
              <w:jc w:val="both"/>
            </w:pPr>
            <w:r/>
            <w:r>
              <w:rPr>
                <w:rFonts w:ascii="Arial" w:hAnsi="Arial" w:eastAsia="Arial"/>
                <w:b w:val="0"/>
                <w:sz w:val="13"/>
              </w:rPr>
              <w:t>08-pruebas-y-calidad.md</w:t>
            </w:r>
          </w:p>
        </w:tc>
        <w:tc>
          <w:tcPr>
            <w:tcW w:type="dxa" w:w="1944"/>
            <w:vAlign w:val="top"/>
            <w:shd w:fill="E2EFDA"/>
          </w:tcPr>
          <w:p>
            <w:pPr>
              <w:jc w:val="both"/>
            </w:pPr>
            <w:r/>
            <w:r>
              <w:rPr>
                <w:rFonts w:ascii="Arial" w:hAnsi="Arial" w:eastAsia="Arial"/>
                <w:b w:val="0"/>
                <w:sz w:val="13"/>
              </w:rPr>
              <w:t>#34 Li et al. (2021). Quality attribute…</w:t>
            </w:r>
          </w:p>
        </w:tc>
        <w:tc>
          <w:tcPr>
            <w:tcW w:type="dxa" w:w="1368"/>
            <w:vAlign w:val="top"/>
            <w:shd w:fill="E2EFDA"/>
          </w:tcPr>
          <w:p>
            <w:pPr>
              <w:jc w:val="both"/>
            </w:pPr>
            <w:r/>
            <w:r>
              <w:rPr>
                <w:rFonts w:ascii="Arial" w:hAnsi="Arial" w:eastAsia="Arial"/>
                <w:b w:val="0"/>
                <w:sz w:val="13"/>
              </w:rPr>
              <w:t>https://doi.org/10.1016/j.in</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Est</w:t>
            </w:r>
          </w:p>
        </w:tc>
        <w:tc>
          <w:tcPr>
            <w:tcW w:type="dxa" w:w="792"/>
            <w:vAlign w:val="top"/>
            <w:shd w:fill="E2EFDA"/>
          </w:tcPr>
          <w:p>
            <w:pPr>
              <w:jc w:val="both"/>
            </w:pPr>
            <w:r/>
            <w:r>
              <w:rPr>
                <w:rFonts w:ascii="Arial" w:hAnsi="Arial" w:eastAsia="Arial"/>
                <w:b w:val="0"/>
                <w:sz w:val="13"/>
              </w:rPr>
              <w:t>VEs-01</w:t>
            </w:r>
          </w:p>
        </w:tc>
        <w:tc>
          <w:tcPr>
            <w:tcW w:type="dxa" w:w="1512"/>
            <w:vAlign w:val="top"/>
            <w:shd w:fill="E2EFDA"/>
          </w:tcPr>
          <w:p>
            <w:pPr>
              <w:jc w:val="both"/>
            </w:pPr>
            <w:r/>
            <w:r>
              <w:rPr>
                <w:rFonts w:ascii="Arial" w:hAnsi="Arial" w:eastAsia="Arial"/>
                <w:b w:val="0"/>
                <w:sz w:val="13"/>
              </w:rPr>
              <w:t>Encaje transformacion digital PYME</w:t>
            </w:r>
          </w:p>
        </w:tc>
        <w:tc>
          <w:tcPr>
            <w:tcW w:type="dxa" w:w="1800"/>
            <w:vAlign w:val="top"/>
            <w:shd w:fill="E2EFDA"/>
          </w:tcPr>
          <w:p>
            <w:pPr>
              <w:jc w:val="both"/>
            </w:pPr>
            <w:r/>
            <w:r>
              <w:rPr>
                <w:rFonts w:ascii="Arial" w:hAnsi="Arial" w:eastAsia="Arial"/>
                <w:b w:val="0"/>
                <w:sz w:val="13"/>
              </w:rPr>
              <w:t>Calzatura Vilchez caso real Huancayo</w:t>
            </w:r>
          </w:p>
        </w:tc>
        <w:tc>
          <w:tcPr>
            <w:tcW w:type="dxa" w:w="1512"/>
            <w:vAlign w:val="top"/>
            <w:shd w:fill="E2EFDA"/>
          </w:tcPr>
          <w:p>
            <w:pPr>
              <w:jc w:val="both"/>
            </w:pPr>
            <w:r/>
            <w:r>
              <w:rPr>
                <w:rFonts w:ascii="Arial" w:hAnsi="Arial" w:eastAsia="Arial"/>
                <w:b w:val="0"/>
                <w:sz w:val="13"/>
              </w:rPr>
              <w:t>01-marco-y-tesis; carta organizacion</w:t>
            </w:r>
          </w:p>
        </w:tc>
        <w:tc>
          <w:tcPr>
            <w:tcW w:type="dxa" w:w="1944"/>
            <w:vAlign w:val="top"/>
            <w:shd w:fill="E2EFDA"/>
          </w:tcPr>
          <w:p>
            <w:pPr>
              <w:jc w:val="both"/>
            </w:pPr>
            <w:r/>
            <w:r>
              <w:rPr>
                <w:rFonts w:ascii="Arial" w:hAnsi="Arial" w:eastAsia="Arial"/>
                <w:b w:val="0"/>
                <w:sz w:val="13"/>
              </w:rPr>
              <w:t>#01 Verhoef et al. (2019). Digital tran…</w:t>
            </w:r>
          </w:p>
        </w:tc>
        <w:tc>
          <w:tcPr>
            <w:tcW w:type="dxa" w:w="1368"/>
            <w:vAlign w:val="top"/>
            <w:shd w:fill="E2EFDA"/>
          </w:tcPr>
          <w:p>
            <w:pPr>
              <w:jc w:val="both"/>
            </w:pPr>
            <w:r/>
            <w:r>
              <w:rPr>
                <w:rFonts w:ascii="Arial" w:hAnsi="Arial" w:eastAsia="Arial"/>
                <w:b w:val="0"/>
                <w:sz w:val="13"/>
              </w:rPr>
              <w:t>https://doi.org/10.1016/j.jb</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E2EFDA"/>
          </w:tcPr>
          <w:p>
            <w:pPr>
              <w:jc w:val="both"/>
            </w:pPr>
            <w:r/>
            <w:r>
              <w:rPr>
                <w:rFonts w:ascii="Arial" w:hAnsi="Arial" w:eastAsia="Arial"/>
                <w:b w:val="0"/>
                <w:sz w:val="13"/>
              </w:rPr>
              <w:t>Est</w:t>
            </w:r>
          </w:p>
        </w:tc>
        <w:tc>
          <w:tcPr>
            <w:tcW w:type="dxa" w:w="792"/>
            <w:vAlign w:val="top"/>
            <w:shd w:fill="E2EFDA"/>
          </w:tcPr>
          <w:p>
            <w:pPr>
              <w:jc w:val="both"/>
            </w:pPr>
            <w:r/>
            <w:r>
              <w:rPr>
                <w:rFonts w:ascii="Arial" w:hAnsi="Arial" w:eastAsia="Arial"/>
                <w:b w:val="0"/>
                <w:sz w:val="13"/>
              </w:rPr>
              <w:t>VEs-02</w:t>
            </w:r>
          </w:p>
        </w:tc>
        <w:tc>
          <w:tcPr>
            <w:tcW w:type="dxa" w:w="1512"/>
            <w:vAlign w:val="top"/>
            <w:shd w:fill="E2EFDA"/>
          </w:tcPr>
          <w:p>
            <w:pPr>
              <w:jc w:val="both"/>
            </w:pPr>
            <w:r/>
            <w:r>
              <w:rPr>
                <w:rFonts w:ascii="Arial" w:hAnsi="Arial" w:eastAsia="Arial"/>
                <w:b w:val="0"/>
                <w:sz w:val="13"/>
              </w:rPr>
              <w:t>Ventaja competitiva e-commerce+IA</w:t>
            </w:r>
          </w:p>
        </w:tc>
        <w:tc>
          <w:tcPr>
            <w:tcW w:type="dxa" w:w="1800"/>
            <w:vAlign w:val="top"/>
            <w:shd w:fill="E2EFDA"/>
          </w:tcPr>
          <w:p>
            <w:pPr>
              <w:jc w:val="both"/>
            </w:pPr>
            <w:r/>
            <w:r>
              <w:rPr>
                <w:rFonts w:ascii="Arial" w:hAnsi="Arial" w:eastAsia="Arial"/>
                <w:b w:val="0"/>
                <w:sz w:val="13"/>
              </w:rPr>
              <w:t>Diferenciador IRE vs competencia local</w:t>
            </w:r>
          </w:p>
        </w:tc>
        <w:tc>
          <w:tcPr>
            <w:tcW w:type="dxa" w:w="1512"/>
            <w:vAlign w:val="top"/>
            <w:shd w:fill="E2EFDA"/>
          </w:tcPr>
          <w:p>
            <w:pPr>
              <w:jc w:val="both"/>
            </w:pPr>
            <w:r/>
            <w:r>
              <w:rPr>
                <w:rFonts w:ascii="Arial" w:hAnsi="Arial" w:eastAsia="Arial"/>
                <w:b w:val="0"/>
                <w:sz w:val="13"/>
              </w:rPr>
              <w:t>Matriz propuesta valor; 07-modulo-ia</w:t>
            </w:r>
          </w:p>
        </w:tc>
        <w:tc>
          <w:tcPr>
            <w:tcW w:type="dxa" w:w="1944"/>
            <w:vAlign w:val="top"/>
            <w:shd w:fill="E2EFDA"/>
          </w:tcPr>
          <w:p>
            <w:pPr>
              <w:jc w:val="both"/>
            </w:pPr>
            <w:r/>
            <w:r>
              <w:rPr>
                <w:rFonts w:ascii="Arial" w:hAnsi="Arial" w:eastAsia="Arial"/>
                <w:b w:val="0"/>
                <w:sz w:val="13"/>
              </w:rPr>
              <w:t>#43 Dai et al. (2024). AI big data cros…</w:t>
            </w:r>
          </w:p>
        </w:tc>
        <w:tc>
          <w:tcPr>
            <w:tcW w:type="dxa" w:w="1368"/>
            <w:vAlign w:val="top"/>
            <w:shd w:fill="E2EFDA"/>
          </w:tcPr>
          <w:p>
            <w:pPr>
              <w:jc w:val="both"/>
            </w:pPr>
            <w:r/>
            <w:r>
              <w:rPr>
                <w:rFonts w:ascii="Arial" w:hAnsi="Arial" w:eastAsia="Arial"/>
                <w:b w:val="0"/>
                <w:sz w:val="13"/>
              </w:rPr>
              <w:t>https://doi.org/10.1371/jour</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Est</w:t>
            </w:r>
          </w:p>
        </w:tc>
        <w:tc>
          <w:tcPr>
            <w:tcW w:type="dxa" w:w="792"/>
            <w:vAlign w:val="top"/>
            <w:shd w:fill="FFF2CC"/>
          </w:tcPr>
          <w:p>
            <w:pPr>
              <w:jc w:val="both"/>
            </w:pPr>
            <w:r/>
            <w:r>
              <w:rPr>
                <w:rFonts w:ascii="Arial" w:hAnsi="Arial" w:eastAsia="Arial"/>
                <w:b w:val="0"/>
                <w:sz w:val="13"/>
              </w:rPr>
              <w:t>VEs-03</w:t>
            </w:r>
          </w:p>
        </w:tc>
        <w:tc>
          <w:tcPr>
            <w:tcW w:type="dxa" w:w="1512"/>
            <w:vAlign w:val="top"/>
            <w:shd w:fill="FFF2CC"/>
          </w:tcPr>
          <w:p>
            <w:pPr>
              <w:jc w:val="both"/>
            </w:pPr>
            <w:r/>
            <w:r>
              <w:rPr>
                <w:rFonts w:ascii="Arial" w:hAnsi="Arial" w:eastAsia="Arial"/>
                <w:b w:val="0"/>
                <w:sz w:val="13"/>
              </w:rPr>
              <w:t>Marketing digital canal online</w:t>
            </w:r>
          </w:p>
        </w:tc>
        <w:tc>
          <w:tcPr>
            <w:tcW w:type="dxa" w:w="1800"/>
            <w:vAlign w:val="top"/>
            <w:shd w:fill="FFF2CC"/>
          </w:tcPr>
          <w:p>
            <w:pPr>
              <w:jc w:val="both"/>
            </w:pPr>
            <w:r/>
            <w:r>
              <w:rPr>
                <w:rFonts w:ascii="Arial" w:hAnsi="Arial" w:eastAsia="Arial"/>
                <w:b w:val="0"/>
                <w:sz w:val="13"/>
              </w:rPr>
              <w:t>KPIs conversion catalogo campanas</w:t>
            </w:r>
          </w:p>
        </w:tc>
        <w:tc>
          <w:tcPr>
            <w:tcW w:type="dxa" w:w="1512"/>
            <w:vAlign w:val="top"/>
            <w:shd w:fill="FFF2CC"/>
          </w:tcPr>
          <w:p>
            <w:pPr>
              <w:jc w:val="both"/>
            </w:pPr>
            <w:r/>
            <w:r>
              <w:rPr>
                <w:rFonts w:ascii="Arial" w:hAnsi="Arial" w:eastAsia="Arial"/>
                <w:b w:val="0"/>
                <w:sz w:val="13"/>
              </w:rPr>
              <w:t>RF-CAT-01; RF-ADM-13</w:t>
            </w:r>
          </w:p>
        </w:tc>
        <w:tc>
          <w:tcPr>
            <w:tcW w:type="dxa" w:w="1944"/>
            <w:vAlign w:val="top"/>
            <w:shd w:fill="FFF2CC"/>
          </w:tcPr>
          <w:p>
            <w:pPr>
              <w:jc w:val="both"/>
            </w:pPr>
            <w:r/>
            <w:r>
              <w:rPr>
                <w:rFonts w:ascii="Arial" w:hAnsi="Arial" w:eastAsia="Arial"/>
                <w:b w:val="0"/>
                <w:sz w:val="13"/>
              </w:rPr>
              <w:t>#06 Kannan and Li (2017). Digital marke…</w:t>
            </w:r>
          </w:p>
        </w:tc>
        <w:tc>
          <w:tcPr>
            <w:tcW w:type="dxa" w:w="1368"/>
            <w:vAlign w:val="top"/>
            <w:shd w:fill="FFF2CC"/>
          </w:tcPr>
          <w:p>
            <w:pPr>
              <w:jc w:val="both"/>
            </w:pPr>
            <w:r/>
            <w:r>
              <w:rPr>
                <w:rFonts w:ascii="Arial" w:hAnsi="Arial" w:eastAsia="Arial"/>
                <w:b w:val="0"/>
                <w:sz w:val="13"/>
              </w:rPr>
              <w:t>https://doi.org/10.1016/j.ij</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FF2CC"/>
          </w:tcPr>
          <w:p>
            <w:pPr>
              <w:jc w:val="both"/>
            </w:pPr>
            <w:r/>
            <w:r>
              <w:rPr>
                <w:rFonts w:ascii="Arial" w:hAnsi="Arial" w:eastAsia="Arial"/>
                <w:b w:val="0"/>
                <w:sz w:val="13"/>
              </w:rPr>
              <w:t>Est</w:t>
            </w:r>
          </w:p>
        </w:tc>
        <w:tc>
          <w:tcPr>
            <w:tcW w:type="dxa" w:w="792"/>
            <w:vAlign w:val="top"/>
            <w:shd w:fill="FFF2CC"/>
          </w:tcPr>
          <w:p>
            <w:pPr>
              <w:jc w:val="both"/>
            </w:pPr>
            <w:r/>
            <w:r>
              <w:rPr>
                <w:rFonts w:ascii="Arial" w:hAnsi="Arial" w:eastAsia="Arial"/>
                <w:b w:val="0"/>
                <w:sz w:val="13"/>
              </w:rPr>
              <w:t>VEs-04</w:t>
            </w:r>
          </w:p>
        </w:tc>
        <w:tc>
          <w:tcPr>
            <w:tcW w:type="dxa" w:w="1512"/>
            <w:vAlign w:val="top"/>
            <w:shd w:fill="FFF2CC"/>
          </w:tcPr>
          <w:p>
            <w:pPr>
              <w:jc w:val="both"/>
            </w:pPr>
            <w:r/>
            <w:r>
              <w:rPr>
                <w:rFonts w:ascii="Arial" w:hAnsi="Arial" w:eastAsia="Arial"/>
                <w:b w:val="0"/>
                <w:sz w:val="13"/>
              </w:rPr>
              <w:t>Alineacion decisiones organizacionales IA</w:t>
            </w:r>
          </w:p>
        </w:tc>
        <w:tc>
          <w:tcPr>
            <w:tcW w:type="dxa" w:w="1800"/>
            <w:vAlign w:val="top"/>
            <w:shd w:fill="FFF2CC"/>
          </w:tcPr>
          <w:p>
            <w:pPr>
              <w:jc w:val="both"/>
            </w:pPr>
            <w:r/>
            <w:r>
              <w:rPr>
                <w:rFonts w:ascii="Arial" w:hAnsi="Arial" w:eastAsia="Arial"/>
                <w:b w:val="0"/>
                <w:sz w:val="13"/>
              </w:rPr>
              <w:t>Panel predicciones para direccion</w:t>
            </w:r>
          </w:p>
        </w:tc>
        <w:tc>
          <w:tcPr>
            <w:tcW w:type="dxa" w:w="1512"/>
            <w:vAlign w:val="top"/>
            <w:shd w:fill="FFF2CC"/>
          </w:tcPr>
          <w:p>
            <w:pPr>
              <w:jc w:val="both"/>
            </w:pPr>
            <w:r/>
            <w:r>
              <w:rPr>
                <w:rFonts w:ascii="Arial" w:hAnsi="Arial" w:eastAsia="Arial"/>
                <w:b w:val="0"/>
                <w:sz w:val="13"/>
              </w:rPr>
              <w:t>AdminPredictions; RF-IA-03</w:t>
            </w:r>
          </w:p>
        </w:tc>
        <w:tc>
          <w:tcPr>
            <w:tcW w:type="dxa" w:w="1944"/>
            <w:vAlign w:val="top"/>
            <w:shd w:fill="FFF2CC"/>
          </w:tcPr>
          <w:p>
            <w:pPr>
              <w:jc w:val="both"/>
            </w:pPr>
            <w:r/>
            <w:r>
              <w:rPr>
                <w:rFonts w:ascii="Arial" w:hAnsi="Arial" w:eastAsia="Arial"/>
                <w:b w:val="0"/>
                <w:sz w:val="13"/>
              </w:rPr>
              <w:t>#11 Shrestha et al. (2019). AI organiza…</w:t>
            </w:r>
          </w:p>
        </w:tc>
        <w:tc>
          <w:tcPr>
            <w:tcW w:type="dxa" w:w="1368"/>
            <w:vAlign w:val="top"/>
            <w:shd w:fill="FFF2CC"/>
          </w:tcPr>
          <w:p>
            <w:pPr>
              <w:jc w:val="both"/>
            </w:pPr>
            <w:r/>
            <w:r>
              <w:rPr>
                <w:rFonts w:ascii="Arial" w:hAnsi="Arial" w:eastAsia="Arial"/>
                <w:b w:val="0"/>
                <w:sz w:val="13"/>
              </w:rPr>
              <w:t>https://doi.org/10.1177/0008</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FF2CC"/>
          </w:tcPr>
          <w:p>
            <w:pPr>
              <w:jc w:val="both"/>
            </w:pPr>
            <w:r/>
            <w:r>
              <w:rPr>
                <w:rFonts w:ascii="Arial" w:hAnsi="Arial" w:eastAsia="Arial"/>
                <w:b w:val="0"/>
                <w:sz w:val="13"/>
              </w:rPr>
              <w:t>Est</w:t>
            </w:r>
          </w:p>
        </w:tc>
        <w:tc>
          <w:tcPr>
            <w:tcW w:type="dxa" w:w="792"/>
            <w:vAlign w:val="top"/>
            <w:shd w:fill="FFF2CC"/>
          </w:tcPr>
          <w:p>
            <w:pPr>
              <w:jc w:val="both"/>
            </w:pPr>
            <w:r/>
            <w:r>
              <w:rPr>
                <w:rFonts w:ascii="Arial" w:hAnsi="Arial" w:eastAsia="Arial"/>
                <w:b w:val="0"/>
                <w:sz w:val="13"/>
              </w:rPr>
              <w:t>VEs-05</w:t>
            </w:r>
          </w:p>
        </w:tc>
        <w:tc>
          <w:tcPr>
            <w:tcW w:type="dxa" w:w="1512"/>
            <w:vAlign w:val="top"/>
            <w:shd w:fill="FFF2CC"/>
          </w:tcPr>
          <w:p>
            <w:pPr>
              <w:jc w:val="both"/>
            </w:pPr>
            <w:r/>
            <w:r>
              <w:rPr>
                <w:rFonts w:ascii="Arial" w:hAnsi="Arial" w:eastAsia="Arial"/>
                <w:b w:val="0"/>
                <w:sz w:val="13"/>
              </w:rPr>
              <w:t>Escalabilidad crecimiento omnicanal</w:t>
            </w:r>
          </w:p>
        </w:tc>
        <w:tc>
          <w:tcPr>
            <w:tcW w:type="dxa" w:w="1800"/>
            <w:vAlign w:val="top"/>
            <w:shd w:fill="FFF2CC"/>
          </w:tcPr>
          <w:p>
            <w:pPr>
              <w:jc w:val="both"/>
            </w:pPr>
            <w:r/>
            <w:r>
              <w:rPr>
                <w:rFonts w:ascii="Arial" w:hAnsi="Arial" w:eastAsia="Arial"/>
                <w:b w:val="0"/>
                <w:sz w:val="13"/>
              </w:rPr>
              <w:t>Web + Flutter; arquitectura microservicios</w:t>
            </w:r>
          </w:p>
        </w:tc>
        <w:tc>
          <w:tcPr>
            <w:tcW w:type="dxa" w:w="1512"/>
            <w:vAlign w:val="top"/>
            <w:shd w:fill="FFF2CC"/>
          </w:tcPr>
          <w:p>
            <w:pPr>
              <w:jc w:val="both"/>
            </w:pPr>
            <w:r/>
            <w:r>
              <w:rPr>
                <w:rFonts w:ascii="Arial" w:hAnsi="Arial" w:eastAsia="Arial"/>
                <w:b w:val="0"/>
                <w:sz w:val="13"/>
              </w:rPr>
              <w:t>calzatura-vilchez-mobile; art. 28</w:t>
            </w:r>
          </w:p>
        </w:tc>
        <w:tc>
          <w:tcPr>
            <w:tcW w:type="dxa" w:w="1944"/>
            <w:vAlign w:val="top"/>
            <w:shd w:fill="FFF2CC"/>
          </w:tcPr>
          <w:p>
            <w:pPr>
              <w:jc w:val="both"/>
            </w:pPr>
            <w:r/>
            <w:r>
              <w:rPr>
                <w:rFonts w:ascii="Arial" w:hAnsi="Arial" w:eastAsia="Arial"/>
                <w:b w:val="0"/>
                <w:sz w:val="13"/>
              </w:rPr>
              <w:t>#07 Reinartz et al. (2019). Retailing v…</w:t>
            </w:r>
          </w:p>
        </w:tc>
        <w:tc>
          <w:tcPr>
            <w:tcW w:type="dxa" w:w="1368"/>
            <w:vAlign w:val="top"/>
            <w:shd w:fill="FFF2CC"/>
          </w:tcPr>
          <w:p>
            <w:pPr>
              <w:jc w:val="both"/>
            </w:pPr>
            <w:r/>
            <w:r>
              <w:rPr>
                <w:rFonts w:ascii="Arial" w:hAnsi="Arial" w:eastAsia="Arial"/>
                <w:b w:val="0"/>
                <w:sz w:val="13"/>
              </w:rPr>
              <w:t>https://doi.org/10.1016/j.ij</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Cie</w:t>
            </w:r>
          </w:p>
        </w:tc>
        <w:tc>
          <w:tcPr>
            <w:tcW w:type="dxa" w:w="792"/>
            <w:vAlign w:val="top"/>
            <w:shd w:fill="E2EFDA"/>
          </w:tcPr>
          <w:p>
            <w:pPr>
              <w:jc w:val="both"/>
            </w:pPr>
            <w:r/>
            <w:r>
              <w:rPr>
                <w:rFonts w:ascii="Arial" w:hAnsi="Arial" w:eastAsia="Arial"/>
                <w:b w:val="0"/>
                <w:sz w:val="13"/>
              </w:rPr>
              <w:t>VC-01</w:t>
            </w:r>
          </w:p>
        </w:tc>
        <w:tc>
          <w:tcPr>
            <w:tcW w:type="dxa" w:w="1512"/>
            <w:vAlign w:val="top"/>
            <w:shd w:fill="E2EFDA"/>
          </w:tcPr>
          <w:p>
            <w:pPr>
              <w:jc w:val="both"/>
            </w:pPr>
            <w:r/>
            <w:r>
              <w:rPr>
                <w:rFonts w:ascii="Arial" w:hAnsi="Arial" w:eastAsia="Arial"/>
                <w:b w:val="0"/>
                <w:sz w:val="13"/>
              </w:rPr>
              <w:t>Respaldo estado del arte Q1 verificado</w:t>
            </w:r>
          </w:p>
        </w:tc>
        <w:tc>
          <w:tcPr>
            <w:tcW w:type="dxa" w:w="1800"/>
            <w:vAlign w:val="top"/>
            <w:shd w:fill="E2EFDA"/>
          </w:tcPr>
          <w:p>
            <w:pPr>
              <w:jc w:val="both"/>
            </w:pPr>
            <w:r/>
            <w:r>
              <w:rPr>
                <w:rFonts w:ascii="Arial" w:hAnsi="Arial" w:eastAsia="Arial"/>
                <w:b w:val="0"/>
                <w:sz w:val="13"/>
              </w:rPr>
              <w:t>43 articulos DOI verificados + complementos 44-48</w:t>
            </w:r>
          </w:p>
        </w:tc>
        <w:tc>
          <w:tcPr>
            <w:tcW w:type="dxa" w:w="1512"/>
            <w:vAlign w:val="top"/>
            <w:shd w:fill="E2EFDA"/>
          </w:tcPr>
          <w:p>
            <w:pPr>
              <w:jc w:val="both"/>
            </w:pPr>
            <w:r/>
            <w:r>
              <w:rPr>
                <w:rFonts w:ascii="Arial" w:hAnsi="Arial" w:eastAsia="Arial"/>
                <w:b w:val="0"/>
                <w:sz w:val="13"/>
              </w:rPr>
              <w:t>referencias-estado-arte-43-verificadas.j…</w:t>
            </w:r>
          </w:p>
        </w:tc>
        <w:tc>
          <w:tcPr>
            <w:tcW w:type="dxa" w:w="1944"/>
            <w:vAlign w:val="top"/>
            <w:shd w:fill="E2EFDA"/>
          </w:tcPr>
          <w:p>
            <w:pPr>
              <w:jc w:val="both"/>
            </w:pPr>
            <w:r/>
            <w:r>
              <w:rPr>
                <w:rFonts w:ascii="Arial" w:hAnsi="Arial" w:eastAsia="Arial"/>
                <w:b w:val="0"/>
                <w:sz w:val="13"/>
              </w:rPr>
              <w:t>#13 Makridakis et al. (2018). Statistic…</w:t>
            </w:r>
          </w:p>
        </w:tc>
        <w:tc>
          <w:tcPr>
            <w:tcW w:type="dxa" w:w="1368"/>
            <w:vAlign w:val="top"/>
            <w:shd w:fill="E2EFDA"/>
          </w:tcPr>
          <w:p>
            <w:pPr>
              <w:jc w:val="both"/>
            </w:pPr>
            <w:r/>
            <w:r>
              <w:rPr>
                <w:rFonts w:ascii="Arial" w:hAnsi="Arial" w:eastAsia="Arial"/>
                <w:b w:val="0"/>
                <w:sz w:val="13"/>
              </w:rPr>
              <w:t>https://doi.org/10.1371/jour</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r>
        <w:tc>
          <w:tcPr>
            <w:tcW w:type="dxa" w:w="504"/>
            <w:vAlign w:val="top"/>
            <w:shd w:fill="FFF2CC"/>
          </w:tcPr>
          <w:p>
            <w:pPr>
              <w:jc w:val="both"/>
            </w:pPr>
            <w:r/>
            <w:r>
              <w:rPr>
                <w:rFonts w:ascii="Arial" w:hAnsi="Arial" w:eastAsia="Arial"/>
                <w:b w:val="0"/>
                <w:sz w:val="13"/>
              </w:rPr>
              <w:t>Cie</w:t>
            </w:r>
          </w:p>
        </w:tc>
        <w:tc>
          <w:tcPr>
            <w:tcW w:type="dxa" w:w="792"/>
            <w:vAlign w:val="top"/>
            <w:shd w:fill="FFF2CC"/>
          </w:tcPr>
          <w:p>
            <w:pPr>
              <w:jc w:val="both"/>
            </w:pPr>
            <w:r/>
            <w:r>
              <w:rPr>
                <w:rFonts w:ascii="Arial" w:hAnsi="Arial" w:eastAsia="Arial"/>
                <w:b w:val="0"/>
                <w:sz w:val="13"/>
              </w:rPr>
              <w:t>VC-02</w:t>
            </w:r>
          </w:p>
        </w:tc>
        <w:tc>
          <w:tcPr>
            <w:tcW w:type="dxa" w:w="1512"/>
            <w:vAlign w:val="top"/>
            <w:shd w:fill="FFF2CC"/>
          </w:tcPr>
          <w:p>
            <w:pPr>
              <w:jc w:val="both"/>
            </w:pPr>
            <w:r/>
            <w:r>
              <w:rPr>
                <w:rFonts w:ascii="Arial" w:hAnsi="Arial" w:eastAsia="Arial"/>
                <w:b w:val="0"/>
                <w:sz w:val="13"/>
              </w:rPr>
              <w:t>Contribucion original IRE comercial-operativo</w:t>
            </w:r>
          </w:p>
        </w:tc>
        <w:tc>
          <w:tcPr>
            <w:tcW w:type="dxa" w:w="1800"/>
            <w:vAlign w:val="top"/>
            <w:shd w:fill="FFF2CC"/>
          </w:tcPr>
          <w:p>
            <w:pPr>
              <w:jc w:val="both"/>
            </w:pPr>
            <w:r/>
            <w:r>
              <w:rPr>
                <w:rFonts w:ascii="Arial" w:hAnsi="Arial" w:eastAsia="Arial"/>
                <w:b w:val="0"/>
                <w:sz w:val="13"/>
              </w:rPr>
              <w:t>Formula IRE 40/35/25 acotada vs quiebra Altman</w:t>
            </w:r>
          </w:p>
        </w:tc>
        <w:tc>
          <w:tcPr>
            <w:tcW w:type="dxa" w:w="1512"/>
            <w:vAlign w:val="top"/>
            <w:shd w:fill="FFF2CC"/>
          </w:tcPr>
          <w:p>
            <w:pPr>
              <w:jc w:val="both"/>
            </w:pPr>
            <w:r/>
            <w:r>
              <w:rPr>
                <w:rFonts w:ascii="Arial" w:hAnsi="Arial" w:eastAsia="Arial"/>
                <w:b w:val="0"/>
                <w:sz w:val="13"/>
              </w:rPr>
              <w:t>07-modulo-ia §1 matiz</w:t>
            </w:r>
          </w:p>
        </w:tc>
        <w:tc>
          <w:tcPr>
            <w:tcW w:type="dxa" w:w="1944"/>
            <w:vAlign w:val="top"/>
            <w:shd w:fill="FFF2CC"/>
          </w:tcPr>
          <w:p>
            <w:pPr>
              <w:jc w:val="both"/>
            </w:pPr>
            <w:r/>
            <w:r>
              <w:rPr>
                <w:rFonts w:ascii="Arial" w:hAnsi="Arial" w:eastAsia="Arial"/>
                <w:b w:val="0"/>
                <w:sz w:val="13"/>
              </w:rPr>
              <w:t>#09 Duan et al. (2019). AI for decision…</w:t>
            </w:r>
          </w:p>
        </w:tc>
        <w:tc>
          <w:tcPr>
            <w:tcW w:type="dxa" w:w="1368"/>
            <w:vAlign w:val="top"/>
            <w:shd w:fill="FFF2CC"/>
          </w:tcPr>
          <w:p>
            <w:pPr>
              <w:jc w:val="both"/>
            </w:pPr>
            <w:r/>
            <w:r>
              <w:rPr>
                <w:rFonts w:ascii="Arial" w:hAnsi="Arial" w:eastAsia="Arial"/>
                <w:b w:val="0"/>
                <w:sz w:val="13"/>
              </w:rPr>
              <w:t>https://doi.org/10.1016/j.ij</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FCE4D6"/>
          </w:tcPr>
          <w:p>
            <w:pPr>
              <w:jc w:val="both"/>
            </w:pPr>
            <w:r/>
            <w:r>
              <w:rPr>
                <w:rFonts w:ascii="Arial" w:hAnsi="Arial" w:eastAsia="Arial"/>
                <w:b w:val="0"/>
                <w:sz w:val="13"/>
              </w:rPr>
              <w:t>Cie</w:t>
            </w:r>
          </w:p>
        </w:tc>
        <w:tc>
          <w:tcPr>
            <w:tcW w:type="dxa" w:w="792"/>
            <w:vAlign w:val="top"/>
            <w:shd w:fill="FCE4D6"/>
          </w:tcPr>
          <w:p>
            <w:pPr>
              <w:jc w:val="both"/>
            </w:pPr>
            <w:r/>
            <w:r>
              <w:rPr>
                <w:rFonts w:ascii="Arial" w:hAnsi="Arial" w:eastAsia="Arial"/>
                <w:b w:val="0"/>
                <w:sz w:val="13"/>
              </w:rPr>
              <w:t>VC-03</w:t>
            </w:r>
          </w:p>
        </w:tc>
        <w:tc>
          <w:tcPr>
            <w:tcW w:type="dxa" w:w="1512"/>
            <w:vAlign w:val="top"/>
            <w:shd w:fill="FCE4D6"/>
          </w:tcPr>
          <w:p>
            <w:pPr>
              <w:jc w:val="both"/>
            </w:pPr>
            <w:r/>
            <w:r>
              <w:rPr>
                <w:rFonts w:ascii="Arial" w:hAnsi="Arial" w:eastAsia="Arial"/>
                <w:b w:val="0"/>
                <w:sz w:val="13"/>
              </w:rPr>
              <w:t>Metodologia investigacion mixta coherente</w:t>
            </w:r>
          </w:p>
        </w:tc>
        <w:tc>
          <w:tcPr>
            <w:tcW w:type="dxa" w:w="1800"/>
            <w:vAlign w:val="top"/>
            <w:shd w:fill="FCE4D6"/>
          </w:tcPr>
          <w:p>
            <w:pPr>
              <w:jc w:val="both"/>
            </w:pPr>
            <w:r/>
            <w:r>
              <w:rPr>
                <w:rFonts w:ascii="Arial" w:hAnsi="Arial" w:eastAsia="Arial"/>
                <w:b w:val="0"/>
                <w:sz w:val="13"/>
              </w:rPr>
              <w:t>CU-T09 matriz consistencia pre-post</w:t>
            </w:r>
          </w:p>
        </w:tc>
        <w:tc>
          <w:tcPr>
            <w:tcW w:type="dxa" w:w="1512"/>
            <w:vAlign w:val="top"/>
            <w:shd w:fill="FCE4D6"/>
          </w:tcPr>
          <w:p>
            <w:pPr>
              <w:jc w:val="both"/>
            </w:pPr>
            <w:r/>
            <w:r>
              <w:rPr>
                <w:rFonts w:ascii="Arial" w:hAnsi="Arial" w:eastAsia="Arial"/>
                <w:b w:val="0"/>
                <w:sz w:val="13"/>
              </w:rPr>
              <w:t>CU-T09; instrumento Likert; O2 pendiente</w:t>
            </w:r>
          </w:p>
        </w:tc>
        <w:tc>
          <w:tcPr>
            <w:tcW w:type="dxa" w:w="1944"/>
            <w:vAlign w:val="top"/>
            <w:shd w:fill="FCE4D6"/>
          </w:tcPr>
          <w:p>
            <w:pPr>
              <w:jc w:val="both"/>
            </w:pPr>
            <w:r/>
            <w:r>
              <w:rPr>
                <w:rFonts w:ascii="Arial" w:hAnsi="Arial" w:eastAsia="Arial"/>
                <w:b w:val="0"/>
                <w:sz w:val="13"/>
              </w:rPr>
              <w:t>#14 Fildes et al. (2019). Retail foreca…</w:t>
            </w:r>
          </w:p>
        </w:tc>
        <w:tc>
          <w:tcPr>
            <w:tcW w:type="dxa" w:w="1368"/>
            <w:vAlign w:val="top"/>
            <w:shd w:fill="FCE4D6"/>
          </w:tcPr>
          <w:p>
            <w:pPr>
              <w:jc w:val="both"/>
            </w:pPr>
            <w:r/>
            <w:r>
              <w:rPr>
                <w:rFonts w:ascii="Arial" w:hAnsi="Arial" w:eastAsia="Arial"/>
                <w:b w:val="0"/>
                <w:sz w:val="13"/>
              </w:rPr>
              <w:t>https://doi.org/10.1016/j.ij</w:t>
            </w:r>
          </w:p>
        </w:tc>
        <w:tc>
          <w:tcPr>
            <w:tcW w:type="dxa" w:w="504"/>
            <w:vAlign w:val="top"/>
            <w:shd w:fill="FCE4D6"/>
          </w:tcPr>
          <w:p>
            <w:pPr>
              <w:jc w:val="both"/>
            </w:pPr>
            <w:r/>
            <w:r>
              <w:rPr>
                <w:rFonts w:ascii="Arial" w:hAnsi="Arial" w:eastAsia="Arial"/>
                <w:b w:val="0"/>
                <w:sz w:val="13"/>
              </w:rPr>
              <w:t>3</w:t>
            </w:r>
          </w:p>
        </w:tc>
        <w:tc>
          <w:tcPr>
            <w:tcW w:type="dxa" w:w="1080"/>
            <w:vAlign w:val="top"/>
            <w:shd w:fill="FCE4D6"/>
          </w:tcPr>
          <w:p>
            <w:pPr>
              <w:jc w:val="both"/>
            </w:pPr>
            <w:r/>
            <w:r>
              <w:rPr>
                <w:rFonts w:ascii="Arial" w:hAnsi="Arial" w:eastAsia="Arial"/>
                <w:b w:val="0"/>
                <w:sz w:val="13"/>
              </w:rPr>
              <w:t>Viable con reserva</w:t>
            </w:r>
          </w:p>
        </w:tc>
      </w:tr>
      <w:tr>
        <w:tc>
          <w:tcPr>
            <w:tcW w:type="dxa" w:w="504"/>
            <w:vAlign w:val="top"/>
            <w:shd w:fill="FFF2CC"/>
          </w:tcPr>
          <w:p>
            <w:pPr>
              <w:jc w:val="both"/>
            </w:pPr>
            <w:r/>
            <w:r>
              <w:rPr>
                <w:rFonts w:ascii="Arial" w:hAnsi="Arial" w:eastAsia="Arial"/>
                <w:b w:val="0"/>
                <w:sz w:val="13"/>
              </w:rPr>
              <w:t>Cie</w:t>
            </w:r>
          </w:p>
        </w:tc>
        <w:tc>
          <w:tcPr>
            <w:tcW w:type="dxa" w:w="792"/>
            <w:vAlign w:val="top"/>
            <w:shd w:fill="FFF2CC"/>
          </w:tcPr>
          <w:p>
            <w:pPr>
              <w:jc w:val="both"/>
            </w:pPr>
            <w:r/>
            <w:r>
              <w:rPr>
                <w:rFonts w:ascii="Arial" w:hAnsi="Arial" w:eastAsia="Arial"/>
                <w:b w:val="0"/>
                <w:sz w:val="13"/>
              </w:rPr>
              <w:t>VC-04</w:t>
            </w:r>
          </w:p>
        </w:tc>
        <w:tc>
          <w:tcPr>
            <w:tcW w:type="dxa" w:w="1512"/>
            <w:vAlign w:val="top"/>
            <w:shd w:fill="FFF2CC"/>
          </w:tcPr>
          <w:p>
            <w:pPr>
              <w:jc w:val="both"/>
            </w:pPr>
            <w:r/>
            <w:r>
              <w:rPr>
                <w:rFonts w:ascii="Arial" w:hAnsi="Arial" w:eastAsia="Arial"/>
                <w:b w:val="0"/>
                <w:sz w:val="13"/>
              </w:rPr>
              <w:t>Validacion modelo forecasting</w:t>
            </w:r>
          </w:p>
        </w:tc>
        <w:tc>
          <w:tcPr>
            <w:tcW w:type="dxa" w:w="1800"/>
            <w:vAlign w:val="top"/>
            <w:shd w:fill="FFF2CC"/>
          </w:tcPr>
          <w:p>
            <w:pPr>
              <w:jc w:val="both"/>
            </w:pPr>
            <w:r/>
            <w:r>
              <w:rPr>
                <w:rFonts w:ascii="Arial" w:hAnsi="Arial" w:eastAsia="Arial"/>
                <w:b w:val="0"/>
                <w:sz w:val="13"/>
              </w:rPr>
              <w:t>MAE RMSE backtest vs baseline</w:t>
            </w:r>
          </w:p>
        </w:tc>
        <w:tc>
          <w:tcPr>
            <w:tcW w:type="dxa" w:w="1512"/>
            <w:vAlign w:val="top"/>
            <w:shd w:fill="FFF2CC"/>
          </w:tcPr>
          <w:p>
            <w:pPr>
              <w:jc w:val="both"/>
            </w:pPr>
            <w:r/>
            <w:r>
              <w:rPr>
                <w:rFonts w:ascii="Arial" w:hAnsi="Arial" w:eastAsia="Arial"/>
                <w:b w:val="0"/>
                <w:sz w:val="13"/>
              </w:rPr>
              <w:t>ai-service/evaluate.py</w:t>
            </w:r>
          </w:p>
        </w:tc>
        <w:tc>
          <w:tcPr>
            <w:tcW w:type="dxa" w:w="1944"/>
            <w:vAlign w:val="top"/>
            <w:shd w:fill="FFF2CC"/>
          </w:tcPr>
          <w:p>
            <w:pPr>
              <w:jc w:val="both"/>
            </w:pPr>
            <w:r/>
            <w:r>
              <w:rPr>
                <w:rFonts w:ascii="Arial" w:hAnsi="Arial" w:eastAsia="Arial"/>
                <w:b w:val="0"/>
                <w:sz w:val="13"/>
              </w:rPr>
              <w:t>#35 Breiman (2001). Random forests.</w:t>
            </w:r>
          </w:p>
        </w:tc>
        <w:tc>
          <w:tcPr>
            <w:tcW w:type="dxa" w:w="1368"/>
            <w:vAlign w:val="top"/>
            <w:shd w:fill="FFF2CC"/>
          </w:tcPr>
          <w:p>
            <w:pPr>
              <w:jc w:val="both"/>
            </w:pPr>
            <w:r/>
            <w:r>
              <w:rPr>
                <w:rFonts w:ascii="Arial" w:hAnsi="Arial" w:eastAsia="Arial"/>
                <w:b w:val="0"/>
                <w:sz w:val="13"/>
              </w:rPr>
              <w:t>https://doi.org/10.1023/A:10</w:t>
            </w:r>
          </w:p>
        </w:tc>
        <w:tc>
          <w:tcPr>
            <w:tcW w:type="dxa" w:w="504"/>
            <w:vAlign w:val="top"/>
            <w:shd w:fill="FFF2CC"/>
          </w:tcPr>
          <w:p>
            <w:pPr>
              <w:jc w:val="both"/>
            </w:pPr>
            <w:r/>
            <w:r>
              <w:rPr>
                <w:rFonts w:ascii="Arial" w:hAnsi="Arial" w:eastAsia="Arial"/>
                <w:b w:val="0"/>
                <w:sz w:val="13"/>
              </w:rPr>
              <w:t>4</w:t>
            </w:r>
          </w:p>
        </w:tc>
        <w:tc>
          <w:tcPr>
            <w:tcW w:type="dxa" w:w="1080"/>
            <w:vAlign w:val="top"/>
            <w:shd w:fill="FFF2CC"/>
          </w:tcPr>
          <w:p>
            <w:pPr>
              <w:jc w:val="both"/>
            </w:pPr>
            <w:r/>
            <w:r>
              <w:rPr>
                <w:rFonts w:ascii="Arial" w:hAnsi="Arial" w:eastAsia="Arial"/>
                <w:b w:val="0"/>
                <w:sz w:val="13"/>
              </w:rPr>
              <w:t>Viable</w:t>
            </w:r>
          </w:p>
        </w:tc>
      </w:tr>
      <w:tr>
        <w:tc>
          <w:tcPr>
            <w:tcW w:type="dxa" w:w="504"/>
            <w:vAlign w:val="top"/>
            <w:shd w:fill="E2EFDA"/>
          </w:tcPr>
          <w:p>
            <w:pPr>
              <w:jc w:val="both"/>
            </w:pPr>
            <w:r/>
            <w:r>
              <w:rPr>
                <w:rFonts w:ascii="Arial" w:hAnsi="Arial" w:eastAsia="Arial"/>
                <w:b w:val="0"/>
                <w:sz w:val="13"/>
              </w:rPr>
              <w:t>Cie</w:t>
            </w:r>
          </w:p>
        </w:tc>
        <w:tc>
          <w:tcPr>
            <w:tcW w:type="dxa" w:w="792"/>
            <w:vAlign w:val="top"/>
            <w:shd w:fill="E2EFDA"/>
          </w:tcPr>
          <w:p>
            <w:pPr>
              <w:jc w:val="both"/>
            </w:pPr>
            <w:r/>
            <w:r>
              <w:rPr>
                <w:rFonts w:ascii="Arial" w:hAnsi="Arial" w:eastAsia="Arial"/>
                <w:b w:val="0"/>
                <w:sz w:val="13"/>
              </w:rPr>
              <w:t>VC-05</w:t>
            </w:r>
          </w:p>
        </w:tc>
        <w:tc>
          <w:tcPr>
            <w:tcW w:type="dxa" w:w="1512"/>
            <w:vAlign w:val="top"/>
            <w:shd w:fill="E2EFDA"/>
          </w:tcPr>
          <w:p>
            <w:pPr>
              <w:jc w:val="both"/>
            </w:pPr>
            <w:r/>
            <w:r>
              <w:rPr>
                <w:rFonts w:ascii="Arial" w:hAnsi="Arial" w:eastAsia="Arial"/>
                <w:b w:val="0"/>
                <w:sz w:val="13"/>
              </w:rPr>
              <w:t>Replicabilidad y trazabilidad tesis</w:t>
            </w:r>
          </w:p>
        </w:tc>
        <w:tc>
          <w:tcPr>
            <w:tcW w:type="dxa" w:w="1800"/>
            <w:vAlign w:val="top"/>
            <w:shd w:fill="E2EFDA"/>
          </w:tcPr>
          <w:p>
            <w:pPr>
              <w:jc w:val="both"/>
            </w:pPr>
            <w:r/>
            <w:r>
              <w:rPr>
                <w:rFonts w:ascii="Arial" w:hAnsi="Arial" w:eastAsia="Arial"/>
                <w:b w:val="0"/>
                <w:sz w:val="13"/>
              </w:rPr>
              <w:t>Gates ISO CU-T05 CU-T07 repo publico</w:t>
            </w:r>
          </w:p>
        </w:tc>
        <w:tc>
          <w:tcPr>
            <w:tcW w:type="dxa" w:w="1512"/>
            <w:vAlign w:val="top"/>
            <w:shd w:fill="E2EFDA"/>
          </w:tcPr>
          <w:p>
            <w:pPr>
              <w:jc w:val="both"/>
            </w:pPr>
            <w:r/>
            <w:r>
              <w:rPr>
                <w:rFonts w:ascii="Arial" w:hAnsi="Arial" w:eastAsia="Arial"/>
                <w:b w:val="0"/>
                <w:sz w:val="13"/>
              </w:rPr>
              <w:t>dashboard-iso25000; GitHub</w:t>
            </w:r>
          </w:p>
        </w:tc>
        <w:tc>
          <w:tcPr>
            <w:tcW w:type="dxa" w:w="1944"/>
            <w:vAlign w:val="top"/>
            <w:shd w:fill="E2EFDA"/>
          </w:tcPr>
          <w:p>
            <w:pPr>
              <w:jc w:val="both"/>
            </w:pPr>
            <w:r/>
            <w:r>
              <w:rPr>
                <w:rFonts w:ascii="Arial" w:hAnsi="Arial" w:eastAsia="Arial"/>
                <w:b w:val="0"/>
                <w:sz w:val="13"/>
              </w:rPr>
              <w:t>#41 Haakman et al. (2021). AI lifecycle…</w:t>
            </w:r>
          </w:p>
        </w:tc>
        <w:tc>
          <w:tcPr>
            <w:tcW w:type="dxa" w:w="1368"/>
            <w:vAlign w:val="top"/>
            <w:shd w:fill="E2EFDA"/>
          </w:tcPr>
          <w:p>
            <w:pPr>
              <w:jc w:val="both"/>
            </w:pPr>
            <w:r/>
            <w:r>
              <w:rPr>
                <w:rFonts w:ascii="Arial" w:hAnsi="Arial" w:eastAsia="Arial"/>
                <w:b w:val="0"/>
                <w:sz w:val="13"/>
              </w:rPr>
              <w:t>https://doi.org/10.1007/s106</w:t>
            </w:r>
          </w:p>
        </w:tc>
        <w:tc>
          <w:tcPr>
            <w:tcW w:type="dxa" w:w="504"/>
            <w:vAlign w:val="top"/>
            <w:shd w:fill="E2EFDA"/>
          </w:tcPr>
          <w:p>
            <w:pPr>
              <w:jc w:val="both"/>
            </w:pPr>
            <w:r/>
            <w:r>
              <w:rPr>
                <w:rFonts w:ascii="Arial" w:hAnsi="Arial" w:eastAsia="Arial"/>
                <w:b w:val="0"/>
                <w:sz w:val="13"/>
              </w:rPr>
              <w:t>5</w:t>
            </w:r>
          </w:p>
        </w:tc>
        <w:tc>
          <w:tcPr>
            <w:tcW w:type="dxa" w:w="1080"/>
            <w:vAlign w:val="top"/>
            <w:shd w:fill="E2EFDA"/>
          </w:tcPr>
          <w:p>
            <w:pPr>
              <w:jc w:val="both"/>
            </w:pPr>
            <w:r/>
            <w:r>
              <w:rPr>
                <w:rFonts w:ascii="Arial" w:hAnsi="Arial" w:eastAsia="Arial"/>
                <w:b w:val="0"/>
                <w:sz w:val="13"/>
              </w:rPr>
              <w:t>Alta viabilidad</w:t>
            </w:r>
          </w:p>
        </w:tc>
      </w:tr>
    </w:tbl>
    <w:p>
      <w:pPr>
        <w:sectPr>
          <w:pgSz w:w="15840" w:h="12240" w:orient="landscape"/>
          <w:pgMar w:top="504" w:right="504" w:bottom="504" w:left="504" w:header="720" w:footer="720" w:gutter="0"/>
          <w:cols w:space="720"/>
          <w:docGrid w:linePitch="360"/>
        </w:sectPr>
      </w:pPr>
    </w:p>
    <w:p>
      <w:pPr>
        <w:spacing w:before="200" w:after="80"/>
      </w:pPr>
      <w:r>
        <w:rPr>
          <w:rFonts w:ascii="Arial" w:hAnsi="Arial"/>
          <w:b/>
          <w:sz w:val="24"/>
        </w:rPr>
        <w:t>7. Resumen de validación documental</w:t>
      </w:r>
    </w:p>
    <w:p>
      <w:pPr>
        <w:jc w:val="both"/>
      </w:pPr>
      <w:r>
        <w:rPr>
          <w:rFonts w:ascii="Arial" w:hAnsi="Arial"/>
          <w:i w:val="0"/>
          <w:sz w:val="18"/>
        </w:rPr>
        <w:t>Total filas CU-T13: 36. Puntaje global: 4.45/5.00. Veredicto: VIABLE — proceder con reservas documentadas. Regeneración: python scripts/generar_matriz_viabilidad_inicial.py</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