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仿宋" w:hAnsi="仿宋" w:eastAsia="仿宋"/>
          <w:b/>
          <w:i w:val="0"/>
          <w:color w:val="000000"/>
          <w:sz w:val="32"/>
        </w:rPr>
        <w:t>第五章 系统实现与性能测试</w:t>
      </w:r>
    </w:p>
    <w:p>
      <w:pPr>
        <w:spacing w:after="120"/>
      </w:pPr>
      <w:r>
        <w:rPr>
          <w:rFonts w:ascii="仿宋" w:hAnsi="仿宋" w:eastAsia="仿宋"/>
          <w:b w:val="0"/>
          <w:i w:val="0"/>
          <w:color w:val="000000"/>
          <w:sz w:val="24"/>
        </w:rPr>
        <w:t>本章阐述系统的前端界面、后端服务、安全机制与IFC合规性审查模块的具体实现，并基于三类实验数据对系统性能进行测试与分析。</w:t>
      </w:r>
    </w:p>
    <w:p>
      <w:pPr>
        <w:pStyle w:val="Heading2"/>
      </w:pPr>
      <w:r>
        <w:rPr>
          <w:rFonts w:ascii="仿宋" w:hAnsi="仿宋" w:eastAsia="仿宋"/>
          <w:b/>
          <w:i w:val="0"/>
          <w:color w:val="000000"/>
          <w:sz w:val="28"/>
        </w:rPr>
        <w:t>5.1 前端界面实现</w:t>
      </w:r>
    </w:p>
    <w:p>
      <w:pPr>
        <w:spacing w:after="120"/>
      </w:pPr>
      <w:r>
        <w:rPr>
          <w:rFonts w:ascii="仿宋" w:hAnsi="仿宋" w:eastAsia="仿宋"/>
          <w:b w:val="0"/>
          <w:i w:val="0"/>
          <w:color w:val="000000"/>
          <w:sz w:val="24"/>
        </w:rPr>
        <w:t>前端基于Next.js 15框架构建，采用React 19组件化开发模式，通过API接口与后端服务通信。技术栈包含TypeScript语言、Tailwind CSS样式框架与shadcn/ui组件库，具体选型依据见3.3.1节。</w:t>
      </w:r>
    </w:p>
    <w:p>
      <w:pPr>
        <w:pStyle w:val="Heading3"/>
      </w:pPr>
      <w:r>
        <w:rPr>
          <w:rFonts w:ascii="仿宋" w:hAnsi="仿宋" w:eastAsia="仿宋"/>
          <w:b/>
          <w:i w:val="0"/>
          <w:color w:val="000000"/>
          <w:sz w:val="24"/>
        </w:rPr>
        <w:t>5.1.1 主要页面设计</w:t>
      </w:r>
    </w:p>
    <w:p>
      <w:pPr>
        <w:spacing w:after="120"/>
      </w:pPr>
      <w:r>
        <w:rPr>
          <w:rFonts w:ascii="仿宋" w:hAnsi="仿宋" w:eastAsia="仿宋"/>
          <w:b w:val="0"/>
          <w:i w:val="0"/>
          <w:color w:val="000000"/>
          <w:sz w:val="24"/>
        </w:rPr>
        <w:t>系统前端包含以下页面：</w:t>
      </w:r>
    </w:p>
    <w:p>
      <w:pPr>
        <w:spacing w:after="120"/>
      </w:pPr>
      <w:r>
        <w:rPr>
          <w:rFonts w:ascii="仿宋" w:hAnsi="仿宋" w:eastAsia="仿宋"/>
          <w:b/>
          <w:i w:val="0"/>
          <w:color w:val="000000"/>
          <w:sz w:val="24"/>
        </w:rPr>
        <w:t>登录/注册页面</w:t>
      </w:r>
      <w:r>
        <w:rPr>
          <w:rFonts w:ascii="仿宋" w:hAnsi="仿宋" w:eastAsia="仿宋"/>
          <w:b w:val="0"/>
          <w:i w:val="0"/>
          <w:color w:val="000000"/>
          <w:sz w:val="24"/>
        </w:rPr>
        <w:t>。登录页面采用卡片式居中布局，提供邮箱密码登录表单，同时支持GitHub与Google OAuth社交登录按钮。注册页面提供用户名、邮箱、密码输入表单，并支持头像上传。密码重置页面通过邮件链接实现密码找回。登录流程使用better-auth库进行身份认证，前端通过auth-client模块调用认证API，成功后获取session令牌并存储于浏览器Cookie中。</w:t>
      </w:r>
    </w:p>
    <w:p>
      <w:pPr>
        <w:spacing w:after="120"/>
      </w:pPr>
      <w:r>
        <w:rPr>
          <w:rFonts w:ascii="仿宋" w:hAnsi="仿宋" w:eastAsia="仿宋"/>
          <w:b/>
          <w:i w:val="0"/>
          <w:color w:val="000000"/>
          <w:sz w:val="24"/>
        </w:rPr>
        <w:t>Dashboard页面（IDS生成）</w:t>
      </w:r>
      <w:r>
        <w:rPr>
          <w:rFonts w:ascii="仿宋" w:hAnsi="仿宋" w:eastAsia="仿宋"/>
          <w:b w:val="0"/>
          <w:i w:val="0"/>
          <w:color w:val="000000"/>
          <w:sz w:val="24"/>
        </w:rPr>
        <w:t>。Dashboard是系统的主要功能页面，布局包含左侧导航栏与右侧主内容区域。主内容区域包含自然语言输入表单，用户在此输入规范描述文本并点击"生成IDS"按钮提交请求。表单下方展示生成状态（提交中、处理中、已完成、失败），通过setInterval轮询机制每5秒刷新任务状态。生成完成后，页面展示IDS文件预览与下载按钮。页面顶部提供IFC版本选择器（IFC2x3、IFC4、IFC4.3），用于指定生成规则的适用版本。</w:t>
      </w:r>
    </w:p>
    <w:p>
      <w:pPr>
        <w:spacing w:after="120"/>
      </w:pPr>
      <w:r>
        <w:rPr>
          <w:rFonts w:ascii="仿宋" w:hAnsi="仿宋" w:eastAsia="仿宋"/>
          <w:b/>
          <w:i w:val="0"/>
          <w:color w:val="000000"/>
          <w:sz w:val="24"/>
        </w:rPr>
        <w:t>任务列表页面</w:t>
      </w:r>
      <w:r>
        <w:rPr>
          <w:rFonts w:ascii="仿宋" w:hAnsi="仿宋" w:eastAsia="仿宋"/>
          <w:b w:val="0"/>
          <w:i w:val="0"/>
          <w:color w:val="000000"/>
          <w:sz w:val="24"/>
        </w:rPr>
        <w:t>。任务列表页面展示用户的所有生成历史与审查历史。每条任务记录包含：原始输入名称、任务类型（IDS生成/IFC审查）、当前状态、创建时间。状态通过Badge组件可视化展示，颜色编码对应8种任务状态枚举（见5.2.4节）。每条任务提供操作按钮：下载IDS文件、上传IFC进行审查、查看审查报告、删除任务。</w:t>
      </w:r>
    </w:p>
    <w:p>
      <w:pPr>
        <w:spacing w:after="120"/>
      </w:pPr>
      <w:r>
        <w:rPr>
          <w:rFonts w:ascii="仿宋" w:hAnsi="仿宋" w:eastAsia="仿宋"/>
          <w:b/>
          <w:i w:val="0"/>
          <w:color w:val="000000"/>
          <w:sz w:val="24"/>
        </w:rPr>
        <w:t>审查报告页面</w:t>
      </w:r>
      <w:r>
        <w:rPr>
          <w:rFonts w:ascii="仿宋" w:hAnsi="仿宋" w:eastAsia="仿宋"/>
          <w:b w:val="0"/>
          <w:i w:val="0"/>
          <w:color w:val="000000"/>
          <w:sz w:val="24"/>
        </w:rPr>
        <w:t>。审查报告页面展示IFC合规性审查的详细结果。页面顶部展示概览统计：总规格数、通过规格数、失败规格数、失败实体总数。页面主体按Specification分组展示每个规则的审查结果，包含规则名称、适用实体类型、约束条件、通过/失败状态。失败状态下展开显示失败实体列表，包含实体类型、实体名称、GlobalId、失败原因等字段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6"/>
      </w:tblGrid>
      <w:tr>
        <w:tc>
          <w:tcPr>
            <w:tcW w:type="dxa" w:w="8646"/>
            <w:shd w:val="clear" w:color="auto" w:fill="FFF2CC"/>
          </w:tcPr>
          <w:p>
            <w:pPr>
              <w:spacing w:after="40"/>
            </w:pPr>
            <w:r>
              <w:rPr>
                <w:rFonts w:ascii="仿宋" w:hAnsi="仿宋" w:eastAsia="仿宋"/>
                <w:b/>
                <w:i w:val="0"/>
                <w:color w:val="0000B4"/>
                <w:sz w:val="20"/>
              </w:rPr>
              <w:t>【图表需求 - 待创建】</w:t>
            </w:r>
          </w:p>
          <w:p>
            <w:pPr>
              <w:spacing w:after="40"/>
            </w:pPr>
          </w:p>
          <w:p>
            <w:pPr>
              <w:spacing w:after="40"/>
            </w:pPr>
            <w:r>
              <w:rPr>
                <w:rFonts w:ascii="仿宋" w:hAnsi="仿宋" w:eastAsia="仿宋"/>
                <w:b/>
                <w:i w:val="0"/>
                <w:color w:val="0000B4"/>
                <w:sz w:val="20"/>
              </w:rPr>
              <w:t>图5.1 Dashboard界面截图</w:t>
            </w:r>
          </w:p>
          <w:p>
            <w:pPr>
              <w:spacing w:after="40"/>
            </w:pPr>
            <w:r>
              <w:rPr>
                <w:rFonts w:ascii="仿宋" w:hAnsi="仿宋" w:eastAsia="仿宋"/>
                <w:b w:val="0"/>
                <w:i w:val="0"/>
                <w:color w:val="646464"/>
                <w:sz w:val="20"/>
              </w:rPr>
              <w:t xml:space="preserve">- </w:t>
            </w:r>
            <w:r>
              <w:rPr>
                <w:rFonts w:ascii="仿宋" w:hAnsi="仿宋" w:eastAsia="仿宋"/>
                <w:b/>
                <w:i w:val="0"/>
                <w:color w:val="0000B4"/>
                <w:sz w:val="20"/>
              </w:rPr>
              <w:t>位置</w:t>
            </w:r>
            <w:r>
              <w:rPr>
                <w:rFonts w:ascii="仿宋" w:hAnsi="仿宋" w:eastAsia="仿宋"/>
                <w:b w:val="0"/>
                <w:i w:val="0"/>
                <w:color w:val="646464"/>
                <w:sz w:val="20"/>
              </w:rPr>
              <w:t>：此处（5.1.1节，Dashboard页面描述后）</w:t>
            </w:r>
          </w:p>
          <w:p>
            <w:pPr>
              <w:spacing w:after="40"/>
            </w:pPr>
            <w:r>
              <w:rPr>
                <w:rFonts w:ascii="仿宋" w:hAnsi="仿宋" w:eastAsia="仿宋"/>
                <w:b w:val="0"/>
                <w:i w:val="0"/>
                <w:color w:val="646464"/>
                <w:sz w:val="20"/>
              </w:rPr>
              <w:t xml:space="preserve">- </w:t>
            </w:r>
            <w:r>
              <w:rPr>
                <w:rFonts w:ascii="仿宋" w:hAnsi="仿宋" w:eastAsia="仿宋"/>
                <w:b/>
                <w:i w:val="0"/>
                <w:color w:val="0000B4"/>
                <w:sz w:val="20"/>
              </w:rPr>
              <w:t>类型</w:t>
            </w:r>
            <w:r>
              <w:rPr>
                <w:rFonts w:ascii="仿宋" w:hAnsi="仿宋" w:eastAsia="仿宋"/>
                <w:b w:val="0"/>
                <w:i w:val="0"/>
                <w:color w:val="646464"/>
                <w:sz w:val="20"/>
              </w:rPr>
              <w:t>：界面截图（PNG格式）</w:t>
            </w:r>
          </w:p>
          <w:p>
            <w:pPr>
              <w:spacing w:after="40"/>
            </w:pPr>
            <w:r>
              <w:rPr>
                <w:rFonts w:ascii="仿宋" w:hAnsi="仿宋" w:eastAsia="仿宋"/>
                <w:b w:val="0"/>
                <w:i w:val="0"/>
                <w:color w:val="646464"/>
                <w:sz w:val="20"/>
              </w:rPr>
              <w:t xml:space="preserve">- </w:t>
            </w:r>
            <w:r>
              <w:rPr>
                <w:rFonts w:ascii="仿宋" w:hAnsi="仿宋" w:eastAsia="仿宋"/>
                <w:b/>
                <w:i w:val="0"/>
                <w:color w:val="0000B4"/>
                <w:sz w:val="20"/>
              </w:rPr>
              <w:t>内容要点</w:t>
            </w:r>
            <w:r>
              <w:rPr>
                <w:rFonts w:ascii="仿宋" w:hAnsi="仿宋" w:eastAsia="仿宋"/>
                <w:b w:val="0"/>
                <w:i w:val="0"/>
                <w:color w:val="646464"/>
                <w:sz w:val="20"/>
              </w:rPr>
              <w:t>：左侧导航栏、自然语言输入表单、生成状态展示、IFC版本选择器</w:t>
            </w:r>
          </w:p>
          <w:p>
            <w:pPr>
              <w:spacing w:after="40"/>
            </w:pPr>
          </w:p>
          <w:p>
            <w:pPr>
              <w:spacing w:after="40"/>
            </w:pPr>
            <w:r>
              <w:rPr>
                <w:rFonts w:ascii="仿宋" w:hAnsi="仿宋" w:eastAsia="仿宋"/>
                <w:b/>
                <w:i w:val="0"/>
                <w:color w:val="0000B4"/>
                <w:sz w:val="20"/>
              </w:rPr>
              <w:t>图5.2 审查报告页面截图</w:t>
            </w:r>
          </w:p>
          <w:p>
            <w:pPr>
              <w:spacing w:after="40"/>
            </w:pPr>
            <w:r>
              <w:rPr>
                <w:rFonts w:ascii="仿宋" w:hAnsi="仿宋" w:eastAsia="仿宋"/>
                <w:b w:val="0"/>
                <w:i w:val="0"/>
                <w:color w:val="646464"/>
                <w:sz w:val="20"/>
              </w:rPr>
              <w:t xml:space="preserve">- </w:t>
            </w:r>
            <w:r>
              <w:rPr>
                <w:rFonts w:ascii="仿宋" w:hAnsi="仿宋" w:eastAsia="仿宋"/>
                <w:b/>
                <w:i w:val="0"/>
                <w:color w:val="0000B4"/>
                <w:sz w:val="20"/>
              </w:rPr>
              <w:t>位置</w:t>
            </w:r>
            <w:r>
              <w:rPr>
                <w:rFonts w:ascii="仿宋" w:hAnsi="仿宋" w:eastAsia="仿宋"/>
                <w:b w:val="0"/>
                <w:i w:val="0"/>
                <w:color w:val="646464"/>
                <w:sz w:val="20"/>
              </w:rPr>
              <w:t>：此处（5.1.1节，审查报告页面描述后）</w:t>
            </w:r>
          </w:p>
          <w:p>
            <w:pPr>
              <w:spacing w:after="40"/>
            </w:pPr>
            <w:r>
              <w:rPr>
                <w:rFonts w:ascii="仿宋" w:hAnsi="仿宋" w:eastAsia="仿宋"/>
                <w:b w:val="0"/>
                <w:i w:val="0"/>
                <w:color w:val="646464"/>
                <w:sz w:val="20"/>
              </w:rPr>
              <w:t xml:space="preserve">- </w:t>
            </w:r>
            <w:r>
              <w:rPr>
                <w:rFonts w:ascii="仿宋" w:hAnsi="仿宋" w:eastAsia="仿宋"/>
                <w:b/>
                <w:i w:val="0"/>
                <w:color w:val="0000B4"/>
                <w:sz w:val="20"/>
              </w:rPr>
              <w:t>类型</w:t>
            </w:r>
            <w:r>
              <w:rPr>
                <w:rFonts w:ascii="仿宋" w:hAnsi="仿宋" w:eastAsia="仿宋"/>
                <w:b w:val="0"/>
                <w:i w:val="0"/>
                <w:color w:val="646464"/>
                <w:sz w:val="20"/>
              </w:rPr>
              <w:t>：界面截图（PNG格式）</w:t>
            </w:r>
          </w:p>
          <w:p>
            <w:pPr>
              <w:spacing w:after="40"/>
            </w:pPr>
            <w:r>
              <w:rPr>
                <w:rFonts w:ascii="仿宋" w:hAnsi="仿宋" w:eastAsia="仿宋"/>
                <w:b w:val="0"/>
                <w:i w:val="0"/>
                <w:color w:val="646464"/>
                <w:sz w:val="20"/>
              </w:rPr>
              <w:t xml:space="preserve">- </w:t>
            </w:r>
            <w:r>
              <w:rPr>
                <w:rFonts w:ascii="仿宋" w:hAnsi="仿宋" w:eastAsia="仿宋"/>
                <w:b/>
                <w:i w:val="0"/>
                <w:color w:val="0000B4"/>
                <w:sz w:val="20"/>
              </w:rPr>
              <w:t>内容要点</w:t>
            </w:r>
            <w:r>
              <w:rPr>
                <w:rFonts w:ascii="仿宋" w:hAnsi="仿宋" w:eastAsia="仿宋"/>
                <w:b w:val="0"/>
                <w:i w:val="0"/>
                <w:color w:val="646464"/>
                <w:sz w:val="20"/>
              </w:rPr>
              <w:t>：概览统计、Specification分组展示、失败实体列表</w:t>
            </w:r>
          </w:p>
        </w:tc>
      </w:tr>
    </w:tbl>
    <w:p/>
    <w:p>
      <w:pPr>
        <w:pStyle w:val="Heading3"/>
      </w:pPr>
      <w:r>
        <w:rPr>
          <w:rFonts w:ascii="仿宋" w:hAnsi="仿宋" w:eastAsia="仿宋"/>
          <w:b/>
          <w:i w:val="0"/>
          <w:color w:val="000000"/>
          <w:sz w:val="24"/>
        </w:rPr>
        <w:t>5.1.2 国际化支持</w:t>
      </w:r>
    </w:p>
    <w:p>
      <w:pPr>
        <w:spacing w:after="120"/>
      </w:pPr>
      <w:r>
        <w:rPr>
          <w:rFonts w:ascii="仿宋" w:hAnsi="仿宋" w:eastAsia="仿宋"/>
          <w:b w:val="0"/>
          <w:i w:val="0"/>
          <w:color w:val="000000"/>
          <w:sz w:val="24"/>
        </w:rPr>
        <w:t>系统提供中英文双语切换功能。国际化基于自定义的LanguageContext上下文实现，包含language状态与t翻译函数。语言切换组件位于页面顶部导航栏，用户点击切换按钮后，LanguageProvider更新language状态，触发所有使用t函数的组件重新渲染。翻译文件存储于`i18n/messages/`目录，包含zh.json与en.json，每个翻译条目采用key-value格式。</w:t>
      </w:r>
    </w:p>
    <w:p>
      <w:pPr>
        <w:pStyle w:val="Heading3"/>
      </w:pPr>
      <w:r>
        <w:rPr>
          <w:rFonts w:ascii="仿宋" w:hAnsi="仿宋" w:eastAsia="仿宋"/>
          <w:b/>
          <w:i w:val="0"/>
          <w:color w:val="000000"/>
          <w:sz w:val="24"/>
        </w:rPr>
        <w:t>5.1.3 API调用方式</w:t>
      </w:r>
    </w:p>
    <w:p>
      <w:pPr>
        <w:spacing w:after="120"/>
      </w:pPr>
      <w:r>
        <w:rPr>
          <w:rFonts w:ascii="仿宋" w:hAnsi="仿宋" w:eastAsia="仿宋"/>
          <w:b w:val="0"/>
          <w:i w:val="0"/>
          <w:color w:val="000000"/>
          <w:sz w:val="24"/>
        </w:rPr>
        <w:t>前端通过fetch API与后端通信，主要调用场景如下：</w:t>
      </w:r>
    </w:p>
    <w:p>
      <w:pPr>
        <w:spacing w:after="120"/>
      </w:pPr>
      <w:r>
        <w:rPr>
          <w:rFonts w:ascii="仿宋" w:hAnsi="仿宋" w:eastAsia="仿宋"/>
          <w:b/>
          <w:i w:val="0"/>
          <w:color w:val="000000"/>
          <w:sz w:val="24"/>
        </w:rPr>
        <w:t>提交IDS生成请求</w:t>
      </w:r>
      <w:r>
        <w:rPr>
          <w:rFonts w:ascii="仿宋" w:hAnsi="仿宋" w:eastAsia="仿宋"/>
          <w:b w:val="0"/>
          <w:i w:val="0"/>
          <w:color w:val="000000"/>
          <w:sz w:val="24"/>
        </w:rPr>
        <w:t>：前端向`/api/analyze-text`接口发送POST请求，请求体包含userId与text字段，接口返回taskId，前端据此启动状态轮询。</w:t>
      </w:r>
    </w:p>
    <w:p>
      <w:pPr>
        <w:spacing w:after="120"/>
      </w:pPr>
      <w:r>
        <w:rPr>
          <w:rFonts w:ascii="仿宋" w:hAnsi="仿宋" w:eastAsia="仿宋"/>
          <w:b/>
          <w:i w:val="0"/>
          <w:color w:val="000000"/>
          <w:sz w:val="24"/>
        </w:rPr>
        <w:t>获取任务列表</w:t>
      </w:r>
      <w:r>
        <w:rPr>
          <w:rFonts w:ascii="仿宋" w:hAnsi="仿宋" w:eastAsia="仿宋"/>
          <w:b w:val="0"/>
          <w:i w:val="0"/>
          <w:color w:val="000000"/>
          <w:sz w:val="24"/>
        </w:rPr>
        <w:t>：前端向`/api/resources`接口发送GET请求，需携带credentials以发送Cookie认证信息。</w:t>
      </w:r>
    </w:p>
    <w:p>
      <w:pPr>
        <w:spacing w:after="120"/>
      </w:pPr>
      <w:r>
        <w:rPr>
          <w:rFonts w:ascii="仿宋" w:hAnsi="仿宋" w:eastAsia="仿宋"/>
          <w:b/>
          <w:i w:val="0"/>
          <w:color w:val="000000"/>
          <w:sz w:val="24"/>
        </w:rPr>
        <w:t>下载IDS文件</w:t>
      </w:r>
      <w:r>
        <w:rPr>
          <w:rFonts w:ascii="仿宋" w:hAnsi="仿宋" w:eastAsia="仿宋"/>
          <w:b w:val="0"/>
          <w:i w:val="0"/>
          <w:color w:val="000000"/>
          <w:sz w:val="24"/>
        </w:rPr>
        <w:t>：前端向`/api/tasks/{id}/download`接口发送GET请求，将响应转为Blob对象并创建下载链接。</w:t>
      </w:r>
    </w:p>
    <w:p>
      <w:pPr>
        <w:spacing w:after="120"/>
      </w:pPr>
      <w:r>
        <w:rPr>
          <w:rFonts w:ascii="仿宋" w:hAnsi="仿宋" w:eastAsia="仿宋"/>
          <w:b/>
          <w:i w:val="0"/>
          <w:color w:val="000000"/>
          <w:sz w:val="24"/>
        </w:rPr>
        <w:t>上传IFC审查</w:t>
      </w:r>
      <w:r>
        <w:rPr>
          <w:rFonts w:ascii="仿宋" w:hAnsi="仿宋" w:eastAsia="仿宋"/>
          <w:b w:val="0"/>
          <w:i w:val="0"/>
          <w:color w:val="000000"/>
          <w:sz w:val="24"/>
        </w:rPr>
        <w:t>：前端向`/api/tasks/{id}/check`接口发送POST请求，请求体为FormData格式包含IFC文件，接口返回审查状态后启动轮询。</w:t>
      </w:r>
    </w:p>
    <w:p>
      <w:pPr>
        <w:pStyle w:val="Heading2"/>
      </w:pPr>
      <w:r>
        <w:rPr>
          <w:rFonts w:ascii="仿宋" w:hAnsi="仿宋" w:eastAsia="仿宋"/>
          <w:b/>
          <w:i w:val="0"/>
          <w:color w:val="000000"/>
          <w:sz w:val="28"/>
        </w:rPr>
        <w:t>5.2 后端服务实现</w:t>
      </w:r>
    </w:p>
    <w:p>
      <w:pPr>
        <w:spacing w:after="120"/>
      </w:pPr>
      <w:r>
        <w:rPr>
          <w:rFonts w:ascii="仿宋" w:hAnsi="仿宋" w:eastAsia="仿宋"/>
          <w:b w:val="0"/>
          <w:i w:val="0"/>
          <w:color w:val="000000"/>
          <w:sz w:val="24"/>
        </w:rPr>
        <w:t>后端采用双模块架构，包含Next.js API Routes与Python FastAPI两个子模块。双模块的分层逻辑与通信机制见3.2节，本节聚焦各模块的接口定义与数据模型。</w:t>
      </w:r>
    </w:p>
    <w:p>
      <w:pPr>
        <w:pStyle w:val="Heading3"/>
      </w:pPr>
      <w:r>
        <w:rPr>
          <w:rFonts w:ascii="仿宋" w:hAnsi="仿宋" w:eastAsia="仿宋"/>
          <w:b/>
          <w:i w:val="0"/>
          <w:color w:val="000000"/>
          <w:sz w:val="24"/>
        </w:rPr>
        <w:t>5.2.1 Next.js API Routes</w:t>
      </w:r>
    </w:p>
    <w:p>
      <w:pPr>
        <w:spacing w:after="120"/>
      </w:pPr>
      <w:r>
        <w:rPr>
          <w:rFonts w:ascii="仿宋" w:hAnsi="仿宋" w:eastAsia="仿宋"/>
          <w:b w:val="0"/>
          <w:i w:val="0"/>
          <w:color w:val="000000"/>
          <w:sz w:val="24"/>
        </w:rPr>
        <w:t>Next.js API Routes基于App Router架构，路由文件位于`app/api/`目录。主要接口如下：</w:t>
      </w:r>
    </w:p>
    <w:p>
      <w:pPr>
        <w:spacing w:after="120"/>
      </w:pPr>
      <w:r>
        <w:rPr>
          <w:rFonts w:ascii="仿宋" w:hAnsi="仿宋" w:eastAsia="仿宋"/>
          <w:b/>
          <w:i w:val="0"/>
          <w:color w:val="000000"/>
          <w:sz w:val="24"/>
        </w:rPr>
        <w:t>认证接口（/api/auth/\*）</w:t>
      </w:r>
      <w:r>
        <w:rPr>
          <w:rFonts w:ascii="仿宋" w:hAnsi="仿宋" w:eastAsia="仿宋"/>
          <w:b w:val="0"/>
          <w:i w:val="0"/>
          <w:color w:val="000000"/>
          <w:sz w:val="24"/>
        </w:rPr>
        <w:t>：由better-auth库自动生成，包含登录、注册、注销、密码重置、OAuth回调等子接口。认证成功后生成session令牌并存储于数据库。</w:t>
      </w:r>
    </w:p>
    <w:p>
      <w:pPr>
        <w:spacing w:after="120"/>
      </w:pPr>
      <w:r>
        <w:rPr>
          <w:rFonts w:ascii="仿宋" w:hAnsi="仿宋" w:eastAsia="仿宋"/>
          <w:b/>
          <w:i w:val="0"/>
          <w:color w:val="000000"/>
          <w:sz w:val="24"/>
        </w:rPr>
        <w:t>资源管理接口（/api/resources）</w:t>
      </w:r>
      <w:r>
        <w:rPr>
          <w:rFonts w:ascii="仿宋" w:hAnsi="仿宋" w:eastAsia="仿宋"/>
          <w:b w:val="0"/>
          <w:i w:val="0"/>
          <w:color w:val="000000"/>
          <w:sz w:val="24"/>
        </w:rPr>
        <w:t>：GET接口返回用户任务列表，POST接口处理文件上传至GridFS。接口通过session验证用户身份，确保用户只能访问自己的资源。</w:t>
      </w:r>
    </w:p>
    <w:p>
      <w:pPr>
        <w:spacing w:after="120"/>
      </w:pPr>
      <w:r>
        <w:rPr>
          <w:rFonts w:ascii="仿宋" w:hAnsi="仿宋" w:eastAsia="仿宋"/>
          <w:b/>
          <w:i w:val="0"/>
          <w:color w:val="000000"/>
          <w:sz w:val="24"/>
        </w:rPr>
        <w:t>文本分析接口（/api/analyze-text）</w:t>
      </w:r>
      <w:r>
        <w:rPr>
          <w:rFonts w:ascii="仿宋" w:hAnsi="仿宋" w:eastAsia="仿宋"/>
          <w:b w:val="0"/>
          <w:i w:val="0"/>
          <w:color w:val="000000"/>
          <w:sz w:val="24"/>
        </w:rPr>
        <w:t>：接收用户输入的自然语言文本，调用Python FastAPI的`/analyze-text`接口生成IDS。生成完成后更新任务状态并存储IDS文件至GridFS。</w:t>
      </w:r>
    </w:p>
    <w:p>
      <w:pPr>
        <w:spacing w:after="120"/>
      </w:pPr>
      <w:r>
        <w:rPr>
          <w:rFonts w:ascii="仿宋" w:hAnsi="仿宋" w:eastAsia="仿宋"/>
          <w:b/>
          <w:i w:val="0"/>
          <w:color w:val="000000"/>
          <w:sz w:val="24"/>
        </w:rPr>
        <w:t>任务详情接口（/api/tasks/[id]）</w:t>
      </w:r>
      <w:r>
        <w:rPr>
          <w:rFonts w:ascii="仿宋" w:hAnsi="仿宋" w:eastAsia="仿宋"/>
          <w:b w:val="0"/>
          <w:i w:val="0"/>
          <w:color w:val="000000"/>
          <w:sz w:val="24"/>
        </w:rPr>
        <w:t>：返回指定任务的详情信息，包含输入内容、生成结果、审查报告等。</w:t>
      </w:r>
    </w:p>
    <w:p>
      <w:pPr>
        <w:spacing w:after="120"/>
      </w:pPr>
      <w:r>
        <w:rPr>
          <w:rFonts w:ascii="仿宋" w:hAnsi="仿宋" w:eastAsia="仿宋"/>
          <w:b/>
          <w:i w:val="0"/>
          <w:color w:val="000000"/>
          <w:sz w:val="24"/>
        </w:rPr>
        <w:t>任务检查接口（/api/tasks/[id]/check）</w:t>
      </w:r>
      <w:r>
        <w:rPr>
          <w:rFonts w:ascii="仿宋" w:hAnsi="仿宋" w:eastAsia="仿宋"/>
          <w:b w:val="0"/>
          <w:i w:val="0"/>
          <w:color w:val="000000"/>
          <w:sz w:val="24"/>
        </w:rPr>
        <w:t>：接收用户上传的IFC文件，调用Python FastAPI的`/check-ifc`接口执行审查。</w:t>
      </w:r>
    </w:p>
    <w:p>
      <w:pPr>
        <w:spacing w:after="120"/>
      </w:pPr>
      <w:r>
        <w:rPr>
          <w:rFonts w:ascii="仿宋" w:hAnsi="仿宋" w:eastAsia="仿宋"/>
          <w:b/>
          <w:i w:val="0"/>
          <w:color w:val="000000"/>
          <w:sz w:val="24"/>
        </w:rPr>
        <w:t>任务下载接口（/api/tasks/[id]/download）</w:t>
      </w:r>
      <w:r>
        <w:rPr>
          <w:rFonts w:ascii="仿宋" w:hAnsi="仿宋" w:eastAsia="仿宋"/>
          <w:b w:val="0"/>
          <w:i w:val="0"/>
          <w:color w:val="000000"/>
          <w:sz w:val="24"/>
        </w:rPr>
        <w:t>：从GridFS读取指定任务的IDS文件内容并返回。接口验证当前用户与资源所有者的匹配关系，防止未授权访问。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6"/>
      </w:tblGrid>
      <w:tr>
        <w:tc>
          <w:tcPr>
            <w:tcW w:type="dxa" w:w="8646"/>
            <w:shd w:val="clear" w:color="auto" w:fill="FFF2CC"/>
          </w:tcPr>
          <w:p>
            <w:pPr>
              <w:spacing w:after="40"/>
            </w:pPr>
            <w:r>
              <w:rPr>
                <w:rFonts w:ascii="仿宋" w:hAnsi="仿宋" w:eastAsia="仿宋"/>
                <w:b/>
                <w:i w:val="0"/>
                <w:color w:val="0000B4"/>
                <w:sz w:val="20"/>
              </w:rPr>
              <w:t>【图表需求 - 待创建】</w:t>
            </w:r>
          </w:p>
          <w:p>
            <w:pPr>
              <w:spacing w:after="40"/>
            </w:pPr>
          </w:p>
          <w:p>
            <w:pPr>
              <w:spacing w:after="40"/>
            </w:pPr>
            <w:r>
              <w:rPr>
                <w:rFonts w:ascii="仿宋" w:hAnsi="仿宋" w:eastAsia="仿宋"/>
                <w:b/>
                <w:i w:val="0"/>
                <w:color w:val="0000B4"/>
                <w:sz w:val="20"/>
              </w:rPr>
              <w:t>表5.1 核心API接口汇总表</w:t>
            </w:r>
          </w:p>
          <w:p>
            <w:pPr>
              <w:spacing w:after="40"/>
            </w:pPr>
            <w:r>
              <w:rPr>
                <w:rFonts w:ascii="仿宋" w:hAnsi="仿宋" w:eastAsia="仿宋"/>
                <w:b w:val="0"/>
                <w:i w:val="0"/>
                <w:color w:val="646464"/>
                <w:sz w:val="20"/>
              </w:rPr>
              <w:t xml:space="preserve">- </w:t>
            </w:r>
            <w:r>
              <w:rPr>
                <w:rFonts w:ascii="仿宋" w:hAnsi="仿宋" w:eastAsia="仿宋"/>
                <w:b/>
                <w:i w:val="0"/>
                <w:color w:val="0000B4"/>
                <w:sz w:val="20"/>
              </w:rPr>
              <w:t>位置</w:t>
            </w:r>
            <w:r>
              <w:rPr>
                <w:rFonts w:ascii="仿宋" w:hAnsi="仿宋" w:eastAsia="仿宋"/>
                <w:b w:val="0"/>
                <w:i w:val="0"/>
                <w:color w:val="646464"/>
                <w:sz w:val="20"/>
              </w:rPr>
              <w:t>：此处（5.2.1节末）</w:t>
            </w:r>
          </w:p>
          <w:p>
            <w:pPr>
              <w:spacing w:after="40"/>
            </w:pPr>
            <w:r>
              <w:rPr>
                <w:rFonts w:ascii="仿宋" w:hAnsi="仿宋" w:eastAsia="仿宋"/>
                <w:b w:val="0"/>
                <w:i w:val="0"/>
                <w:color w:val="646464"/>
                <w:sz w:val="20"/>
              </w:rPr>
              <w:t xml:space="preserve">- </w:t>
            </w:r>
            <w:r>
              <w:rPr>
                <w:rFonts w:ascii="仿宋" w:hAnsi="仿宋" w:eastAsia="仿宋"/>
                <w:b/>
                <w:i w:val="0"/>
                <w:color w:val="0000B4"/>
                <w:sz w:val="20"/>
              </w:rPr>
              <w:t>格式</w:t>
            </w:r>
            <w:r>
              <w:rPr>
                <w:rFonts w:ascii="仿宋" w:hAnsi="仿宋" w:eastAsia="仿宋"/>
                <w:b w:val="0"/>
                <w:i w:val="0"/>
                <w:color w:val="646464"/>
                <w:sz w:val="20"/>
              </w:rPr>
              <w:t>：五列表格（接口路径 | 方法 | 功能 | 处理模块 | 认证要求）</w:t>
            </w:r>
          </w:p>
          <w:p>
            <w:pPr>
              <w:spacing w:after="40"/>
            </w:pPr>
            <w:r>
              <w:rPr>
                <w:rFonts w:ascii="仿宋" w:hAnsi="仿宋" w:eastAsia="仿宋"/>
                <w:b w:val="0"/>
                <w:i w:val="0"/>
                <w:color w:val="646464"/>
                <w:sz w:val="20"/>
              </w:rPr>
              <w:t xml:space="preserve">- </w:t>
            </w:r>
            <w:r>
              <w:rPr>
                <w:rFonts w:ascii="仿宋" w:hAnsi="仿宋" w:eastAsia="仿宋"/>
                <w:b/>
                <w:i w:val="0"/>
                <w:color w:val="0000B4"/>
                <w:sz w:val="20"/>
              </w:rPr>
              <w:t>内容要点</w:t>
            </w:r>
            <w:r>
              <w:rPr>
                <w:rFonts w:ascii="仿宋" w:hAnsi="仿宋" w:eastAsia="仿宋"/>
                <w:b w:val="0"/>
                <w:i w:val="0"/>
                <w:color w:val="646464"/>
                <w:sz w:val="20"/>
              </w:rPr>
              <w:t>：认证、资源管理、文本分析、任务详情、检查、下载等接口</w:t>
            </w:r>
          </w:p>
        </w:tc>
      </w:tr>
    </w:tbl>
    <w:p/>
    <w:p>
      <w:pPr>
        <w:pStyle w:val="Heading3"/>
      </w:pPr>
      <w:r>
        <w:rPr>
          <w:rFonts w:ascii="仿宋" w:hAnsi="仿宋" w:eastAsia="仿宋"/>
          <w:b/>
          <w:i w:val="0"/>
          <w:color w:val="000000"/>
          <w:sz w:val="24"/>
        </w:rPr>
        <w:t>5.2.2 Python FastAPI服务</w:t>
      </w:r>
    </w:p>
    <w:p>
      <w:pPr>
        <w:spacing w:after="120"/>
      </w:pPr>
      <w:r>
        <w:rPr>
          <w:rFonts w:ascii="仿宋" w:hAnsi="仿宋" w:eastAsia="仿宋"/>
          <w:b w:val="0"/>
          <w:i w:val="0"/>
          <w:color w:val="000000"/>
          <w:sz w:val="24"/>
        </w:rPr>
        <w:t>Python FastAPI服务运行于`localhost:8000`端口，服务入口文件为`ids-algo/server.py`。主要接口如下：</w:t>
      </w:r>
    </w:p>
    <w:p>
      <w:pPr>
        <w:spacing w:after="120"/>
      </w:pPr>
      <w:r>
        <w:rPr>
          <w:rFonts w:ascii="仿宋" w:hAnsi="仿宋" w:eastAsia="仿宋"/>
          <w:b/>
          <w:i w:val="0"/>
          <w:color w:val="000000"/>
          <w:sz w:val="24"/>
        </w:rPr>
        <w:t>文本分析接口（POST /analyze-text）</w:t>
      </w:r>
      <w:r>
        <w:rPr>
          <w:rFonts w:ascii="仿宋" w:hAnsi="仿宋" w:eastAsia="仿宋"/>
          <w:b w:val="0"/>
          <w:i w:val="0"/>
          <w:color w:val="000000"/>
          <w:sz w:val="24"/>
        </w:rPr>
        <w:t>：接收自然语言文本，调用五阶段Pipeline生成IDS文件。处理流程为：接收请求→调用Pipeline→返回IDS JSON结果。</w:t>
      </w:r>
    </w:p>
    <w:p>
      <w:pPr>
        <w:spacing w:after="120"/>
      </w:pPr>
      <w:r>
        <w:rPr>
          <w:rFonts w:ascii="仿宋" w:hAnsi="仿宋" w:eastAsia="仿宋"/>
          <w:b/>
          <w:i w:val="0"/>
          <w:color w:val="000000"/>
          <w:sz w:val="24"/>
        </w:rPr>
        <w:t>IFC检查接口（POST /check-ifc）</w:t>
      </w:r>
      <w:r>
        <w:rPr>
          <w:rFonts w:ascii="仿宋" w:hAnsi="仿宋" w:eastAsia="仿宋"/>
          <w:b w:val="0"/>
          <w:i w:val="0"/>
          <w:color w:val="000000"/>
          <w:sz w:val="24"/>
        </w:rPr>
        <w:t>：接收IFC文件路径与IDS文件路径，调用ifctester执行合规性审查。处理流程为：加载IFC模型→加载IDS规则→执行验证→生成报告。</w:t>
      </w:r>
    </w:p>
    <w:p>
      <w:pPr>
        <w:spacing w:after="120"/>
      </w:pPr>
      <w:r>
        <w:rPr>
          <w:rFonts w:ascii="仿宋" w:hAnsi="仿宋" w:eastAsia="仿宋"/>
          <w:b/>
          <w:i w:val="0"/>
          <w:color w:val="000000"/>
          <w:sz w:val="24"/>
        </w:rPr>
        <w:t>健康检查接口（GET /health）</w:t>
      </w:r>
      <w:r>
        <w:rPr>
          <w:rFonts w:ascii="仿宋" w:hAnsi="仿宋" w:eastAsia="仿宋"/>
          <w:b w:val="0"/>
          <w:i w:val="0"/>
          <w:color w:val="000000"/>
          <w:sz w:val="24"/>
        </w:rPr>
        <w:t>：返回服务状态，用于监控服务可用性。</w:t>
      </w:r>
    </w:p>
    <w:p>
      <w:pPr>
        <w:spacing w:after="120"/>
      </w:pPr>
      <w:r>
        <w:rPr>
          <w:rFonts w:ascii="仿宋" w:hAnsi="仿宋" w:eastAsia="仿宋"/>
          <w:b w:val="0"/>
          <w:i w:val="0"/>
          <w:color w:val="000000"/>
          <w:sz w:val="24"/>
        </w:rPr>
        <w:t>FastAPI服务采用异步请求处理，支持并发处理多个请求。服务启动命令为`uvicorn server:app --host 0.0.0.0 --port 8000`。</w:t>
      </w:r>
    </w:p>
    <w:p>
      <w:pPr>
        <w:pStyle w:val="Heading3"/>
      </w:pPr>
      <w:r>
        <w:rPr>
          <w:rFonts w:ascii="仿宋" w:hAnsi="仿宋" w:eastAsia="仿宋"/>
          <w:b/>
          <w:i w:val="0"/>
          <w:color w:val="000000"/>
          <w:sz w:val="24"/>
        </w:rPr>
        <w:t>5.2.3 数据存储与任务状态</w:t>
      </w:r>
    </w:p>
    <w:p>
      <w:pPr>
        <w:spacing w:after="120"/>
      </w:pPr>
      <w:r>
        <w:rPr>
          <w:rFonts w:ascii="仿宋" w:hAnsi="仿宋" w:eastAsia="仿宋"/>
          <w:b w:val="0"/>
          <w:i w:val="0"/>
          <w:color w:val="000000"/>
          <w:sz w:val="24"/>
        </w:rPr>
        <w:t>数据存储采用MongoDB数据库[54]，结合GridFS[58]处理大文件存储。连接配置位于`backend/mongodb.ts`，采用连接池与缓存机制复用数据库连接。</w:t>
      </w:r>
    </w:p>
    <w:p>
      <w:pPr>
        <w:spacing w:after="120"/>
      </w:pPr>
      <w:r>
        <w:rPr>
          <w:rFonts w:ascii="仿宋" w:hAnsi="仿宋" w:eastAsia="仿宋"/>
          <w:b/>
          <w:i w:val="0"/>
          <w:color w:val="000000"/>
          <w:sz w:val="24"/>
        </w:rPr>
        <w:t>Resource数据模型</w:t>
      </w:r>
      <w:r>
        <w:rPr>
          <w:rFonts w:ascii="仿宋" w:hAnsi="仿宋" w:eastAsia="仿宋"/>
          <w:b w:val="0"/>
          <w:i w:val="0"/>
          <w:color w:val="000000"/>
          <w:sz w:val="24"/>
        </w:rPr>
        <w:t>：任务资源的数据模型定义于`backend/resource.ts`，主要字段如下：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val="clear" w:color="auto" w:fill="2E75B6"/>
          </w:tcPr>
          <w:p>
            <w:pPr>
              <w:jc w:val="center"/>
            </w:pPr>
            <w:r/>
            <w:r>
              <w:rPr>
                <w:rFonts w:ascii="仿宋" w:hAnsi="仿宋" w:eastAsia="仿宋"/>
                <w:b/>
                <w:i w:val="0"/>
                <w:color w:val="FFFFFF"/>
                <w:sz w:val="21"/>
              </w:rPr>
              <w:t>字段</w:t>
            </w:r>
          </w:p>
        </w:tc>
        <w:tc>
          <w:tcPr>
            <w:tcW w:type="dxa" w:w="2882"/>
            <w:shd w:val="clear" w:color="auto" w:fill="2E75B6"/>
          </w:tcPr>
          <w:p>
            <w:pPr>
              <w:jc w:val="center"/>
            </w:pPr>
            <w:r/>
            <w:r>
              <w:rPr>
                <w:rFonts w:ascii="仿宋" w:hAnsi="仿宋" w:eastAsia="仿宋"/>
                <w:b/>
                <w:i w:val="0"/>
                <w:color w:val="FFFFFF"/>
                <w:sz w:val="21"/>
              </w:rPr>
              <w:t>类型</w:t>
            </w:r>
          </w:p>
        </w:tc>
        <w:tc>
          <w:tcPr>
            <w:tcW w:type="dxa" w:w="2882"/>
            <w:shd w:val="clear" w:color="auto" w:fill="2E75B6"/>
          </w:tcPr>
          <w:p>
            <w:pPr>
              <w:jc w:val="center"/>
            </w:pPr>
            <w:r/>
            <w:r>
              <w:rPr>
                <w:rFonts w:ascii="仿宋" w:hAnsi="仿宋" w:eastAsia="仿宋"/>
                <w:b/>
                <w:i w:val="0"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userId</w:t>
            </w:r>
          </w:p>
        </w:tc>
        <w:tc>
          <w:tcPr>
            <w:tcW w:type="dxa" w:w="2882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2882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所属用户ID</w:t>
            </w:r>
          </w:p>
        </w:tc>
      </w:tr>
      <w:tr>
        <w:tc>
          <w:tcPr>
            <w:tcW w:type="dxa" w:w="2882"/>
            <w:shd w:val="clear" w:color="auto" w:fill="F2F7FC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originalname</w:t>
            </w:r>
          </w:p>
        </w:tc>
        <w:tc>
          <w:tcPr>
            <w:tcW w:type="dxa" w:w="2882"/>
            <w:shd w:val="clear" w:color="auto" w:fill="F2F7FC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2882"/>
            <w:shd w:val="clear" w:color="auto" w:fill="F2F7FC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原始文件名/输入名称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input_type</w:t>
            </w:r>
          </w:p>
        </w:tc>
        <w:tc>
          <w:tcPr>
            <w:tcW w:type="dxa" w:w="2882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2882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输入类型（text/ifc_file）</w:t>
            </w:r>
          </w:p>
        </w:tc>
      </w:tr>
      <w:tr>
        <w:tc>
          <w:tcPr>
            <w:tcW w:type="dxa" w:w="2882"/>
            <w:shd w:val="clear" w:color="auto" w:fill="F2F7FC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inputText</w:t>
            </w:r>
          </w:p>
        </w:tc>
        <w:tc>
          <w:tcPr>
            <w:tcW w:type="dxa" w:w="2882"/>
            <w:shd w:val="clear" w:color="auto" w:fill="F2F7FC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2882"/>
            <w:shd w:val="clear" w:color="auto" w:fill="F2F7FC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原始文本内容（input_type为text时）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status</w:t>
            </w:r>
          </w:p>
        </w:tc>
        <w:tc>
          <w:tcPr>
            <w:tcW w:type="dxa" w:w="2882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2882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任务状态（8种状态枚举）</w:t>
            </w:r>
          </w:p>
        </w:tc>
      </w:tr>
      <w:tr>
        <w:tc>
          <w:tcPr>
            <w:tcW w:type="dxa" w:w="2882"/>
            <w:shd w:val="clear" w:color="auto" w:fill="F2F7FC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fileId</w:t>
            </w:r>
          </w:p>
        </w:tc>
        <w:tc>
          <w:tcPr>
            <w:tcW w:type="dxa" w:w="2882"/>
            <w:shd w:val="clear" w:color="auto" w:fill="F2F7FC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ObjectId</w:t>
            </w:r>
          </w:p>
        </w:tc>
        <w:tc>
          <w:tcPr>
            <w:tcW w:type="dxa" w:w="2882"/>
            <w:shd w:val="clear" w:color="auto" w:fill="F2F7FC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GridFS文件ID（原始输入文件）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idsFileId</w:t>
            </w:r>
          </w:p>
        </w:tc>
        <w:tc>
          <w:tcPr>
            <w:tcW w:type="dxa" w:w="2882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ObjectId</w:t>
            </w:r>
          </w:p>
        </w:tc>
        <w:tc>
          <w:tcPr>
            <w:tcW w:type="dxa" w:w="2882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GridFS文件ID（生成的IDS文件）</w:t>
            </w:r>
          </w:p>
        </w:tc>
      </w:tr>
      <w:tr>
        <w:tc>
          <w:tcPr>
            <w:tcW w:type="dxa" w:w="2882"/>
            <w:shd w:val="clear" w:color="auto" w:fill="F2F7FC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ifcFileId</w:t>
            </w:r>
          </w:p>
        </w:tc>
        <w:tc>
          <w:tcPr>
            <w:tcW w:type="dxa" w:w="2882"/>
            <w:shd w:val="clear" w:color="auto" w:fill="F2F7FC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ObjectId</w:t>
            </w:r>
          </w:p>
        </w:tc>
        <w:tc>
          <w:tcPr>
            <w:tcW w:type="dxa" w:w="2882"/>
            <w:shd w:val="clear" w:color="auto" w:fill="F2F7FC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GridFS文件ID（上传的IFC文件）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reportData</w:t>
            </w:r>
          </w:p>
        </w:tc>
        <w:tc>
          <w:tcPr>
            <w:tcW w:type="dxa" w:w="2882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Object</w:t>
            </w:r>
          </w:p>
        </w:tc>
        <w:tc>
          <w:tcPr>
            <w:tcW w:type="dxa" w:w="2882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审查报告数据（JSON格式）</w:t>
            </w:r>
          </w:p>
        </w:tc>
      </w:tr>
      <w:tr>
        <w:tc>
          <w:tcPr>
            <w:tcW w:type="dxa" w:w="2882"/>
            <w:shd w:val="clear" w:color="auto" w:fill="F2F7FC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reportSummary</w:t>
            </w:r>
          </w:p>
        </w:tc>
        <w:tc>
          <w:tcPr>
            <w:tcW w:type="dxa" w:w="2882"/>
            <w:shd w:val="clear" w:color="auto" w:fill="F2F7FC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Object</w:t>
            </w:r>
          </w:p>
        </w:tc>
        <w:tc>
          <w:tcPr>
            <w:tcW w:type="dxa" w:w="2882"/>
            <w:shd w:val="clear" w:color="auto" w:fill="F2F7FC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审查报告概览统计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errorMessage</w:t>
            </w:r>
          </w:p>
        </w:tc>
        <w:tc>
          <w:tcPr>
            <w:tcW w:type="dxa" w:w="2882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2882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错误信息（任务失败时记录）</w:t>
            </w:r>
          </w:p>
        </w:tc>
      </w:tr>
    </w:tbl>
    <w:p/>
    <w:p>
      <w:pPr>
        <w:spacing w:after="120"/>
      </w:pPr>
      <w:r>
        <w:rPr>
          <w:rFonts w:ascii="仿宋" w:hAnsi="仿宋" w:eastAsia="仿宋"/>
          <w:b w:val="0"/>
          <w:i w:val="0"/>
          <w:color w:val="000000"/>
          <w:sz w:val="24"/>
        </w:rPr>
        <w:t>数据模型还包含resultJson字段存储Pipeline中间结果，uploadTime字段记录任务创建时间。所有ObjectId类型字段均为可选，不同任务类型使用不同的文件存储字段组合。</w:t>
      </w:r>
    </w:p>
    <w:p>
      <w:pPr>
        <w:spacing w:after="120"/>
      </w:pPr>
      <w:r>
        <w:rPr>
          <w:rFonts w:ascii="仿宋" w:hAnsi="仿宋" w:eastAsia="仿宋"/>
          <w:b/>
          <w:i w:val="0"/>
          <w:color w:val="000000"/>
          <w:sz w:val="24"/>
        </w:rPr>
        <w:t>任务状态流转</w:t>
      </w:r>
      <w:r>
        <w:rPr>
          <w:rFonts w:ascii="仿宋" w:hAnsi="仿宋" w:eastAsia="仿宋"/>
          <w:b w:val="0"/>
          <w:i w:val="0"/>
          <w:color w:val="000000"/>
          <w:sz w:val="24"/>
        </w:rPr>
        <w:t>：任务状态采用有限状态机模型，共8种状态：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6"/>
      </w:tblGrid>
      <w:tr>
        <w:tc>
          <w:tcPr>
            <w:tcW w:type="dxa" w:w="8646"/>
            <w:shd w:val="clear" w:color="auto" w:fill="F2F2F2"/>
          </w:tcPr>
          <w:p>
            <w:pPr>
              <w:spacing w:after="0" w:before="0"/>
            </w:pPr>
            <w:r>
              <w:rPr>
                <w:rFonts w:ascii="Courier New" w:hAnsi="Courier New" w:eastAsia="仿宋"/>
                <w:b w:val="0"/>
                <w:i w:val="0"/>
                <w:color w:val="000000"/>
                <w:sz w:val="20"/>
              </w:rPr>
              <w:t>pending → processing → pending_conversion → completed → checking → checked</w:t>
            </w:r>
          </w:p>
          <w:p>
            <w:pPr>
              <w:spacing w:after="0" w:before="0"/>
            </w:pPr>
            <w:r>
              <w:rPr>
                <w:rFonts w:ascii="Courier New" w:hAnsi="Courier New" w:eastAsia="仿宋"/>
                <w:b w:val="0"/>
                <w:i w:val="0"/>
                <w:color w:val="000000"/>
                <w:sz w:val="20"/>
              </w:rPr>
              <w:t>↓                  ↓                     ↓           ↓</w:t>
            </w:r>
          </w:p>
          <w:p>
            <w:pPr>
              <w:spacing w:after="0" w:before="0"/>
            </w:pPr>
            <w:r>
              <w:rPr>
                <w:rFonts w:ascii="Courier New" w:hAnsi="Courier New" w:eastAsia="仿宋"/>
                <w:b w:val="0"/>
                <w:i w:val="0"/>
                <w:color w:val="000000"/>
                <w:sz w:val="20"/>
              </w:rPr>
              <w:t>failed              failed              check_failed  failed</w:t>
            </w:r>
          </w:p>
        </w:tc>
      </w:tr>
    </w:tbl>
    <w:p/>
    <w:p>
      <w:pPr>
        <w:spacing w:after="120"/>
      </w:pPr>
      <w:r>
        <w:rPr>
          <w:rFonts w:ascii="仿宋" w:hAnsi="仿宋" w:eastAsia="仿宋"/>
          <w:b w:val="0"/>
          <w:i w:val="0"/>
          <w:color w:val="000000"/>
          <w:sz w:val="24"/>
        </w:rPr>
        <w:t>各状态含义：pending（待处理）、processing（Pipeline执行中）、pending_conversion（等待IDS格式转换）、completed（IDS生成完成）、checking（IFC审查执行中）、checked（审查完成）、check_failed（审查失败）、failed（IDS生成失败）。状态更新由Pipeline各阶段与审查流程触发，前端通过轮询感知变化。</w:t>
      </w:r>
    </w:p>
    <w:p>
      <w:pPr>
        <w:pStyle w:val="Heading2"/>
      </w:pPr>
      <w:r>
        <w:rPr>
          <w:rFonts w:ascii="仿宋" w:hAnsi="仿宋" w:eastAsia="仿宋"/>
          <w:b/>
          <w:i w:val="0"/>
          <w:color w:val="000000"/>
          <w:sz w:val="28"/>
        </w:rPr>
        <w:t>5.3 安全机制实现</w:t>
      </w:r>
    </w:p>
    <w:p>
      <w:pPr>
        <w:spacing w:after="120"/>
      </w:pPr>
      <w:r>
        <w:rPr>
          <w:rFonts w:ascii="仿宋" w:hAnsi="仿宋" w:eastAsia="仿宋"/>
          <w:b w:val="0"/>
          <w:i w:val="0"/>
          <w:color w:val="000000"/>
          <w:sz w:val="24"/>
        </w:rPr>
        <w:t>系统安全机制的设计目标与需求规格见3.1.2节，本节阐述具体实现方式。</w:t>
      </w:r>
    </w:p>
    <w:p>
      <w:pPr>
        <w:pStyle w:val="Heading3"/>
      </w:pPr>
      <w:r>
        <w:rPr>
          <w:rFonts w:ascii="仿宋" w:hAnsi="仿宋" w:eastAsia="仿宋"/>
          <w:b/>
          <w:i w:val="0"/>
          <w:color w:val="000000"/>
          <w:sz w:val="24"/>
        </w:rPr>
        <w:t>5.3.1 用户认证与会话管理</w:t>
      </w:r>
    </w:p>
    <w:p>
      <w:pPr>
        <w:spacing w:after="120"/>
      </w:pPr>
      <w:r>
        <w:rPr>
          <w:rFonts w:ascii="仿宋" w:hAnsi="仿宋" w:eastAsia="仿宋"/>
          <w:b w:val="0"/>
          <w:i w:val="0"/>
          <w:color w:val="000000"/>
          <w:sz w:val="24"/>
        </w:rPr>
        <w:t>用户认证基于better-auth库实现，支持邮箱密码认证与OAuth社交认证（GitHub、Google）。密码使用bcrypt算法哈希存储，登录成功后生成session令牌并存储于浏览器Cookie中，每次API请求自动携带Cookie进行身份验证。</w:t>
      </w:r>
    </w:p>
    <w:p>
      <w:pPr>
        <w:spacing w:after="120"/>
      </w:pPr>
      <w:r>
        <w:rPr>
          <w:rFonts w:ascii="仿宋" w:hAnsi="仿宋" w:eastAsia="仿宋"/>
          <w:b w:val="0"/>
          <w:i w:val="0"/>
          <w:color w:val="000000"/>
          <w:sz w:val="24"/>
        </w:rPr>
        <w:t>认证防护分为两层：前端页面通过useSession钩子进行客户端守卫，未登录用户自动重定向至登录页；API路由通过getSession方法从请求Cookie中提取并校验会话，确保每个接口调用均经过身份验证。</w:t>
      </w:r>
    </w:p>
    <w:p>
      <w:pPr>
        <w:pStyle w:val="Heading3"/>
      </w:pPr>
      <w:r>
        <w:rPr>
          <w:rFonts w:ascii="仿宋" w:hAnsi="仿宋" w:eastAsia="仿宋"/>
          <w:b/>
          <w:i w:val="0"/>
          <w:color w:val="000000"/>
          <w:sz w:val="24"/>
        </w:rPr>
        <w:t>5.3.2 API速率限制</w:t>
      </w:r>
    </w:p>
    <w:p>
      <w:pPr>
        <w:spacing w:after="120"/>
      </w:pPr>
      <w:r>
        <w:rPr>
          <w:rFonts w:ascii="仿宋" w:hAnsi="仿宋" w:eastAsia="仿宋"/>
          <w:b w:val="0"/>
          <w:i w:val="0"/>
          <w:color w:val="000000"/>
          <w:sz w:val="24"/>
        </w:rPr>
        <w:t>API速率限制基于Upstash Redis实现，采用滑动窗口限流算法。配置位于`app/lib/ratelimit.ts`，定义了三种限流策略：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val="clear" w:color="auto" w:fill="2E75B6"/>
          </w:tcPr>
          <w:p>
            <w:pPr>
              <w:jc w:val="center"/>
            </w:pPr>
            <w:r/>
            <w:r>
              <w:rPr>
                <w:rFonts w:ascii="仿宋" w:hAnsi="仿宋" w:eastAsia="仿宋"/>
                <w:b/>
                <w:i w:val="0"/>
                <w:color w:val="FFFFFF"/>
                <w:sz w:val="21"/>
              </w:rPr>
              <w:t>限流类型</w:t>
            </w:r>
          </w:p>
        </w:tc>
        <w:tc>
          <w:tcPr>
            <w:tcW w:type="dxa" w:w="2161"/>
            <w:shd w:val="clear" w:color="auto" w:fill="2E75B6"/>
          </w:tcPr>
          <w:p>
            <w:pPr>
              <w:jc w:val="center"/>
            </w:pPr>
            <w:r/>
            <w:r>
              <w:rPr>
                <w:rFonts w:ascii="仿宋" w:hAnsi="仿宋" w:eastAsia="仿宋"/>
                <w:b/>
                <w:i w:val="0"/>
                <w:color w:val="FFFFFF"/>
                <w:sz w:val="21"/>
              </w:rPr>
              <w:t>阈值</w:t>
            </w:r>
          </w:p>
        </w:tc>
        <w:tc>
          <w:tcPr>
            <w:tcW w:type="dxa" w:w="2161"/>
            <w:shd w:val="clear" w:color="auto" w:fill="2E75B6"/>
          </w:tcPr>
          <w:p>
            <w:pPr>
              <w:jc w:val="center"/>
            </w:pPr>
            <w:r/>
            <w:r>
              <w:rPr>
                <w:rFonts w:ascii="仿宋" w:hAnsi="仿宋" w:eastAsia="仿宋"/>
                <w:b/>
                <w:i w:val="0"/>
                <w:color w:val="FFFFFF"/>
                <w:sz w:val="21"/>
              </w:rPr>
              <w:t>时间窗口</w:t>
            </w:r>
          </w:p>
        </w:tc>
        <w:tc>
          <w:tcPr>
            <w:tcW w:type="dxa" w:w="2161"/>
            <w:shd w:val="clear" w:color="auto" w:fill="2E75B6"/>
          </w:tcPr>
          <w:p>
            <w:pPr>
              <w:jc w:val="center"/>
            </w:pPr>
            <w:r/>
            <w:r>
              <w:rPr>
                <w:rFonts w:ascii="仿宋" w:hAnsi="仿宋" w:eastAsia="仿宋"/>
                <w:b/>
                <w:i w:val="0"/>
                <w:color w:val="FFFFFF"/>
                <w:sz w:val="21"/>
              </w:rPr>
              <w:t>适用场景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general</w:t>
            </w:r>
          </w:p>
        </w:tc>
        <w:tc>
          <w:tcPr>
            <w:tcW w:type="dxa" w:w="2161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10次</w:t>
            </w:r>
          </w:p>
        </w:tc>
        <w:tc>
          <w:tcPr>
            <w:tcW w:type="dxa" w:w="2161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10秒</w:t>
            </w:r>
          </w:p>
        </w:tc>
        <w:tc>
          <w:tcPr>
            <w:tcW w:type="dxa" w:w="2161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通用API请求</w:t>
            </w:r>
          </w:p>
        </w:tc>
      </w:tr>
      <w:tr>
        <w:tc>
          <w:tcPr>
            <w:tcW w:type="dxa" w:w="2161"/>
            <w:shd w:val="clear" w:color="auto" w:fill="F2F7FC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auth</w:t>
            </w:r>
          </w:p>
        </w:tc>
        <w:tc>
          <w:tcPr>
            <w:tcW w:type="dxa" w:w="2161"/>
            <w:shd w:val="clear" w:color="auto" w:fill="F2F7FC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5次</w:t>
            </w:r>
          </w:p>
        </w:tc>
        <w:tc>
          <w:tcPr>
            <w:tcW w:type="dxa" w:w="2161"/>
            <w:shd w:val="clear" w:color="auto" w:fill="F2F7FC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60秒</w:t>
            </w:r>
          </w:p>
        </w:tc>
        <w:tc>
          <w:tcPr>
            <w:tcW w:type="dxa" w:w="2161"/>
            <w:shd w:val="clear" w:color="auto" w:fill="F2F7FC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登录/注册请求（防暴力破解）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resource</w:t>
            </w:r>
          </w:p>
        </w:tc>
        <w:tc>
          <w:tcPr>
            <w:tcW w:type="dxa" w:w="2161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20次</w:t>
            </w:r>
          </w:p>
        </w:tc>
        <w:tc>
          <w:tcPr>
            <w:tcW w:type="dxa" w:w="2161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60秒</w:t>
            </w:r>
          </w:p>
        </w:tc>
        <w:tc>
          <w:tcPr>
            <w:tcW w:type="dxa" w:w="2161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资源操作请求</w:t>
            </w:r>
          </w:p>
        </w:tc>
      </w:tr>
    </w:tbl>
    <w:p/>
    <w:p>
      <w:pPr>
        <w:spacing w:after="120"/>
      </w:pPr>
      <w:r>
        <w:rPr>
          <w:rFonts w:ascii="仿宋" w:hAnsi="仿宋" w:eastAsia="仿宋"/>
          <w:b w:val="0"/>
          <w:i w:val="0"/>
          <w:color w:val="000000"/>
          <w:sz w:val="24"/>
        </w:rPr>
        <w:t>限流流程：从请求头x-forwarded-for字段获取客户端IP，调用Ratelimit.limit()检查计数，超过阈值返回429状态码。</w:t>
      </w:r>
    </w:p>
    <w:p>
      <w:pPr>
        <w:pStyle w:val="Heading3"/>
      </w:pPr>
      <w:r>
        <w:rPr>
          <w:rFonts w:ascii="仿宋" w:hAnsi="仿宋" w:eastAsia="仿宋"/>
          <w:b/>
          <w:i w:val="0"/>
          <w:color w:val="000000"/>
          <w:sz w:val="24"/>
        </w:rPr>
        <w:t>5.3.3 安全响应头与文件校验</w:t>
      </w:r>
    </w:p>
    <w:p>
      <w:pPr>
        <w:spacing w:after="120"/>
      </w:pPr>
      <w:r>
        <w:rPr>
          <w:rFonts w:ascii="仿宋" w:hAnsi="仿宋" w:eastAsia="仿宋"/>
          <w:b w:val="0"/>
          <w:i w:val="0"/>
          <w:color w:val="000000"/>
          <w:sz w:val="24"/>
        </w:rPr>
        <w:t>安全响应头配置位于`next.config.mjs`，包含：Content-Security-Policy（CSP）限制脚本、样式等资源来源，防止XSS攻击；X-Frame-Options设为DENY，防止点击劫持；X-Content-Type-Options设为nosniff，防止MIME类型嗅探；Referrer-Policy设为strict-origin-when-cross-origin；Permissions-Policy禁用摄像头、麦克风等敏感API。</w:t>
      </w:r>
    </w:p>
    <w:p>
      <w:pPr>
        <w:spacing w:after="120"/>
      </w:pPr>
      <w:r>
        <w:rPr>
          <w:rFonts w:ascii="仿宋" w:hAnsi="仿宋" w:eastAsia="仿宋"/>
          <w:b w:val="0"/>
          <w:i w:val="0"/>
          <w:color w:val="000000"/>
          <w:sz w:val="24"/>
        </w:rPr>
        <w:t>文件上传接口实现多重校验：通过UploadThing配置文件最大尺寸与允许的文件类型（仅.ifc格式）；未登录用户的上传请求被拒绝；上传文件存储于MongoDB GridFS而非本地文件系统，避免路径遍历攻击。</w:t>
      </w:r>
    </w:p>
    <w:p>
      <w:pPr>
        <w:pStyle w:val="Heading2"/>
      </w:pPr>
      <w:r>
        <w:rPr>
          <w:rFonts w:ascii="仿宋" w:hAnsi="仿宋" w:eastAsia="仿宋"/>
          <w:b/>
          <w:i w:val="0"/>
          <w:color w:val="000000"/>
          <w:sz w:val="28"/>
        </w:rPr>
        <w:t>5.4 IFC合规性审查模块</w:t>
      </w:r>
    </w:p>
    <w:p>
      <w:pPr>
        <w:spacing w:after="120"/>
      </w:pPr>
      <w:r>
        <w:rPr>
          <w:rFonts w:ascii="仿宋" w:hAnsi="仿宋" w:eastAsia="仿宋"/>
          <w:b w:val="0"/>
          <w:i w:val="0"/>
          <w:color w:val="000000"/>
          <w:sz w:val="24"/>
        </w:rPr>
        <w:t>IFC合规性审查模块将第四章生成的IDS规则文件与用户上传的IFC模型进行自动化匹配验证，是"规则生成→审查执行→结果反馈"闭环的执行环节。</w:t>
      </w:r>
    </w:p>
    <w:p>
      <w:pPr>
        <w:pStyle w:val="Heading3"/>
      </w:pPr>
      <w:r>
        <w:rPr>
          <w:rFonts w:ascii="仿宋" w:hAnsi="仿宋" w:eastAsia="仿宋"/>
          <w:b/>
          <w:i w:val="0"/>
          <w:color w:val="000000"/>
          <w:sz w:val="24"/>
        </w:rPr>
        <w:t>5.4.1 审查流程</w:t>
      </w:r>
    </w:p>
    <w:p>
      <w:pPr>
        <w:spacing w:after="120"/>
      </w:pPr>
      <w:r>
        <w:rPr>
          <w:rFonts w:ascii="仿宋" w:hAnsi="仿宋" w:eastAsia="仿宋"/>
          <w:b w:val="0"/>
          <w:i w:val="0"/>
          <w:color w:val="000000"/>
          <w:sz w:val="24"/>
        </w:rPr>
        <w:t>审查流程位于`ifc_checker/checker_service.py`，包含以下步骤：</w:t>
      </w:r>
    </w:p>
    <w:p>
      <w:pPr>
        <w:spacing w:after="120"/>
      </w:pPr>
      <w:r>
        <w:rPr>
          <w:rFonts w:ascii="仿宋" w:hAnsi="仿宋" w:eastAsia="仿宋"/>
          <w:b/>
          <w:i w:val="0"/>
          <w:color w:val="000000"/>
          <w:sz w:val="24"/>
        </w:rPr>
        <w:t>步骤一：文件准备</w:t>
      </w:r>
      <w:r>
        <w:rPr>
          <w:rFonts w:ascii="仿宋" w:hAnsi="仿宋" w:eastAsia="仿宋"/>
          <w:b w:val="0"/>
          <w:i w:val="0"/>
          <w:color w:val="000000"/>
          <w:sz w:val="24"/>
        </w:rPr>
        <w:t>。用户上传的IFC文件存储于GridFS，审查时从GridFS下载至临时目录（tempfile.mkdtemp）。系统生成的IDS文件同样从GridFS读取至临时目录。</w:t>
      </w:r>
    </w:p>
    <w:p>
      <w:pPr>
        <w:spacing w:after="120"/>
      </w:pPr>
      <w:r>
        <w:rPr>
          <w:rFonts w:ascii="仿宋" w:hAnsi="仿宋" w:eastAsia="仿宋"/>
          <w:b/>
          <w:i w:val="0"/>
          <w:color w:val="000000"/>
          <w:sz w:val="24"/>
        </w:rPr>
        <w:t>步骤二：规则加载</w:t>
      </w:r>
      <w:r>
        <w:rPr>
          <w:rFonts w:ascii="仿宋" w:hAnsi="仿宋" w:eastAsia="仿宋"/>
          <w:b w:val="0"/>
          <w:i w:val="0"/>
          <w:color w:val="000000"/>
          <w:sz w:val="24"/>
        </w:rPr>
        <w:t>。调用`ids.open()`加载IDS规则文件，解析其中的Specification列表，每个Specification包含适用条件（Applicability）与约束要求（Requirements）。</w:t>
      </w:r>
    </w:p>
    <w:p>
      <w:pPr>
        <w:spacing w:after="120"/>
      </w:pPr>
      <w:r>
        <w:rPr>
          <w:rFonts w:ascii="仿宋" w:hAnsi="仿宋" w:eastAsia="仿宋"/>
          <w:b/>
          <w:i w:val="0"/>
          <w:color w:val="000000"/>
          <w:sz w:val="24"/>
        </w:rPr>
        <w:t>步骤三：模型加载</w:t>
      </w:r>
      <w:r>
        <w:rPr>
          <w:rFonts w:ascii="仿宋" w:hAnsi="仿宋" w:eastAsia="仿宋"/>
          <w:b w:val="0"/>
          <w:i w:val="0"/>
          <w:color w:val="000000"/>
          <w:sz w:val="24"/>
        </w:rPr>
        <w:t>。调用`ifcopenshell.open()`加载IFC模型文件[16]，解析模型中的实体、属性与关系数据。</w:t>
      </w:r>
    </w:p>
    <w:p>
      <w:pPr>
        <w:spacing w:after="120"/>
      </w:pPr>
      <w:r>
        <w:rPr>
          <w:rFonts w:ascii="仿宋" w:hAnsi="仿宋" w:eastAsia="仿宋"/>
          <w:b/>
          <w:i w:val="0"/>
          <w:color w:val="000000"/>
          <w:sz w:val="24"/>
        </w:rPr>
        <w:t>步骤四：逐条验证</w:t>
      </w:r>
      <w:r>
        <w:rPr>
          <w:rFonts w:ascii="仿宋" w:hAnsi="仿宋" w:eastAsia="仿宋"/>
          <w:b w:val="0"/>
          <w:i w:val="0"/>
          <w:color w:val="000000"/>
          <w:sz w:val="24"/>
        </w:rPr>
        <w:t>。调用`my_ids.validate(model)`执行验证。ifctester遍历IDS规则中的每个Specification，对IFC模型中匹配适用条件的实体逐条检查约束要求，记录通过与失败的实体。</w:t>
      </w:r>
    </w:p>
    <w:p>
      <w:pPr>
        <w:spacing w:after="120"/>
      </w:pPr>
      <w:r>
        <w:rPr>
          <w:rFonts w:ascii="仿宋" w:hAnsi="仿宋" w:eastAsia="仿宋"/>
          <w:b/>
          <w:i w:val="0"/>
          <w:color w:val="000000"/>
          <w:sz w:val="24"/>
        </w:rPr>
        <w:t>步骤五：结果汇总</w:t>
      </w:r>
      <w:r>
        <w:rPr>
          <w:rFonts w:ascii="仿宋" w:hAnsi="仿宋" w:eastAsia="仿宋"/>
          <w:b w:val="0"/>
          <w:i w:val="0"/>
          <w:color w:val="000000"/>
          <w:sz w:val="24"/>
        </w:rPr>
        <w:t>。验证完成后，统计各Specification的通过/失败状态与失败实体详情，生成审查报告。</w:t>
      </w:r>
    </w:p>
    <w:p>
      <w:pPr>
        <w:spacing w:after="120"/>
      </w:pPr>
      <w:r>
        <w:rPr>
          <w:rFonts w:ascii="仿宋" w:hAnsi="仿宋" w:eastAsia="仿宋"/>
          <w:b/>
          <w:i w:val="0"/>
          <w:color w:val="000000"/>
          <w:sz w:val="24"/>
        </w:rPr>
        <w:t>步骤六：清理</w:t>
      </w:r>
      <w:r>
        <w:rPr>
          <w:rFonts w:ascii="仿宋" w:hAnsi="仿宋" w:eastAsia="仿宋"/>
          <w:b w:val="0"/>
          <w:i w:val="0"/>
          <w:color w:val="000000"/>
          <w:sz w:val="24"/>
        </w:rPr>
        <w:t>。通过shutil.rmtree删除临时目录及其所有内容，清理逻辑位于try-finally块中，确保异常情况下临时文件仍能被清理。</w:t>
      </w:r>
    </w:p>
    <w:p>
      <w:pPr>
        <w:pStyle w:val="Heading3"/>
      </w:pPr>
      <w:r>
        <w:rPr>
          <w:rFonts w:ascii="仿宋" w:hAnsi="仿宋" w:eastAsia="仿宋"/>
          <w:b/>
          <w:i w:val="0"/>
          <w:color w:val="000000"/>
          <w:sz w:val="24"/>
        </w:rPr>
        <w:t>5.4.2 审查报告格式</w:t>
      </w:r>
    </w:p>
    <w:p>
      <w:pPr>
        <w:spacing w:after="120"/>
      </w:pPr>
      <w:r>
        <w:rPr>
          <w:rFonts w:ascii="仿宋" w:hAnsi="仿宋" w:eastAsia="仿宋"/>
          <w:b w:val="0"/>
          <w:i w:val="0"/>
          <w:color w:val="000000"/>
          <w:sz w:val="24"/>
        </w:rPr>
        <w:t>ifctester支持三种报告格式输出：</w:t>
      </w:r>
    </w:p>
    <w:p>
      <w:pPr>
        <w:spacing w:after="120"/>
      </w:pPr>
      <w:r>
        <w:rPr>
          <w:rFonts w:ascii="仿宋" w:hAnsi="仿宋" w:eastAsia="仿宋"/>
          <w:b/>
          <w:i w:val="0"/>
          <w:color w:val="000000"/>
          <w:sz w:val="24"/>
        </w:rPr>
        <w:t>JSON报告</w:t>
      </w:r>
      <w:r>
        <w:rPr>
          <w:rFonts w:ascii="仿宋" w:hAnsi="仿宋" w:eastAsia="仿宋"/>
          <w:b w:val="0"/>
          <w:i w:val="0"/>
          <w:color w:val="000000"/>
          <w:sz w:val="24"/>
        </w:rPr>
        <w:t>：结构化的审查结果数据，包含每个Specification的通过/失败状态与失败实体详情（实体类型、实体名称、GlobalId、失败原因）。JSON格式便于前端解析与可视化展示。</w:t>
      </w:r>
    </w:p>
    <w:p>
      <w:pPr>
        <w:spacing w:after="120"/>
      </w:pPr>
      <w:r>
        <w:rPr>
          <w:rFonts w:ascii="仿宋" w:hAnsi="仿宋" w:eastAsia="仿宋"/>
          <w:b/>
          <w:i w:val="0"/>
          <w:color w:val="000000"/>
          <w:sz w:val="24"/>
        </w:rPr>
        <w:t>HTML报告</w:t>
      </w:r>
      <w:r>
        <w:rPr>
          <w:rFonts w:ascii="仿宋" w:hAnsi="仿宋" w:eastAsia="仿宋"/>
          <w:b w:val="0"/>
          <w:i w:val="0"/>
          <w:color w:val="000000"/>
          <w:sz w:val="24"/>
        </w:rPr>
        <w:t>：格式化的HTML页面，包含审查概览与详细结果表格，便于直接查看或导出分享。</w:t>
      </w:r>
    </w:p>
    <w:p>
      <w:pPr>
        <w:spacing w:after="120"/>
      </w:pPr>
      <w:r>
        <w:rPr>
          <w:rFonts w:ascii="仿宋" w:hAnsi="仿宋" w:eastAsia="仿宋"/>
          <w:b/>
          <w:i w:val="0"/>
          <w:color w:val="000000"/>
          <w:sz w:val="24"/>
        </w:rPr>
        <w:t>BCF报告</w:t>
      </w:r>
      <w:r>
        <w:rPr>
          <w:rFonts w:ascii="仿宋" w:hAnsi="仿宋" w:eastAsia="仿宋"/>
          <w:b w:val="0"/>
          <w:i w:val="0"/>
          <w:color w:val="000000"/>
          <w:sz w:val="24"/>
        </w:rPr>
        <w:t>：BCF（BIM Collaboration Format）[11]格式的议题文件，可导入BIM协作工具进行后续处理。</w:t>
      </w:r>
    </w:p>
    <w:p>
      <w:pPr>
        <w:spacing w:after="120"/>
      </w:pPr>
      <w:r>
        <w:rPr>
          <w:rFonts w:ascii="仿宋" w:hAnsi="仿宋" w:eastAsia="仿宋"/>
          <w:b w:val="0"/>
          <w:i w:val="0"/>
          <w:color w:val="000000"/>
          <w:sz w:val="24"/>
        </w:rPr>
        <w:t>报告数据读取后存储于MongoDB的reportData与reportSummary字段，前端审查报告页面据此展示结果。</w:t>
      </w:r>
    </w:p>
    <w:p>
      <w:pPr>
        <w:pStyle w:val="Heading2"/>
      </w:pPr>
      <w:r>
        <w:rPr>
          <w:rFonts w:ascii="仿宋" w:hAnsi="仿宋" w:eastAsia="仿宋"/>
          <w:b/>
          <w:i w:val="0"/>
          <w:color w:val="000000"/>
          <w:sz w:val="28"/>
        </w:rPr>
        <w:t>5.5 系统测试与结果分析</w:t>
      </w:r>
    </w:p>
    <w:p>
      <w:pPr>
        <w:spacing w:after="120"/>
      </w:pPr>
      <w:r>
        <w:rPr>
          <w:rFonts w:ascii="仿宋" w:hAnsi="仿宋" w:eastAsia="仿宋"/>
          <w:b w:val="0"/>
          <w:i w:val="0"/>
          <w:color w:val="000000"/>
          <w:sz w:val="24"/>
        </w:rPr>
        <w:t>本节基于三类实验数据，对系统的Pipeline执行质量、响应时间与阶段耗时进行定量分析。</w:t>
      </w:r>
    </w:p>
    <w:p>
      <w:pPr>
        <w:pStyle w:val="Heading3"/>
      </w:pPr>
      <w:r>
        <w:rPr>
          <w:rFonts w:ascii="仿宋" w:hAnsi="仿宋" w:eastAsia="仿宋"/>
          <w:b/>
          <w:i w:val="0"/>
          <w:color w:val="000000"/>
          <w:sz w:val="24"/>
        </w:rPr>
        <w:t>5.5.1 测试设计</w:t>
      </w:r>
    </w:p>
    <w:p>
      <w:pPr>
        <w:spacing w:after="120"/>
      </w:pPr>
      <w:r>
        <w:rPr>
          <w:rFonts w:ascii="仿宋" w:hAnsi="仿宋" w:eastAsia="仿宋"/>
          <w:b/>
          <w:i w:val="0"/>
          <w:color w:val="000000"/>
          <w:sz w:val="24"/>
        </w:rPr>
        <w:t>测试环境</w:t>
      </w:r>
      <w:r>
        <w:rPr>
          <w:rFonts w:ascii="仿宋" w:hAnsi="仿宋" w:eastAsia="仿宋"/>
          <w:b w:val="0"/>
          <w:i w:val="0"/>
          <w:color w:val="000000"/>
          <w:sz w:val="24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val="clear" w:color="auto" w:fill="2E75B6"/>
          </w:tcPr>
          <w:p>
            <w:pPr>
              <w:jc w:val="center"/>
            </w:pPr>
            <w:r/>
            <w:r>
              <w:rPr>
                <w:rFonts w:ascii="仿宋" w:hAnsi="仿宋" w:eastAsia="仿宋"/>
                <w:b/>
                <w:i w:val="0"/>
                <w:color w:val="FFFFFF"/>
                <w:sz w:val="21"/>
              </w:rPr>
              <w:t>配置项</w:t>
            </w:r>
          </w:p>
        </w:tc>
        <w:tc>
          <w:tcPr>
            <w:tcW w:type="dxa" w:w="4323"/>
            <w:shd w:val="clear" w:color="auto" w:fill="2E75B6"/>
          </w:tcPr>
          <w:p>
            <w:pPr>
              <w:jc w:val="center"/>
            </w:pPr>
            <w:r/>
            <w:r>
              <w:rPr>
                <w:rFonts w:ascii="仿宋" w:hAnsi="仿宋" w:eastAsia="仿宋"/>
                <w:b/>
                <w:i w:val="0"/>
                <w:color w:val="FFFFFF"/>
                <w:sz w:val="21"/>
              </w:rPr>
              <w:t>配置值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操作系统</w:t>
            </w:r>
          </w:p>
        </w:tc>
        <w:tc>
          <w:tcPr>
            <w:tcW w:type="dxa" w:w="4323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Windows 11</w:t>
            </w:r>
          </w:p>
        </w:tc>
      </w:tr>
      <w:tr>
        <w:tc>
          <w:tcPr>
            <w:tcW w:type="dxa" w:w="4323"/>
            <w:shd w:val="clear" w:color="auto" w:fill="F2F7FC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Node.js版本</w:t>
            </w:r>
          </w:p>
        </w:tc>
        <w:tc>
          <w:tcPr>
            <w:tcW w:type="dxa" w:w="4323"/>
            <w:shd w:val="clear" w:color="auto" w:fill="F2F7FC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v18.x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Python版本</w:t>
            </w:r>
          </w:p>
        </w:tc>
        <w:tc>
          <w:tcPr>
            <w:tcW w:type="dxa" w:w="4323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3.10+</w:t>
            </w:r>
          </w:p>
        </w:tc>
      </w:tr>
      <w:tr>
        <w:tc>
          <w:tcPr>
            <w:tcW w:type="dxa" w:w="4323"/>
            <w:shd w:val="clear" w:color="auto" w:fill="F2F7FC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MongoDB版本</w:t>
            </w:r>
          </w:p>
        </w:tc>
        <w:tc>
          <w:tcPr>
            <w:tcW w:type="dxa" w:w="4323"/>
            <w:shd w:val="clear" w:color="auto" w:fill="F2F7FC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6.0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LLM服务</w:t>
            </w:r>
          </w:p>
        </w:tc>
        <w:tc>
          <w:tcPr>
            <w:tcW w:type="dxa" w:w="4323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OpenRouter API（Claude-3.5-Sonnet）</w:t>
            </w:r>
          </w:p>
        </w:tc>
      </w:tr>
      <w:tr>
        <w:tc>
          <w:tcPr>
            <w:tcW w:type="dxa" w:w="4323"/>
            <w:shd w:val="clear" w:color="auto" w:fill="F2F7FC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向量检索库</w:t>
            </w:r>
          </w:p>
        </w:tc>
        <w:tc>
          <w:tcPr>
            <w:tcW w:type="dxa" w:w="4323"/>
            <w:shd w:val="clear" w:color="auto" w:fill="F2F7FC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FAISS IndexFlatIP[47]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嵌入模型</w:t>
            </w:r>
          </w:p>
        </w:tc>
        <w:tc>
          <w:tcPr>
            <w:tcW w:type="dxa" w:w="4323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BGE-M3（1024维向量）[46]</w:t>
            </w:r>
          </w:p>
        </w:tc>
      </w:tr>
    </w:tbl>
    <w:p/>
    <w:p>
      <w:pPr>
        <w:spacing w:after="120"/>
      </w:pPr>
      <w:r>
        <w:rPr>
          <w:rFonts w:ascii="仿宋" w:hAnsi="仿宋" w:eastAsia="仿宋"/>
          <w:b/>
          <w:i w:val="0"/>
          <w:color w:val="000000"/>
          <w:sz w:val="24"/>
        </w:rPr>
        <w:t>测试数据集</w:t>
      </w:r>
      <w:r>
        <w:rPr>
          <w:rFonts w:ascii="仿宋" w:hAnsi="仿宋" w:eastAsia="仿宋"/>
          <w:b w:val="0"/>
          <w:i w:val="0"/>
          <w:color w:val="000000"/>
          <w:sz w:val="24"/>
        </w:rPr>
        <w:t>：</w:t>
      </w:r>
    </w:p>
    <w:p>
      <w:pPr>
        <w:spacing w:after="120"/>
      </w:pPr>
      <w:r>
        <w:rPr>
          <w:rFonts w:ascii="仿宋" w:hAnsi="仿宋" w:eastAsia="仿宋"/>
          <w:b w:val="0"/>
          <w:i w:val="0"/>
          <w:color w:val="000000"/>
          <w:sz w:val="24"/>
        </w:rPr>
        <w:t>本研究设计了三类测试，分别验证系统在不同场景下的表现：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val="clear" w:color="auto" w:fill="2E75B6"/>
          </w:tcPr>
          <w:p>
            <w:pPr>
              <w:jc w:val="center"/>
            </w:pPr>
            <w:r/>
            <w:r>
              <w:rPr>
                <w:rFonts w:ascii="仿宋" w:hAnsi="仿宋" w:eastAsia="仿宋"/>
                <w:b/>
                <w:i w:val="0"/>
                <w:color w:val="FFFFFF"/>
                <w:sz w:val="21"/>
              </w:rPr>
              <w:t>测试类型</w:t>
            </w:r>
          </w:p>
        </w:tc>
        <w:tc>
          <w:tcPr>
            <w:tcW w:type="dxa" w:w="2882"/>
            <w:shd w:val="clear" w:color="auto" w:fill="2E75B6"/>
          </w:tcPr>
          <w:p>
            <w:pPr>
              <w:jc w:val="center"/>
            </w:pPr>
            <w:r/>
            <w:r>
              <w:rPr>
                <w:rFonts w:ascii="仿宋" w:hAnsi="仿宋" w:eastAsia="仿宋"/>
                <w:b/>
                <w:i w:val="0"/>
                <w:color w:val="FFFFFF"/>
                <w:sz w:val="21"/>
              </w:rPr>
              <w:t>规模</w:t>
            </w:r>
          </w:p>
        </w:tc>
        <w:tc>
          <w:tcPr>
            <w:tcW w:type="dxa" w:w="2882"/>
            <w:shd w:val="clear" w:color="auto" w:fill="2E75B6"/>
          </w:tcPr>
          <w:p>
            <w:pPr>
              <w:jc w:val="center"/>
            </w:pPr>
            <w:r/>
            <w:r>
              <w:rPr>
                <w:rFonts w:ascii="仿宋" w:hAnsi="仿宋" w:eastAsia="仿宋"/>
                <w:b/>
                <w:i w:val="0"/>
                <w:color w:val="FFFFFF"/>
                <w:sz w:val="21"/>
              </w:rPr>
              <w:t>目的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小规模精确性测试</w:t>
            </w:r>
          </w:p>
        </w:tc>
        <w:tc>
          <w:tcPr>
            <w:tcW w:type="dxa" w:w="2882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13个样本×3次迭代=39次运行</w:t>
            </w:r>
          </w:p>
        </w:tc>
        <w:tc>
          <w:tcPr>
            <w:tcW w:type="dxa" w:w="2882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验证Pipeline在不同复杂度输入下的稳定性与准确性</w:t>
            </w:r>
          </w:p>
        </w:tc>
      </w:tr>
      <w:tr>
        <w:tc>
          <w:tcPr>
            <w:tcW w:type="dxa" w:w="2882"/>
            <w:shd w:val="clear" w:color="auto" w:fill="F2F7FC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大规模鲁棒性测试</w:t>
            </w:r>
          </w:p>
        </w:tc>
        <w:tc>
          <w:tcPr>
            <w:tcW w:type="dxa" w:w="2882"/>
            <w:shd w:val="clear" w:color="auto" w:fill="F2F7FC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45个真实桥梁IDS specifications</w:t>
            </w:r>
          </w:p>
        </w:tc>
        <w:tc>
          <w:tcPr>
            <w:tcW w:type="dxa" w:w="2882"/>
            <w:shd w:val="clear" w:color="auto" w:fill="F2F7FC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验证系统处理大规模真实数据集的能力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真实需求测试</w:t>
            </w:r>
          </w:p>
        </w:tc>
        <w:tc>
          <w:tcPr>
            <w:tcW w:type="dxa" w:w="2882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30条跨领域需求（结构、消防、机电、无障碍、能效各5条）</w:t>
            </w:r>
          </w:p>
        </w:tc>
        <w:tc>
          <w:tcPr>
            <w:tcW w:type="dxa" w:w="2882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验证系统对多领域自然语言输入的泛化能力</w:t>
            </w:r>
          </w:p>
        </w:tc>
      </w:tr>
    </w:tbl>
    <w:p/>
    <w:p>
      <w:pPr>
        <w:spacing w:after="120"/>
      </w:pPr>
      <w:r>
        <w:rPr>
          <w:rFonts w:ascii="仿宋" w:hAnsi="仿宋" w:eastAsia="仿宋"/>
          <w:b w:val="0"/>
          <w:i w:val="0"/>
          <w:color w:val="000000"/>
          <w:sz w:val="24"/>
        </w:rPr>
        <w:t>小规模测试的13个样本按复杂度分为三组：Simple（4个）、Medium（6个）、Complex（3个），覆盖墙、梁、柱、门、窗、板等常见建筑构件类型，包含数值约束、枚举约束、格式约束等不同约束类型。</w:t>
      </w:r>
    </w:p>
    <w:p>
      <w:pPr>
        <w:spacing w:after="120"/>
      </w:pPr>
      <w:r>
        <w:rPr>
          <w:rFonts w:ascii="仿宋" w:hAnsi="仿宋" w:eastAsia="仿宋"/>
          <w:b/>
          <w:i w:val="0"/>
          <w:color w:val="000000"/>
          <w:sz w:val="24"/>
        </w:rPr>
        <w:t>测试指标</w:t>
      </w:r>
      <w:r>
        <w:rPr>
          <w:rFonts w:ascii="仿宋" w:hAnsi="仿宋" w:eastAsia="仿宋"/>
          <w:b w:val="0"/>
          <w:i w:val="0"/>
          <w:color w:val="000000"/>
          <w:sz w:val="24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val="clear" w:color="auto" w:fill="2E75B6"/>
          </w:tcPr>
          <w:p>
            <w:pPr>
              <w:jc w:val="center"/>
            </w:pPr>
            <w:r/>
            <w:r>
              <w:rPr>
                <w:rFonts w:ascii="仿宋" w:hAnsi="仿宋" w:eastAsia="仿宋"/>
                <w:b/>
                <w:i w:val="0"/>
                <w:color w:val="FFFFFF"/>
                <w:sz w:val="21"/>
              </w:rPr>
              <w:t>指标</w:t>
            </w:r>
          </w:p>
        </w:tc>
        <w:tc>
          <w:tcPr>
            <w:tcW w:type="dxa" w:w="4323"/>
            <w:shd w:val="clear" w:color="auto" w:fill="2E75B6"/>
          </w:tcPr>
          <w:p>
            <w:pPr>
              <w:jc w:val="center"/>
            </w:pPr>
            <w:r/>
            <w:r>
              <w:rPr>
                <w:rFonts w:ascii="仿宋" w:hAnsi="仿宋" w:eastAsia="仿宋"/>
                <w:b/>
                <w:i w:val="0"/>
                <w:color w:val="FFFFFF"/>
                <w:sz w:val="21"/>
              </w:rPr>
              <w:t>定义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Pipeline成功率</w:t>
            </w:r>
          </w:p>
        </w:tc>
        <w:tc>
          <w:tcPr>
            <w:tcW w:type="dxa" w:w="4323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五阶段Pipeline完整执行并生成有效IDS文件的任务比例</w:t>
            </w:r>
          </w:p>
        </w:tc>
      </w:tr>
      <w:tr>
        <w:tc>
          <w:tcPr>
            <w:tcW w:type="dxa" w:w="4323"/>
            <w:shd w:val="clear" w:color="auto" w:fill="F2F7FC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IDS匹配率</w:t>
            </w:r>
          </w:p>
        </w:tc>
        <w:tc>
          <w:tcPr>
            <w:tcW w:type="dxa" w:w="4323"/>
            <w:shd w:val="clear" w:color="auto" w:fill="F2F7FC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生成的Specification数量与原始Specification数量的比值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Requirements保留率</w:t>
            </w:r>
          </w:p>
        </w:tc>
        <w:tc>
          <w:tcPr>
            <w:tcW w:type="dxa" w:w="4323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生成的Requirements数量与原始Requirements数量的比值</w:t>
            </w:r>
          </w:p>
        </w:tc>
      </w:tr>
      <w:tr>
        <w:tc>
          <w:tcPr>
            <w:tcW w:type="dxa" w:w="4323"/>
            <w:shd w:val="clear" w:color="auto" w:fill="F2F7FC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端到端响应时间</w:t>
            </w:r>
          </w:p>
        </w:tc>
        <w:tc>
          <w:tcPr>
            <w:tcW w:type="dxa" w:w="4323"/>
            <w:shd w:val="clear" w:color="auto" w:fill="F2F7FC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从提交输入到Pipeline完成的总时间</w:t>
            </w:r>
          </w:p>
        </w:tc>
      </w:tr>
    </w:tbl>
    <w:p/>
    <w:p>
      <w:pPr>
        <w:pStyle w:val="Heading3"/>
      </w:pPr>
      <w:r>
        <w:rPr>
          <w:rFonts w:ascii="仿宋" w:hAnsi="仿宋" w:eastAsia="仿宋"/>
          <w:b/>
          <w:i w:val="0"/>
          <w:color w:val="000000"/>
          <w:sz w:val="24"/>
        </w:rPr>
        <w:t>5.5.2 Pipeline执行质量</w:t>
      </w:r>
    </w:p>
    <w:p>
      <w:pPr>
        <w:spacing w:after="120"/>
      </w:pPr>
      <w:r>
        <w:rPr>
          <w:rFonts w:ascii="仿宋" w:hAnsi="仿宋" w:eastAsia="仿宋"/>
          <w:b/>
          <w:i w:val="0"/>
          <w:color w:val="000000"/>
          <w:sz w:val="24"/>
        </w:rPr>
        <w:t>小规模精确性测试结果</w:t>
      </w:r>
      <w:r>
        <w:rPr>
          <w:rFonts w:ascii="仿宋" w:hAnsi="仿宋" w:eastAsia="仿宋"/>
          <w:b w:val="0"/>
          <w:i w:val="0"/>
          <w:color w:val="000000"/>
          <w:sz w:val="24"/>
        </w:rPr>
        <w:t>：</w:t>
      </w:r>
    </w:p>
    <w:p>
      <w:pPr>
        <w:spacing w:after="120"/>
      </w:pPr>
      <w:r>
        <w:rPr>
          <w:rFonts w:ascii="仿宋" w:hAnsi="仿宋" w:eastAsia="仿宋"/>
          <w:b w:val="0"/>
          <w:i w:val="0"/>
          <w:color w:val="000000"/>
          <w:sz w:val="24"/>
        </w:rPr>
        <w:t>39次运行全部成功，Pipeline成功率为100%。三个复杂度级别的成功率均为100%，无崩溃或超时现象。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val="clear" w:color="auto" w:fill="2E75B6"/>
          </w:tcPr>
          <w:p>
            <w:pPr>
              <w:jc w:val="center"/>
            </w:pPr>
            <w:r/>
            <w:r>
              <w:rPr>
                <w:rFonts w:ascii="仿宋" w:hAnsi="仿宋" w:eastAsia="仿宋"/>
                <w:b/>
                <w:i w:val="0"/>
                <w:color w:val="FFFFFF"/>
                <w:sz w:val="21"/>
              </w:rPr>
              <w:t>复杂度</w:t>
            </w:r>
          </w:p>
        </w:tc>
        <w:tc>
          <w:tcPr>
            <w:tcW w:type="dxa" w:w="2161"/>
            <w:shd w:val="clear" w:color="auto" w:fill="2E75B6"/>
          </w:tcPr>
          <w:p>
            <w:pPr>
              <w:jc w:val="center"/>
            </w:pPr>
            <w:r/>
            <w:r>
              <w:rPr>
                <w:rFonts w:ascii="仿宋" w:hAnsi="仿宋" w:eastAsia="仿宋"/>
                <w:b/>
                <w:i w:val="0"/>
                <w:color w:val="FFFFFF"/>
                <w:sz w:val="21"/>
              </w:rPr>
              <w:t>样本数</w:t>
            </w:r>
          </w:p>
        </w:tc>
        <w:tc>
          <w:tcPr>
            <w:tcW w:type="dxa" w:w="2161"/>
            <w:shd w:val="clear" w:color="auto" w:fill="2E75B6"/>
          </w:tcPr>
          <w:p>
            <w:pPr>
              <w:jc w:val="center"/>
            </w:pPr>
            <w:r/>
            <w:r>
              <w:rPr>
                <w:rFonts w:ascii="仿宋" w:hAnsi="仿宋" w:eastAsia="仿宋"/>
                <w:b/>
                <w:i w:val="0"/>
                <w:color w:val="FFFFFF"/>
                <w:sz w:val="21"/>
              </w:rPr>
              <w:t>运行次数</w:t>
            </w:r>
          </w:p>
        </w:tc>
        <w:tc>
          <w:tcPr>
            <w:tcW w:type="dxa" w:w="2161"/>
            <w:shd w:val="clear" w:color="auto" w:fill="2E75B6"/>
          </w:tcPr>
          <w:p>
            <w:pPr>
              <w:jc w:val="center"/>
            </w:pPr>
            <w:r/>
            <w:r>
              <w:rPr>
                <w:rFonts w:ascii="仿宋" w:hAnsi="仿宋" w:eastAsia="仿宋"/>
                <w:b/>
                <w:i w:val="0"/>
                <w:color w:val="FFFFFF"/>
                <w:sz w:val="21"/>
              </w:rPr>
              <w:t>成功率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Simple</w:t>
            </w:r>
          </w:p>
        </w:tc>
        <w:tc>
          <w:tcPr>
            <w:tcW w:type="dxa" w:w="2161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type="dxa" w:w="2161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12</w:t>
            </w:r>
          </w:p>
        </w:tc>
        <w:tc>
          <w:tcPr>
            <w:tcW w:type="dxa" w:w="2161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100%</w:t>
            </w:r>
          </w:p>
        </w:tc>
      </w:tr>
      <w:tr>
        <w:tc>
          <w:tcPr>
            <w:tcW w:type="dxa" w:w="2161"/>
            <w:shd w:val="clear" w:color="auto" w:fill="F2F7FC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Medium</w:t>
            </w:r>
          </w:p>
        </w:tc>
        <w:tc>
          <w:tcPr>
            <w:tcW w:type="dxa" w:w="2161"/>
            <w:shd w:val="clear" w:color="auto" w:fill="F2F7FC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type="dxa" w:w="2161"/>
            <w:shd w:val="clear" w:color="auto" w:fill="F2F7FC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18</w:t>
            </w:r>
          </w:p>
        </w:tc>
        <w:tc>
          <w:tcPr>
            <w:tcW w:type="dxa" w:w="2161"/>
            <w:shd w:val="clear" w:color="auto" w:fill="F2F7FC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100%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Complex</w:t>
            </w:r>
          </w:p>
        </w:tc>
        <w:tc>
          <w:tcPr>
            <w:tcW w:type="dxa" w:w="2161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type="dxa" w:w="2161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9</w:t>
            </w:r>
          </w:p>
        </w:tc>
        <w:tc>
          <w:tcPr>
            <w:tcW w:type="dxa" w:w="2161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100%</w:t>
            </w:r>
          </w:p>
        </w:tc>
      </w:tr>
    </w:tbl>
    <w:p/>
    <w:p>
      <w:pPr>
        <w:spacing w:after="120"/>
      </w:pPr>
      <w:r>
        <w:rPr>
          <w:rFonts w:ascii="仿宋" w:hAnsi="仿宋" w:eastAsia="仿宋"/>
          <w:b/>
          <w:i w:val="0"/>
          <w:color w:val="000000"/>
          <w:sz w:val="24"/>
        </w:rPr>
        <w:t>大规模鲁棒性测试结果</w:t>
      </w:r>
      <w:r>
        <w:rPr>
          <w:rFonts w:ascii="仿宋" w:hAnsi="仿宋" w:eastAsia="仿宋"/>
          <w:b w:val="0"/>
          <w:i w:val="0"/>
          <w:color w:val="000000"/>
          <w:sz w:val="24"/>
        </w:rPr>
        <w:t>：</w:t>
      </w:r>
    </w:p>
    <w:p>
      <w:pPr>
        <w:spacing w:after="120"/>
      </w:pPr>
      <w:r>
        <w:rPr>
          <w:rFonts w:ascii="仿宋" w:hAnsi="仿宋" w:eastAsia="仿宋"/>
          <w:b w:val="0"/>
          <w:i w:val="0"/>
          <w:color w:val="000000"/>
          <w:sz w:val="24"/>
        </w:rPr>
        <w:t>对45个真实桥梁IDS specifications执行处理，结果如下：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val="clear" w:color="auto" w:fill="2E75B6"/>
          </w:tcPr>
          <w:p>
            <w:pPr>
              <w:jc w:val="center"/>
            </w:pPr>
            <w:r/>
            <w:r>
              <w:rPr>
                <w:rFonts w:ascii="仿宋" w:hAnsi="仿宋" w:eastAsia="仿宋"/>
                <w:b/>
                <w:i w:val="0"/>
                <w:color w:val="FFFFFF"/>
                <w:sz w:val="21"/>
              </w:rPr>
              <w:t>指标</w:t>
            </w:r>
          </w:p>
        </w:tc>
        <w:tc>
          <w:tcPr>
            <w:tcW w:type="dxa" w:w="2161"/>
            <w:shd w:val="clear" w:color="auto" w:fill="2E75B6"/>
          </w:tcPr>
          <w:p>
            <w:pPr>
              <w:jc w:val="center"/>
            </w:pPr>
            <w:r/>
            <w:r>
              <w:rPr>
                <w:rFonts w:ascii="仿宋" w:hAnsi="仿宋" w:eastAsia="仿宋"/>
                <w:b/>
                <w:i w:val="0"/>
                <w:color w:val="FFFFFF"/>
                <w:sz w:val="21"/>
              </w:rPr>
              <w:t>测试结果</w:t>
            </w:r>
          </w:p>
        </w:tc>
        <w:tc>
          <w:tcPr>
            <w:tcW w:type="dxa" w:w="2161"/>
            <w:shd w:val="clear" w:color="auto" w:fill="2E75B6"/>
          </w:tcPr>
          <w:p>
            <w:pPr>
              <w:jc w:val="center"/>
            </w:pPr>
            <w:r/>
            <w:r>
              <w:rPr>
                <w:rFonts w:ascii="仿宋" w:hAnsi="仿宋" w:eastAsia="仿宋"/>
                <w:b/>
                <w:i w:val="0"/>
                <w:color w:val="FFFFFF"/>
                <w:sz w:val="21"/>
              </w:rPr>
              <w:t>目标值</w:t>
            </w:r>
          </w:p>
        </w:tc>
        <w:tc>
          <w:tcPr>
            <w:tcW w:type="dxa" w:w="2161"/>
            <w:shd w:val="clear" w:color="auto" w:fill="2E75B6"/>
          </w:tcPr>
          <w:p>
            <w:pPr>
              <w:jc w:val="center"/>
            </w:pPr>
            <w:r/>
            <w:r>
              <w:rPr>
                <w:rFonts w:ascii="仿宋" w:hAnsi="仿宋" w:eastAsia="仿宋"/>
                <w:b/>
                <w:i w:val="0"/>
                <w:color w:val="FFFFFF"/>
                <w:sz w:val="21"/>
              </w:rPr>
              <w:t>达标情况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IDS匹配率</w:t>
            </w:r>
          </w:p>
        </w:tc>
        <w:tc>
          <w:tcPr>
            <w:tcW w:type="dxa" w:w="2161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100%（45/45）</w:t>
            </w:r>
          </w:p>
        </w:tc>
        <w:tc>
          <w:tcPr>
            <w:tcW w:type="dxa" w:w="2161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≥85%</w:t>
            </w:r>
          </w:p>
        </w:tc>
        <w:tc>
          <w:tcPr>
            <w:tcW w:type="dxa" w:w="2161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超出目标15%</w:t>
            </w:r>
          </w:p>
        </w:tc>
      </w:tr>
      <w:tr>
        <w:tc>
          <w:tcPr>
            <w:tcW w:type="dxa" w:w="2161"/>
            <w:shd w:val="clear" w:color="auto" w:fill="F2F7FC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Requirements保留率</w:t>
            </w:r>
          </w:p>
        </w:tc>
        <w:tc>
          <w:tcPr>
            <w:tcW w:type="dxa" w:w="2161"/>
            <w:shd w:val="clear" w:color="auto" w:fill="F2F7FC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72.2%（57/79）</w:t>
            </w:r>
          </w:p>
        </w:tc>
        <w:tc>
          <w:tcPr>
            <w:tcW w:type="dxa" w:w="2161"/>
            <w:shd w:val="clear" w:color="auto" w:fill="F2F7FC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≥70%</w:t>
            </w:r>
          </w:p>
        </w:tc>
        <w:tc>
          <w:tcPr>
            <w:tcW w:type="dxa" w:w="2161"/>
            <w:shd w:val="clear" w:color="auto" w:fill="F2F7FC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超出目标2.2%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成功率</w:t>
            </w:r>
          </w:p>
        </w:tc>
        <w:tc>
          <w:tcPr>
            <w:tcW w:type="dxa" w:w="2161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100%（无崩溃）</w:t>
            </w:r>
          </w:p>
        </w:tc>
        <w:tc>
          <w:tcPr>
            <w:tcW w:type="dxa" w:w="2161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无崩溃、无超时</w:t>
            </w:r>
          </w:p>
        </w:tc>
        <w:tc>
          <w:tcPr>
            <w:tcW w:type="dxa" w:w="2161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达标</w:t>
            </w:r>
          </w:p>
        </w:tc>
      </w:tr>
    </w:tbl>
    <w:p/>
    <w:p>
      <w:pPr>
        <w:spacing w:after="120"/>
      </w:pPr>
      <w:r>
        <w:rPr>
          <w:rFonts w:ascii="仿宋" w:hAnsi="仿宋" w:eastAsia="仿宋"/>
          <w:b w:val="0"/>
          <w:i w:val="0"/>
          <w:color w:val="000000"/>
          <w:sz w:val="24"/>
        </w:rPr>
        <w:t>匹配率达到100%，所有45个specifications均成功处理。Requirements保留率为72.2%，22个未保留的requirements主要集中在需要精确propertySet与baseName组合的细粒度约束，自然语言描述难以完整覆盖这类信息。</w:t>
      </w:r>
    </w:p>
    <w:p>
      <w:pPr>
        <w:spacing w:after="120"/>
      </w:pPr>
      <w:r>
        <w:rPr>
          <w:rFonts w:ascii="仿宋" w:hAnsi="仿宋" w:eastAsia="仿宋"/>
          <w:b/>
          <w:i w:val="0"/>
          <w:color w:val="000000"/>
          <w:sz w:val="24"/>
        </w:rPr>
        <w:t>真实需求测试结果</w:t>
      </w:r>
      <w:r>
        <w:rPr>
          <w:rFonts w:ascii="仿宋" w:hAnsi="仿宋" w:eastAsia="仿宋"/>
          <w:b w:val="0"/>
          <w:i w:val="0"/>
          <w:color w:val="000000"/>
          <w:sz w:val="24"/>
        </w:rPr>
        <w:t>：</w:t>
      </w:r>
    </w:p>
    <w:p>
      <w:pPr>
        <w:spacing w:after="120"/>
      </w:pPr>
      <w:r>
        <w:rPr>
          <w:rFonts w:ascii="仿宋" w:hAnsi="仿宋" w:eastAsia="仿宋"/>
          <w:b w:val="0"/>
          <w:i w:val="0"/>
          <w:color w:val="000000"/>
          <w:sz w:val="24"/>
        </w:rPr>
        <w:t>对30条跨领域需求执行处理，生成27个Specifications，成功率为90.0%。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val="clear" w:color="auto" w:fill="2E75B6"/>
          </w:tcPr>
          <w:p>
            <w:pPr>
              <w:jc w:val="center"/>
            </w:pPr>
            <w:r/>
            <w:r>
              <w:rPr>
                <w:rFonts w:ascii="仿宋" w:hAnsi="仿宋" w:eastAsia="仿宋"/>
                <w:b/>
                <w:i w:val="0"/>
                <w:color w:val="FFFFFF"/>
                <w:sz w:val="21"/>
              </w:rPr>
              <w:t>领域</w:t>
            </w:r>
          </w:p>
        </w:tc>
        <w:tc>
          <w:tcPr>
            <w:tcW w:type="dxa" w:w="2161"/>
            <w:shd w:val="clear" w:color="auto" w:fill="2E75B6"/>
          </w:tcPr>
          <w:p>
            <w:pPr>
              <w:jc w:val="center"/>
            </w:pPr>
            <w:r/>
            <w:r>
              <w:rPr>
                <w:rFonts w:ascii="仿宋" w:hAnsi="仿宋" w:eastAsia="仿宋"/>
                <w:b/>
                <w:i w:val="0"/>
                <w:color w:val="FFFFFF"/>
                <w:sz w:val="21"/>
              </w:rPr>
              <w:t>需求数</w:t>
            </w:r>
          </w:p>
        </w:tc>
        <w:tc>
          <w:tcPr>
            <w:tcW w:type="dxa" w:w="2161"/>
            <w:shd w:val="clear" w:color="auto" w:fill="2E75B6"/>
          </w:tcPr>
          <w:p>
            <w:pPr>
              <w:jc w:val="center"/>
            </w:pPr>
            <w:r/>
            <w:r>
              <w:rPr>
                <w:rFonts w:ascii="仿宋" w:hAnsi="仿宋" w:eastAsia="仿宋"/>
                <w:b/>
                <w:i w:val="0"/>
                <w:color w:val="FFFFFF"/>
                <w:sz w:val="21"/>
              </w:rPr>
              <w:t>生成数</w:t>
            </w:r>
          </w:p>
        </w:tc>
        <w:tc>
          <w:tcPr>
            <w:tcW w:type="dxa" w:w="2161"/>
            <w:shd w:val="clear" w:color="auto" w:fill="2E75B6"/>
          </w:tcPr>
          <w:p>
            <w:pPr>
              <w:jc w:val="center"/>
            </w:pPr>
            <w:r/>
            <w:r>
              <w:rPr>
                <w:rFonts w:ascii="仿宋" w:hAnsi="仿宋" w:eastAsia="仿宋"/>
                <w:b/>
                <w:i w:val="0"/>
                <w:color w:val="FFFFFF"/>
                <w:sz w:val="21"/>
              </w:rPr>
              <w:t>成功率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结构工程</w:t>
            </w:r>
          </w:p>
        </w:tc>
        <w:tc>
          <w:tcPr>
            <w:tcW w:type="dxa" w:w="2161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10</w:t>
            </w:r>
          </w:p>
        </w:tc>
        <w:tc>
          <w:tcPr>
            <w:tcW w:type="dxa" w:w="2161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9</w:t>
            </w:r>
          </w:p>
        </w:tc>
        <w:tc>
          <w:tcPr>
            <w:tcW w:type="dxa" w:w="2161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90%</w:t>
            </w:r>
          </w:p>
        </w:tc>
      </w:tr>
      <w:tr>
        <w:tc>
          <w:tcPr>
            <w:tcW w:type="dxa" w:w="2161"/>
            <w:shd w:val="clear" w:color="auto" w:fill="F2F7FC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消防安全</w:t>
            </w:r>
          </w:p>
        </w:tc>
        <w:tc>
          <w:tcPr>
            <w:tcW w:type="dxa" w:w="2161"/>
            <w:shd w:val="clear" w:color="auto" w:fill="F2F7FC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type="dxa" w:w="2161"/>
            <w:shd w:val="clear" w:color="auto" w:fill="F2F7FC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type="dxa" w:w="2161"/>
            <w:shd w:val="clear" w:color="auto" w:fill="F2F7FC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100%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机电设备</w:t>
            </w:r>
          </w:p>
        </w:tc>
        <w:tc>
          <w:tcPr>
            <w:tcW w:type="dxa" w:w="2161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type="dxa" w:w="2161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type="dxa" w:w="2161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100%</w:t>
            </w:r>
          </w:p>
        </w:tc>
      </w:tr>
      <w:tr>
        <w:tc>
          <w:tcPr>
            <w:tcW w:type="dxa" w:w="2161"/>
            <w:shd w:val="clear" w:color="auto" w:fill="F2F7FC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无障碍设计</w:t>
            </w:r>
          </w:p>
        </w:tc>
        <w:tc>
          <w:tcPr>
            <w:tcW w:type="dxa" w:w="2161"/>
            <w:shd w:val="clear" w:color="auto" w:fill="F2F7FC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type="dxa" w:w="2161"/>
            <w:shd w:val="clear" w:color="auto" w:fill="F2F7FC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type="dxa" w:w="2161"/>
            <w:shd w:val="clear" w:color="auto" w:fill="F2F7FC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100%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能效要求</w:t>
            </w:r>
          </w:p>
        </w:tc>
        <w:tc>
          <w:tcPr>
            <w:tcW w:type="dxa" w:w="2161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type="dxa" w:w="2161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type="dxa" w:w="2161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100%</w:t>
            </w:r>
          </w:p>
        </w:tc>
      </w:tr>
    </w:tbl>
    <w:p/>
    <w:p>
      <w:pPr>
        <w:spacing w:after="120"/>
      </w:pPr>
      <w:r>
        <w:rPr>
          <w:rFonts w:ascii="仿宋" w:hAnsi="仿宋" w:eastAsia="仿宋"/>
          <w:b w:val="0"/>
          <w:i w:val="0"/>
          <w:color w:val="000000"/>
          <w:sz w:val="24"/>
        </w:rPr>
        <w:t>3条未生成的需求均来自结构工程领域，涉及多约束组合的复杂描述。消防安全、机电设备、无障碍设计与能效要求四个领域的成功率为100%。</w:t>
      </w:r>
    </w:p>
    <w:p>
      <w:pPr>
        <w:spacing w:after="120"/>
      </w:pPr>
      <w:r>
        <w:rPr>
          <w:rFonts w:ascii="仿宋" w:hAnsi="仿宋" w:eastAsia="仿宋"/>
          <w:b w:val="0"/>
          <w:i w:val="0"/>
          <w:color w:val="000000"/>
          <w:sz w:val="24"/>
        </w:rPr>
        <w:t>Guo等（2025）在BIM信息检索研究中报告的映射准确率为78.75%，本系统在大规模测试中达到100%的匹配率与72.2%的Requirements保留率，表明五阶段Pipeline在处理结构化IDS生成任务时具有较高的执行完整性。</w:t>
      </w:r>
    </w:p>
    <w:p>
      <w:pPr>
        <w:pStyle w:val="Heading3"/>
      </w:pPr>
      <w:r>
        <w:rPr>
          <w:rFonts w:ascii="仿宋" w:hAnsi="仿宋" w:eastAsia="仿宋"/>
          <w:b/>
          <w:i w:val="0"/>
          <w:color w:val="000000"/>
          <w:sz w:val="24"/>
        </w:rPr>
        <w:t>5.5.3 响应时间与阶段耗时</w:t>
      </w:r>
    </w:p>
    <w:p>
      <w:pPr>
        <w:spacing w:after="120"/>
      </w:pPr>
      <w:r>
        <w:rPr>
          <w:rFonts w:ascii="仿宋" w:hAnsi="仿宋" w:eastAsia="仿宋"/>
          <w:b/>
          <w:i w:val="0"/>
          <w:color w:val="000000"/>
          <w:sz w:val="24"/>
        </w:rPr>
        <w:t>端到端响应时间</w:t>
      </w:r>
      <w:r>
        <w:rPr>
          <w:rFonts w:ascii="仿宋" w:hAnsi="仿宋" w:eastAsia="仿宋"/>
          <w:b w:val="0"/>
          <w:i w:val="0"/>
          <w:color w:val="000000"/>
          <w:sz w:val="24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val="clear" w:color="auto" w:fill="2E75B6"/>
          </w:tcPr>
          <w:p>
            <w:pPr>
              <w:jc w:val="center"/>
            </w:pPr>
            <w:r/>
            <w:r>
              <w:rPr>
                <w:rFonts w:ascii="仿宋" w:hAnsi="仿宋" w:eastAsia="仿宋"/>
                <w:b/>
                <w:i w:val="0"/>
                <w:color w:val="FFFFFF"/>
                <w:sz w:val="21"/>
              </w:rPr>
              <w:t>测试类型</w:t>
            </w:r>
          </w:p>
        </w:tc>
        <w:tc>
          <w:tcPr>
            <w:tcW w:type="dxa" w:w="1729"/>
            <w:shd w:val="clear" w:color="auto" w:fill="2E75B6"/>
          </w:tcPr>
          <w:p>
            <w:pPr>
              <w:jc w:val="center"/>
            </w:pPr>
            <w:r/>
            <w:r>
              <w:rPr>
                <w:rFonts w:ascii="仿宋" w:hAnsi="仿宋" w:eastAsia="仿宋"/>
                <w:b/>
                <w:i w:val="0"/>
                <w:color w:val="FFFFFF"/>
                <w:sz w:val="21"/>
              </w:rPr>
              <w:t>平均时间</w:t>
            </w:r>
          </w:p>
        </w:tc>
        <w:tc>
          <w:tcPr>
            <w:tcW w:type="dxa" w:w="1729"/>
            <w:shd w:val="clear" w:color="auto" w:fill="2E75B6"/>
          </w:tcPr>
          <w:p>
            <w:pPr>
              <w:jc w:val="center"/>
            </w:pPr>
            <w:r/>
            <w:r>
              <w:rPr>
                <w:rFonts w:ascii="仿宋" w:hAnsi="仿宋" w:eastAsia="仿宋"/>
                <w:b/>
                <w:i w:val="0"/>
                <w:color w:val="FFFFFF"/>
                <w:sz w:val="21"/>
              </w:rPr>
              <w:t>最小值</w:t>
            </w:r>
          </w:p>
        </w:tc>
        <w:tc>
          <w:tcPr>
            <w:tcW w:type="dxa" w:w="1729"/>
            <w:shd w:val="clear" w:color="auto" w:fill="2E75B6"/>
          </w:tcPr>
          <w:p>
            <w:pPr>
              <w:jc w:val="center"/>
            </w:pPr>
            <w:r/>
            <w:r>
              <w:rPr>
                <w:rFonts w:ascii="仿宋" w:hAnsi="仿宋" w:eastAsia="仿宋"/>
                <w:b/>
                <w:i w:val="0"/>
                <w:color w:val="FFFFFF"/>
                <w:sz w:val="21"/>
              </w:rPr>
              <w:t>最大值</w:t>
            </w:r>
          </w:p>
        </w:tc>
        <w:tc>
          <w:tcPr>
            <w:tcW w:type="dxa" w:w="1729"/>
            <w:shd w:val="clear" w:color="auto" w:fill="2E75B6"/>
          </w:tcPr>
          <w:p>
            <w:pPr>
              <w:jc w:val="center"/>
            </w:pPr>
            <w:r/>
            <w:r>
              <w:rPr>
                <w:rFonts w:ascii="仿宋" w:hAnsi="仿宋" w:eastAsia="仿宋"/>
                <w:b/>
                <w:i w:val="0"/>
                <w:color w:val="FFFFFF"/>
                <w:sz w:val="21"/>
              </w:rPr>
              <w:t>标准差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小规模测试</w:t>
            </w:r>
          </w:p>
        </w:tc>
        <w:tc>
          <w:tcPr>
            <w:tcW w:type="dxa" w:w="1729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28.27秒</w:t>
            </w:r>
          </w:p>
        </w:tc>
        <w:tc>
          <w:tcPr>
            <w:tcW w:type="dxa" w:w="1729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14.63秒</w:t>
            </w:r>
          </w:p>
        </w:tc>
        <w:tc>
          <w:tcPr>
            <w:tcW w:type="dxa" w:w="1729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39.70秒</w:t>
            </w:r>
          </w:p>
        </w:tc>
        <w:tc>
          <w:tcPr>
            <w:tcW w:type="dxa" w:w="1729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6.19秒</w:t>
            </w:r>
          </w:p>
        </w:tc>
      </w:tr>
      <w:tr>
        <w:tc>
          <w:tcPr>
            <w:tcW w:type="dxa" w:w="1729"/>
            <w:shd w:val="clear" w:color="auto" w:fill="F2F7FC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大规模测试（单个spec）</w:t>
            </w:r>
          </w:p>
        </w:tc>
        <w:tc>
          <w:tcPr>
            <w:tcW w:type="dxa" w:w="1729"/>
            <w:shd w:val="clear" w:color="auto" w:fill="F2F7FC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39.52秒</w:t>
            </w:r>
          </w:p>
        </w:tc>
        <w:tc>
          <w:tcPr>
            <w:tcW w:type="dxa" w:w="1729"/>
            <w:shd w:val="clear" w:color="auto" w:fill="F2F7FC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21.11秒</w:t>
            </w:r>
          </w:p>
        </w:tc>
        <w:tc>
          <w:tcPr>
            <w:tcW w:type="dxa" w:w="1729"/>
            <w:shd w:val="clear" w:color="auto" w:fill="F2F7FC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71.87秒</w:t>
            </w:r>
          </w:p>
        </w:tc>
        <w:tc>
          <w:tcPr>
            <w:tcW w:type="dxa" w:w="1729"/>
            <w:shd w:val="clear" w:color="auto" w:fill="F2F7FC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—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真实需求测试（30条总计）</w:t>
            </w:r>
          </w:p>
        </w:tc>
        <w:tc>
          <w:tcPr>
            <w:tcW w:type="dxa" w:w="1729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308.61秒</w:t>
            </w:r>
          </w:p>
        </w:tc>
        <w:tc>
          <w:tcPr>
            <w:tcW w:type="dxa" w:w="1729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—</w:t>
            </w:r>
          </w:p>
        </w:tc>
        <w:tc>
          <w:tcPr>
            <w:tcW w:type="dxa" w:w="1729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—</w:t>
            </w:r>
          </w:p>
        </w:tc>
        <w:tc>
          <w:tcPr>
            <w:tcW w:type="dxa" w:w="1729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—</w:t>
            </w:r>
          </w:p>
        </w:tc>
      </w:tr>
    </w:tbl>
    <w:p/>
    <w:p>
      <w:pPr>
        <w:spacing w:after="120"/>
      </w:pPr>
      <w:r>
        <w:rPr>
          <w:rFonts w:ascii="仿宋" w:hAnsi="仿宋" w:eastAsia="仿宋"/>
          <w:b w:val="0"/>
          <w:i w:val="0"/>
          <w:color w:val="000000"/>
          <w:sz w:val="24"/>
        </w:rPr>
        <w:t>小规模测试中，不同复杂度的平均响应时间为：Simple 24.5秒，Medium 28.9秒，Complex 32.4秒。复杂度每提升一级，总时间增加约15-20%。</w:t>
      </w:r>
    </w:p>
    <w:p>
      <w:pPr>
        <w:spacing w:after="120"/>
      </w:pPr>
      <w:r>
        <w:rPr>
          <w:rFonts w:ascii="仿宋" w:hAnsi="仿宋" w:eastAsia="仿宋"/>
          <w:b/>
          <w:i w:val="0"/>
          <w:color w:val="000000"/>
          <w:sz w:val="24"/>
        </w:rPr>
        <w:t>各阶段耗时分布</w:t>
      </w:r>
      <w:r>
        <w:rPr>
          <w:rFonts w:ascii="仿宋" w:hAnsi="仿宋" w:eastAsia="仿宋"/>
          <w:b w:val="0"/>
          <w:i w:val="0"/>
          <w:color w:val="000000"/>
          <w:sz w:val="24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val="clear" w:color="auto" w:fill="2E75B6"/>
          </w:tcPr>
          <w:p>
            <w:pPr>
              <w:jc w:val="center"/>
            </w:pPr>
            <w:r/>
            <w:r>
              <w:rPr>
                <w:rFonts w:ascii="仿宋" w:hAnsi="仿宋" w:eastAsia="仿宋"/>
                <w:b/>
                <w:i w:val="0"/>
                <w:color w:val="FFFFFF"/>
                <w:sz w:val="21"/>
              </w:rPr>
              <w:t>阶段</w:t>
            </w:r>
          </w:p>
        </w:tc>
        <w:tc>
          <w:tcPr>
            <w:tcW w:type="dxa" w:w="2161"/>
            <w:shd w:val="clear" w:color="auto" w:fill="2E75B6"/>
          </w:tcPr>
          <w:p>
            <w:pPr>
              <w:jc w:val="center"/>
            </w:pPr>
            <w:r/>
            <w:r>
              <w:rPr>
                <w:rFonts w:ascii="仿宋" w:hAnsi="仿宋" w:eastAsia="仿宋"/>
                <w:b/>
                <w:i w:val="0"/>
                <w:color w:val="FFFFFF"/>
                <w:sz w:val="21"/>
              </w:rPr>
              <w:t>小规模测试</w:t>
            </w:r>
          </w:p>
        </w:tc>
        <w:tc>
          <w:tcPr>
            <w:tcW w:type="dxa" w:w="2161"/>
            <w:shd w:val="clear" w:color="auto" w:fill="2E75B6"/>
          </w:tcPr>
          <w:p>
            <w:pPr>
              <w:jc w:val="center"/>
            </w:pPr>
            <w:r/>
            <w:r>
              <w:rPr>
                <w:rFonts w:ascii="仿宋" w:hAnsi="仿宋" w:eastAsia="仿宋"/>
                <w:b/>
                <w:i w:val="0"/>
                <w:color w:val="FFFFFF"/>
                <w:sz w:val="21"/>
              </w:rPr>
              <w:t>大规模测试</w:t>
            </w:r>
          </w:p>
        </w:tc>
        <w:tc>
          <w:tcPr>
            <w:tcW w:type="dxa" w:w="2161"/>
            <w:shd w:val="clear" w:color="auto" w:fill="2E75B6"/>
          </w:tcPr>
          <w:p>
            <w:pPr>
              <w:jc w:val="center"/>
            </w:pPr>
            <w:r/>
            <w:r>
              <w:rPr>
                <w:rFonts w:ascii="仿宋" w:hAnsi="仿宋" w:eastAsia="仿宋"/>
                <w:b/>
                <w:i w:val="0"/>
                <w:color w:val="FFFFFF"/>
                <w:sz w:val="21"/>
              </w:rPr>
              <w:t>真实需求测试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阶段一（结构化解析）</w:t>
            </w:r>
          </w:p>
        </w:tc>
        <w:tc>
          <w:tcPr>
            <w:tcW w:type="dxa" w:w="2161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3.87秒（13.7%）</w:t>
            </w:r>
          </w:p>
        </w:tc>
        <w:tc>
          <w:tcPr>
            <w:tcW w:type="dxa" w:w="2161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6.43秒（16.3%）</w:t>
            </w:r>
          </w:p>
        </w:tc>
        <w:tc>
          <w:tcPr>
            <w:tcW w:type="dxa" w:w="2161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26.04秒（8.4%）</w:t>
            </w:r>
          </w:p>
        </w:tc>
      </w:tr>
      <w:tr>
        <w:tc>
          <w:tcPr>
            <w:tcW w:type="dxa" w:w="2161"/>
            <w:shd w:val="clear" w:color="auto" w:fill="F2F7FC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阶段二（方面分类）</w:t>
            </w:r>
          </w:p>
        </w:tc>
        <w:tc>
          <w:tcPr>
            <w:tcW w:type="dxa" w:w="2161"/>
            <w:shd w:val="clear" w:color="auto" w:fill="F2F7FC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4.29秒（15.2%）</w:t>
            </w:r>
          </w:p>
        </w:tc>
        <w:tc>
          <w:tcPr>
            <w:tcW w:type="dxa" w:w="2161"/>
            <w:shd w:val="clear" w:color="auto" w:fill="F2F7FC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6.39秒（16.2%）</w:t>
            </w:r>
          </w:p>
        </w:tc>
        <w:tc>
          <w:tcPr>
            <w:tcW w:type="dxa" w:w="2161"/>
            <w:shd w:val="clear" w:color="auto" w:fill="F2F7FC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19.49秒（6.3%）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阶段三（知识库映射）</w:t>
            </w:r>
          </w:p>
        </w:tc>
        <w:tc>
          <w:tcPr>
            <w:tcW w:type="dxa" w:w="2161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10.65秒（**37.7%**）</w:t>
            </w:r>
          </w:p>
        </w:tc>
        <w:tc>
          <w:tcPr>
            <w:tcW w:type="dxa" w:w="2161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15.16秒（**38.4%**）</w:t>
            </w:r>
          </w:p>
        </w:tc>
        <w:tc>
          <w:tcPr>
            <w:tcW w:type="dxa" w:w="2161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221.45秒（**71.8%**）</w:t>
            </w:r>
          </w:p>
        </w:tc>
      </w:tr>
      <w:tr>
        <w:tc>
          <w:tcPr>
            <w:tcW w:type="dxa" w:w="2161"/>
            <w:shd w:val="clear" w:color="auto" w:fill="F2F7FC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阶段四（约束提取）</w:t>
            </w:r>
          </w:p>
        </w:tc>
        <w:tc>
          <w:tcPr>
            <w:tcW w:type="dxa" w:w="2161"/>
            <w:shd w:val="clear" w:color="auto" w:fill="F2F7FC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&lt;0.01秒（~0%）</w:t>
            </w:r>
          </w:p>
        </w:tc>
        <w:tc>
          <w:tcPr>
            <w:tcW w:type="dxa" w:w="2161"/>
            <w:shd w:val="clear" w:color="auto" w:fill="F2F7FC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&lt;0.01秒（~0%）</w:t>
            </w:r>
          </w:p>
        </w:tc>
        <w:tc>
          <w:tcPr>
            <w:tcW w:type="dxa" w:w="2161"/>
            <w:shd w:val="clear" w:color="auto" w:fill="F2F7FC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&lt;0.01秒（~0%）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阶段五（IDS构建）</w:t>
            </w:r>
          </w:p>
        </w:tc>
        <w:tc>
          <w:tcPr>
            <w:tcW w:type="dxa" w:w="2161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9.46秒（33.5%）</w:t>
            </w:r>
          </w:p>
        </w:tc>
        <w:tc>
          <w:tcPr>
            <w:tcW w:type="dxa" w:w="2161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11.55秒（29.2%）</w:t>
            </w:r>
          </w:p>
        </w:tc>
        <w:tc>
          <w:tcPr>
            <w:tcW w:type="dxa" w:w="2161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41.62秒（13.5%）</w:t>
            </w:r>
          </w:p>
        </w:tc>
      </w:tr>
      <w:tr>
        <w:tc>
          <w:tcPr>
            <w:tcW w:type="dxa" w:w="2161"/>
            <w:shd w:val="clear" w:color="auto" w:fill="F2F7FC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**总计**</w:t>
            </w:r>
          </w:p>
        </w:tc>
        <w:tc>
          <w:tcPr>
            <w:tcW w:type="dxa" w:w="2161"/>
            <w:shd w:val="clear" w:color="auto" w:fill="F2F7FC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**28.27秒**</w:t>
            </w:r>
          </w:p>
        </w:tc>
        <w:tc>
          <w:tcPr>
            <w:tcW w:type="dxa" w:w="2161"/>
            <w:shd w:val="clear" w:color="auto" w:fill="F2F7FC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**39.52秒**</w:t>
            </w:r>
          </w:p>
        </w:tc>
        <w:tc>
          <w:tcPr>
            <w:tcW w:type="dxa" w:w="2161"/>
            <w:shd w:val="clear" w:color="auto" w:fill="F2F7FC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**308.61秒**</w:t>
            </w:r>
          </w:p>
        </w:tc>
      </w:tr>
    </w:tbl>
    <w:p/>
    <w:p>
      <w:pPr>
        <w:spacing w:after="120"/>
      </w:pPr>
      <w:r>
        <w:rPr>
          <w:rFonts w:ascii="仿宋" w:hAnsi="仿宋" w:eastAsia="仿宋"/>
          <w:b w:val="0"/>
          <w:i w:val="0"/>
          <w:color w:val="000000"/>
          <w:sz w:val="24"/>
        </w:rPr>
        <w:t>阶段一与阶段五的耗时中，LLM调用占据主要部分。阶段一需要调用LLM解析自然语言文本，阶段五需要调用LLM生成IDS JSON结构。阶段四采用纯正则表达式提取约束条件，不涉及LLM调用，因此耗时接近于零——这验证了第四章4.6节所述的"纯regex"策略在性能层面的优势。</w:t>
      </w:r>
    </w:p>
    <w:p>
      <w:pPr>
        <w:spacing w:after="120"/>
      </w:pPr>
      <w:r>
        <w:rPr>
          <w:rFonts w:ascii="仿宋" w:hAnsi="仿宋" w:eastAsia="仿宋"/>
          <w:b/>
          <w:i w:val="0"/>
          <w:color w:val="000000"/>
          <w:sz w:val="24"/>
        </w:rPr>
        <w:t>瓶颈分析</w:t>
      </w:r>
      <w:r>
        <w:rPr>
          <w:rFonts w:ascii="仿宋" w:hAnsi="仿宋" w:eastAsia="仿宋"/>
          <w:b w:val="0"/>
          <w:i w:val="0"/>
          <w:color w:val="000000"/>
          <w:sz w:val="24"/>
        </w:rPr>
        <w:t>：</w:t>
      </w:r>
    </w:p>
    <w:p>
      <w:pPr>
        <w:spacing w:after="120"/>
      </w:pPr>
      <w:r>
        <w:rPr>
          <w:rFonts w:ascii="仿宋" w:hAnsi="仿宋" w:eastAsia="仿宋"/>
          <w:b w:val="0"/>
          <w:i w:val="0"/>
          <w:color w:val="000000"/>
          <w:sz w:val="24"/>
        </w:rPr>
        <w:t>三类测试一致表明，阶段三（知识库映射）是Pipeline的主要性能瓶颈，占总时间的37.7%-71.8%。该阶段需要执行FAISS向量相似度检索[47]与知识图谱合法性验证，当输入包含大量实体与属性时，逐条映射的累积耗时增长明显。小规模测试中阶段三对复杂度最为敏感，从Simple到Complex增长约50%（8.5秒→12.8秒）。</w:t>
      </w:r>
    </w:p>
    <w:p>
      <w:pPr>
        <w:spacing w:after="120"/>
      </w:pPr>
      <w:r>
        <w:rPr>
          <w:rFonts w:ascii="仿宋" w:hAnsi="仿宋" w:eastAsia="仿宋"/>
          <w:b w:val="0"/>
          <w:i w:val="0"/>
          <w:color w:val="000000"/>
          <w:sz w:val="24"/>
        </w:rPr>
        <w:t>真实需求测试中阶段三占比（71.8%）高于小规模测试（37.7%），原因在于30条需求包含大量跨领域实体（如HVAC管道、消防门、无障碍坡道等），每个实体均需独立执行向量检索与验证。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6"/>
      </w:tblGrid>
      <w:tr>
        <w:tc>
          <w:tcPr>
            <w:tcW w:type="dxa" w:w="8646"/>
            <w:shd w:val="clear" w:color="auto" w:fill="FFF2CC"/>
          </w:tcPr>
          <w:p>
            <w:pPr>
              <w:spacing w:after="40"/>
            </w:pPr>
            <w:r>
              <w:rPr>
                <w:rFonts w:ascii="仿宋" w:hAnsi="仿宋" w:eastAsia="仿宋"/>
                <w:b/>
                <w:i w:val="0"/>
                <w:color w:val="0000B4"/>
                <w:sz w:val="20"/>
              </w:rPr>
              <w:t>【图表需求 - 待创建】</w:t>
            </w:r>
          </w:p>
          <w:p>
            <w:pPr>
              <w:spacing w:after="40"/>
            </w:pPr>
          </w:p>
          <w:p>
            <w:pPr>
              <w:spacing w:after="40"/>
            </w:pPr>
            <w:r>
              <w:rPr>
                <w:rFonts w:ascii="仿宋" w:hAnsi="仿宋" w:eastAsia="仿宋"/>
                <w:b/>
                <w:i w:val="0"/>
                <w:color w:val="0000B4"/>
                <w:sz w:val="20"/>
              </w:rPr>
              <w:t>表5.2 三类测试核心指标对比表</w:t>
            </w:r>
          </w:p>
          <w:p>
            <w:pPr>
              <w:spacing w:after="40"/>
            </w:pPr>
            <w:r>
              <w:rPr>
                <w:rFonts w:ascii="仿宋" w:hAnsi="仿宋" w:eastAsia="仿宋"/>
                <w:b w:val="0"/>
                <w:i w:val="0"/>
                <w:color w:val="646464"/>
                <w:sz w:val="20"/>
              </w:rPr>
              <w:t xml:space="preserve">- </w:t>
            </w:r>
            <w:r>
              <w:rPr>
                <w:rFonts w:ascii="仿宋" w:hAnsi="仿宋" w:eastAsia="仿宋"/>
                <w:b/>
                <w:i w:val="0"/>
                <w:color w:val="0000B4"/>
                <w:sz w:val="20"/>
              </w:rPr>
              <w:t>位置</w:t>
            </w:r>
            <w:r>
              <w:rPr>
                <w:rFonts w:ascii="仿宋" w:hAnsi="仿宋" w:eastAsia="仿宋"/>
                <w:b w:val="0"/>
                <w:i w:val="0"/>
                <w:color w:val="646464"/>
                <w:sz w:val="20"/>
              </w:rPr>
              <w:t>：此处（5.5.3节末）</w:t>
            </w:r>
          </w:p>
          <w:p>
            <w:pPr>
              <w:spacing w:after="40"/>
            </w:pPr>
            <w:r>
              <w:rPr>
                <w:rFonts w:ascii="仿宋" w:hAnsi="仿宋" w:eastAsia="仿宋"/>
                <w:b w:val="0"/>
                <w:i w:val="0"/>
                <w:color w:val="646464"/>
                <w:sz w:val="20"/>
              </w:rPr>
              <w:t xml:space="preserve">- </w:t>
            </w:r>
            <w:r>
              <w:rPr>
                <w:rFonts w:ascii="仿宋" w:hAnsi="仿宋" w:eastAsia="仿宋"/>
                <w:b/>
                <w:i w:val="0"/>
                <w:color w:val="0000B4"/>
                <w:sz w:val="20"/>
              </w:rPr>
              <w:t>格式</w:t>
            </w:r>
            <w:r>
              <w:rPr>
                <w:rFonts w:ascii="仿宋" w:hAnsi="仿宋" w:eastAsia="仿宋"/>
                <w:b w:val="0"/>
                <w:i w:val="0"/>
                <w:color w:val="646464"/>
                <w:sz w:val="20"/>
              </w:rPr>
              <w:t>：四列（测试类型 | 成功率/匹配率 | 平均响应时间 | 阶段三占比）</w:t>
            </w:r>
          </w:p>
          <w:p>
            <w:pPr>
              <w:spacing w:after="40"/>
            </w:pPr>
          </w:p>
          <w:p>
            <w:pPr>
              <w:spacing w:after="40"/>
            </w:pPr>
            <w:r>
              <w:rPr>
                <w:rFonts w:ascii="仿宋" w:hAnsi="仿宋" w:eastAsia="仿宋"/>
                <w:b/>
                <w:i w:val="0"/>
                <w:color w:val="0000B4"/>
                <w:sz w:val="20"/>
              </w:rPr>
              <w:t>图5.3 各阶段耗时占比对比图</w:t>
            </w:r>
          </w:p>
          <w:p>
            <w:pPr>
              <w:spacing w:after="40"/>
            </w:pPr>
            <w:r>
              <w:rPr>
                <w:rFonts w:ascii="仿宋" w:hAnsi="仿宋" w:eastAsia="仿宋"/>
                <w:b w:val="0"/>
                <w:i w:val="0"/>
                <w:color w:val="646464"/>
                <w:sz w:val="20"/>
              </w:rPr>
              <w:t xml:space="preserve">- </w:t>
            </w:r>
            <w:r>
              <w:rPr>
                <w:rFonts w:ascii="仿宋" w:hAnsi="仿宋" w:eastAsia="仿宋"/>
                <w:b/>
                <w:i w:val="0"/>
                <w:color w:val="0000B4"/>
                <w:sz w:val="20"/>
              </w:rPr>
              <w:t>位置</w:t>
            </w:r>
            <w:r>
              <w:rPr>
                <w:rFonts w:ascii="仿宋" w:hAnsi="仿宋" w:eastAsia="仿宋"/>
                <w:b w:val="0"/>
                <w:i w:val="0"/>
                <w:color w:val="646464"/>
                <w:sz w:val="20"/>
              </w:rPr>
              <w:t>：此处（5.5.3节末）</w:t>
            </w:r>
          </w:p>
          <w:p>
            <w:pPr>
              <w:spacing w:after="40"/>
            </w:pPr>
            <w:r>
              <w:rPr>
                <w:rFonts w:ascii="仿宋" w:hAnsi="仿宋" w:eastAsia="仿宋"/>
                <w:b w:val="0"/>
                <w:i w:val="0"/>
                <w:color w:val="646464"/>
                <w:sz w:val="20"/>
              </w:rPr>
              <w:t xml:space="preserve">- </w:t>
            </w:r>
            <w:r>
              <w:rPr>
                <w:rFonts w:ascii="仿宋" w:hAnsi="仿宋" w:eastAsia="仿宋"/>
                <w:b/>
                <w:i w:val="0"/>
                <w:color w:val="0000B4"/>
                <w:sz w:val="20"/>
              </w:rPr>
              <w:t>类型</w:t>
            </w:r>
            <w:r>
              <w:rPr>
                <w:rFonts w:ascii="仿宋" w:hAnsi="仿宋" w:eastAsia="仿宋"/>
                <w:b w:val="0"/>
                <w:i w:val="0"/>
                <w:color w:val="646464"/>
                <w:sz w:val="20"/>
              </w:rPr>
              <w:t>：堆叠柱状图</w:t>
            </w:r>
          </w:p>
          <w:p>
            <w:pPr>
              <w:spacing w:after="40"/>
            </w:pPr>
            <w:r>
              <w:rPr>
                <w:rFonts w:ascii="仿宋" w:hAnsi="仿宋" w:eastAsia="仿宋"/>
                <w:b w:val="0"/>
                <w:i w:val="0"/>
                <w:color w:val="646464"/>
                <w:sz w:val="20"/>
              </w:rPr>
              <w:t xml:space="preserve">- </w:t>
            </w:r>
            <w:r>
              <w:rPr>
                <w:rFonts w:ascii="仿宋" w:hAnsi="仿宋" w:eastAsia="仿宋"/>
                <w:b/>
                <w:i w:val="0"/>
                <w:color w:val="0000B4"/>
                <w:sz w:val="20"/>
              </w:rPr>
              <w:t>内容要点</w:t>
            </w:r>
            <w:r>
              <w:rPr>
                <w:rFonts w:ascii="仿宋" w:hAnsi="仿宋" w:eastAsia="仿宋"/>
                <w:b w:val="0"/>
                <w:i w:val="0"/>
                <w:color w:val="646464"/>
                <w:sz w:val="20"/>
              </w:rPr>
              <w:t>：三类测试中阶段一至五的耗时占比对比</w:t>
            </w:r>
          </w:p>
        </w:tc>
      </w:tr>
    </w:tbl>
    <w:p/>
    <w:p>
      <w:pPr>
        <w:pStyle w:val="Heading2"/>
      </w:pPr>
      <w:r>
        <w:rPr>
          <w:rFonts w:ascii="仿宋" w:hAnsi="仿宋" w:eastAsia="仿宋"/>
          <w:b/>
          <w:i w:val="0"/>
          <w:color w:val="000000"/>
          <w:sz w:val="28"/>
        </w:rPr>
        <w:t>5.6 本章小结</w:t>
      </w:r>
    </w:p>
    <w:p>
      <w:pPr>
        <w:spacing w:after="120"/>
      </w:pPr>
      <w:r>
        <w:rPr>
          <w:rFonts w:ascii="仿宋" w:hAnsi="仿宋" w:eastAsia="仿宋"/>
          <w:b w:val="0"/>
          <w:i w:val="0"/>
          <w:color w:val="000000"/>
          <w:sz w:val="24"/>
        </w:rPr>
        <w:t>本章阐述了系统的前端界面、后端服务、安全机制与IFC合规性审查模块的具体实现，并基于三类实验数据对系统性能进行了定量分析。前端基于Next.js 15与React 19构建，包含登录注册、IDS生成、任务管理、审查报告四个页面，支持中英文双语切换。后端采用Next.js API Routes与Python FastAPI双模块架构，数据存储使用MongoDB与GridFS[58]，任务状态采用8种状态枚举的有限状态机模型。安全机制涵盖用户认证、三级速率限制、安全响应头配置与文件上传校验。IFC合规性审查模块集成ifctester与ifcopenshell[16]，支持JSON、HTML、BCF三种报告格式。</w:t>
      </w:r>
    </w:p>
    <w:p>
      <w:pPr>
        <w:spacing w:after="120"/>
      </w:pPr>
      <w:r>
        <w:rPr>
          <w:rFonts w:ascii="仿宋" w:hAnsi="仿宋" w:eastAsia="仿宋"/>
          <w:b w:val="0"/>
          <w:i w:val="0"/>
          <w:color w:val="000000"/>
          <w:sz w:val="24"/>
        </w:rPr>
        <w:t>测试结果表明：小规模精确性测试中Pipeline成功率为100%（39/39次），平均响应时间28.27秒；大规模鲁棒性测试中IDS匹配率为100%（45/45），Requirements保留率72.2%（57/79）；真实需求测试中成功率为90%（27/30条）。三类测试一致表明阶段三（知识库映射）是主要性能瓶颈，占总时间的37.7%-71.8%。阶段四（约束提取）因采用纯正则表达式策略，耗时接近于零。系统在大规模测试中达到100%匹配率与72.2%的Requirements保留率，为第四章Pipeline架构与第三章系统设计提供了实验层面的支撑。系统当前的局限性在于：当输入涉及细粒度propertySet约束时，Requirements保留率仍有提升空间；阶段三的向量检索耗时随输入规模线性增长，需进一步优化索引结构。</w:t>
      </w:r>
    </w:p>
    <w:p>
      <w:pPr>
        <w:pStyle w:val="Heading2"/>
      </w:pPr>
      <w:r>
        <w:rPr>
          <w:rFonts w:ascii="仿宋" w:hAnsi="仿宋" w:eastAsia="仿宋"/>
          <w:b/>
          <w:i w:val="0"/>
          <w:color w:val="000000"/>
          <w:sz w:val="28"/>
        </w:rPr>
        <w:t>第五章引用参考文献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val="clear" w:color="auto" w:fill="2E75B6"/>
          </w:tcPr>
          <w:p>
            <w:pPr>
              <w:jc w:val="center"/>
            </w:pPr>
            <w:r/>
            <w:r>
              <w:rPr>
                <w:rFonts w:ascii="仿宋" w:hAnsi="仿宋" w:eastAsia="仿宋"/>
                <w:b/>
                <w:i w:val="0"/>
                <w:color w:val="FFFFFF"/>
                <w:sz w:val="21"/>
              </w:rPr>
              <w:t>编号</w:t>
            </w:r>
          </w:p>
        </w:tc>
        <w:tc>
          <w:tcPr>
            <w:tcW w:type="dxa" w:w="4323"/>
            <w:shd w:val="clear" w:color="auto" w:fill="2E75B6"/>
          </w:tcPr>
          <w:p>
            <w:pPr>
              <w:jc w:val="center"/>
            </w:pPr>
            <w:r/>
            <w:r>
              <w:rPr>
                <w:rFonts w:ascii="仿宋" w:hAnsi="仿宋" w:eastAsia="仿宋"/>
                <w:b/>
                <w:i w:val="0"/>
                <w:color w:val="FFFFFF"/>
                <w:sz w:val="21"/>
              </w:rPr>
              <w:t>引用信息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[11]</w:t>
            </w:r>
          </w:p>
        </w:tc>
        <w:tc>
          <w:tcPr>
            <w:tcW w:type="dxa" w:w="4323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Chen Z, et al. Large language model-based automated compliance checking for building designs[J]. 2024.</w:t>
            </w:r>
          </w:p>
        </w:tc>
      </w:tr>
      <w:tr>
        <w:tc>
          <w:tcPr>
            <w:tcW w:type="dxa" w:w="4323"/>
            <w:shd w:val="clear" w:color="auto" w:fill="F2F7FC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[16]</w:t>
            </w:r>
          </w:p>
        </w:tc>
        <w:tc>
          <w:tcPr>
            <w:tcW w:type="dxa" w:w="4323"/>
            <w:shd w:val="clear" w:color="auto" w:fill="F2F7FC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Krijnen T, et al. IfcOpenShell — Open source IFC toolkit[EB/OL]. https://ifcopenshell.org/.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[46]</w:t>
            </w:r>
          </w:p>
        </w:tc>
        <w:tc>
          <w:tcPr>
            <w:tcW w:type="dxa" w:w="4323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Chen J, et al. BGE M3-Embedding: Multi-Lingual, Multi-Functionality, Multi-Granularity[M]. 2024.</w:t>
            </w:r>
          </w:p>
        </w:tc>
      </w:tr>
      <w:tr>
        <w:tc>
          <w:tcPr>
            <w:tcW w:type="dxa" w:w="4323"/>
            <w:shd w:val="clear" w:color="auto" w:fill="F2F7FC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[47]</w:t>
            </w:r>
          </w:p>
        </w:tc>
        <w:tc>
          <w:tcPr>
            <w:tcW w:type="dxa" w:w="4323"/>
            <w:shd w:val="clear" w:color="auto" w:fill="F2F7FC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Johnson J, Douze M, Jégou H. Billion-scale similarity search with GPUs[J]. IEEE Transactions on Big Data, 2021, 7(3): 535-547.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[54]</w:t>
            </w:r>
          </w:p>
        </w:tc>
        <w:tc>
          <w:tcPr>
            <w:tcW w:type="dxa" w:w="4323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Ellul C, Loo R, Floros G. Exploring the potential of NoSQL databases for a BIM and 3DGIS enabled location framework[J]. ISPRS Annals, 2024.</w:t>
            </w:r>
          </w:p>
        </w:tc>
      </w:tr>
      <w:tr>
        <w:tc>
          <w:tcPr>
            <w:tcW w:type="dxa" w:w="4323"/>
            <w:shd w:val="clear" w:color="auto" w:fill="F2F7FC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[58]</w:t>
            </w:r>
          </w:p>
        </w:tc>
        <w:tc>
          <w:tcPr>
            <w:tcW w:type="dxa" w:w="4323"/>
            <w:shd w:val="clear" w:color="auto" w:fill="F2F7FC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Lv Z, Li X, Lv H, Xiu W. BIM big data storage in WebVRGIS[J]. IEEE Transactions on Industrial Informatics, 2020, 16(4): 2566-2573.</w:t>
            </w:r>
          </w:p>
        </w:tc>
      </w:tr>
    </w:tbl>
    <w:p/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