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BAAF2" w14:textId="77777777" w:rsidR="009650D8" w:rsidRDefault="009650D8" w:rsidP="009650D8">
      <w:pPr>
        <w:rPr>
          <w:b/>
          <w:bCs/>
        </w:rPr>
      </w:pPr>
      <w:r w:rsidRPr="009650D8">
        <w:rPr>
          <w:b/>
          <w:bCs/>
        </w:rPr>
        <w:t xml:space="preserve">COVID-19 Global Impact Dashboard </w:t>
      </w:r>
    </w:p>
    <w:p w14:paraId="01F222A6" w14:textId="0CCFD85A" w:rsidR="009650D8" w:rsidRPr="009650D8" w:rsidRDefault="009650D8" w:rsidP="009650D8">
      <w:pPr>
        <w:rPr>
          <w:b/>
          <w:bCs/>
        </w:rPr>
      </w:pPr>
      <w:r w:rsidRPr="009650D8">
        <w:rPr>
          <w:b/>
          <w:bCs/>
        </w:rPr>
        <w:t>— Day 2 Findings</w:t>
      </w:r>
    </w:p>
    <w:p w14:paraId="4127FEB7" w14:textId="77777777" w:rsidR="009650D8" w:rsidRPr="009650D8" w:rsidRDefault="009650D8" w:rsidP="009650D8">
      <w:pPr>
        <w:rPr>
          <w:b/>
          <w:bCs/>
        </w:rPr>
      </w:pPr>
      <w:r w:rsidRPr="009650D8">
        <w:rPr>
          <w:b/>
          <w:bCs/>
        </w:rPr>
        <w:t>Data period: January 1, 2020 – August 14, 2024</w:t>
      </w:r>
    </w:p>
    <w:p w14:paraId="3663861B" w14:textId="77777777" w:rsidR="009650D8" w:rsidRPr="009650D8" w:rsidRDefault="009650D8" w:rsidP="009650D8">
      <w:pPr>
        <w:rPr>
          <w:b/>
          <w:bCs/>
        </w:rPr>
      </w:pPr>
      <w:r w:rsidRPr="009650D8">
        <w:rPr>
          <w:b/>
          <w:bCs/>
        </w:rPr>
        <w:t>1. Largest Reported Case Wave</w:t>
      </w:r>
    </w:p>
    <w:p w14:paraId="231C7933" w14:textId="77777777" w:rsidR="009650D8" w:rsidRPr="009650D8" w:rsidRDefault="009650D8" w:rsidP="009650D8">
      <w:pPr>
        <w:rPr>
          <w:b/>
          <w:bCs/>
        </w:rPr>
      </w:pPr>
      <w:r w:rsidRPr="009650D8">
        <w:rPr>
          <w:b/>
          <w:bCs/>
        </w:rPr>
        <w:t>The dataset contains reported COVID-19 cases across multiple countries and dates. The largest country-level seven-day average of new cases needs to be identified using the rolling-average analysis. This metric helps identify the most significant reported case wave in an individual country.</w:t>
      </w:r>
    </w:p>
    <w:p w14:paraId="166266A2" w14:textId="77777777" w:rsidR="009650D8" w:rsidRPr="009650D8" w:rsidRDefault="009650D8" w:rsidP="009650D8">
      <w:pPr>
        <w:rPr>
          <w:b/>
          <w:bCs/>
        </w:rPr>
      </w:pPr>
      <w:r w:rsidRPr="009650D8">
        <w:rPr>
          <w:b/>
          <w:bCs/>
        </w:rPr>
        <w:t>2. Global Case Peak</w:t>
      </w:r>
    </w:p>
    <w:p w14:paraId="580804CE" w14:textId="77777777" w:rsidR="009650D8" w:rsidRPr="009650D8" w:rsidRDefault="009650D8" w:rsidP="009650D8">
      <w:pPr>
        <w:rPr>
          <w:b/>
          <w:bCs/>
        </w:rPr>
      </w:pPr>
      <w:r w:rsidRPr="009650D8">
        <w:rPr>
          <w:b/>
          <w:bCs/>
        </w:rPr>
        <w:t>The analysis covers the period from January 2020 to August 2024. The exact date and magnitude of the highest global seven-day average of reported new cases must be calculated from daily country-level totals. A seven-day rolling average helps smooth short-term fluctuations and reporting variations.</w:t>
      </w:r>
    </w:p>
    <w:p w14:paraId="46AD3644" w14:textId="77777777" w:rsidR="009650D8" w:rsidRPr="009650D8" w:rsidRDefault="009650D8" w:rsidP="009650D8">
      <w:pPr>
        <w:rPr>
          <w:b/>
          <w:bCs/>
        </w:rPr>
      </w:pPr>
      <w:r w:rsidRPr="009650D8">
        <w:rPr>
          <w:b/>
          <w:bCs/>
        </w:rPr>
        <w:t>3. Cases per Million</w:t>
      </w:r>
    </w:p>
    <w:p w14:paraId="7E07A9F6" w14:textId="77777777" w:rsidR="009650D8" w:rsidRPr="009650D8" w:rsidRDefault="009650D8" w:rsidP="009650D8">
      <w:pPr>
        <w:rPr>
          <w:b/>
          <w:bCs/>
        </w:rPr>
      </w:pPr>
      <w:r w:rsidRPr="009650D8">
        <w:rPr>
          <w:b/>
          <w:bCs/>
        </w:rPr>
        <w:t>The latest country-level summary showed high reported cumulative cases per million in San Marino (741,418.25), Switzerland (507,026.47), Singapore (532,073.56), and Marshall Islands (406,469.78). Cases per million provide a population-normalized comparison between locations, although differences in testing and reporting can affect the results.</w:t>
      </w:r>
    </w:p>
    <w:p w14:paraId="07104BB7" w14:textId="77777777" w:rsidR="009650D8" w:rsidRPr="009650D8" w:rsidRDefault="009650D8" w:rsidP="009650D8">
      <w:pPr>
        <w:rPr>
          <w:b/>
          <w:bCs/>
        </w:rPr>
      </w:pPr>
      <w:r w:rsidRPr="009650D8">
        <w:rPr>
          <w:b/>
          <w:bCs/>
        </w:rPr>
        <w:t>4. Vaccination Coverage</w:t>
      </w:r>
    </w:p>
    <w:p w14:paraId="17355D03" w14:textId="77777777" w:rsidR="009650D8" w:rsidRPr="009650D8" w:rsidRDefault="009650D8" w:rsidP="009650D8">
      <w:pPr>
        <w:rPr>
          <w:b/>
          <w:bCs/>
        </w:rPr>
      </w:pPr>
      <w:r w:rsidRPr="009650D8">
        <w:rPr>
          <w:b/>
          <w:bCs/>
        </w:rPr>
        <w:t>Reported vaccination coverage varied across locations. Gibraltar recorded 129.07%, Tokelau 116.38%, and Qatar 105.83% in the displayed data. Coverage above 100% may reflect differences between reported vaccination counts and population estimates. These values should be investigated and interpreted carefully rather than treated as literal coverage of more than the population.</w:t>
      </w:r>
    </w:p>
    <w:p w14:paraId="753DF209" w14:textId="77777777" w:rsidR="009650D8" w:rsidRPr="009650D8" w:rsidRDefault="009650D8" w:rsidP="009650D8">
      <w:pPr>
        <w:rPr>
          <w:b/>
          <w:bCs/>
        </w:rPr>
      </w:pPr>
      <w:r w:rsidRPr="009650D8">
        <w:rPr>
          <w:b/>
          <w:bCs/>
        </w:rPr>
        <w:t>5. Cases Versus Deaths</w:t>
      </w:r>
    </w:p>
    <w:p w14:paraId="647B3B14" w14:textId="77777777" w:rsidR="009650D8" w:rsidRPr="009650D8" w:rsidRDefault="009650D8" w:rsidP="009650D8">
      <w:pPr>
        <w:rPr>
          <w:b/>
          <w:bCs/>
        </w:rPr>
      </w:pPr>
      <w:r w:rsidRPr="009650D8">
        <w:rPr>
          <w:b/>
          <w:bCs/>
        </w:rPr>
        <w:t>The dataset's median daily new cases and new deaths were both zero, while their respective means were approximately 5,968 cases and 57 deaths per country-date record. This indicates a highly uneven distribution of reported values. The exact global case and death peak dates, and the number of days between them, require further calculation. Differences in peak timing can describe how reported trends evolved but do not establish causation.</w:t>
      </w:r>
    </w:p>
    <w:p w14:paraId="66965930" w14:textId="77777777" w:rsidR="009650D8" w:rsidRPr="009650D8" w:rsidRDefault="009650D8" w:rsidP="009650D8">
      <w:pPr>
        <w:rPr>
          <w:b/>
          <w:bCs/>
        </w:rPr>
      </w:pPr>
      <w:r w:rsidRPr="009650D8">
        <w:rPr>
          <w:b/>
          <w:bCs/>
        </w:rPr>
        <w:t>Conclusion</w:t>
      </w:r>
    </w:p>
    <w:p w14:paraId="30E867FF" w14:textId="77777777" w:rsidR="009650D8" w:rsidRPr="009650D8" w:rsidRDefault="009650D8" w:rsidP="009650D8">
      <w:pPr>
        <w:rPr>
          <w:b/>
          <w:bCs/>
        </w:rPr>
      </w:pPr>
      <w:r w:rsidRPr="009650D8">
        <w:rPr>
          <w:b/>
          <w:bCs/>
        </w:rPr>
        <w:lastRenderedPageBreak/>
        <w:t xml:space="preserve">This project demonstrates the use of Python, Pandas, and data visualization to clean COVID-19 data, calculate rolling averages, compare reported case rates, and </w:t>
      </w:r>
      <w:proofErr w:type="spellStart"/>
      <w:r w:rsidRPr="009650D8">
        <w:rPr>
          <w:b/>
          <w:bCs/>
        </w:rPr>
        <w:t>analyze</w:t>
      </w:r>
      <w:proofErr w:type="spellEnd"/>
      <w:r w:rsidRPr="009650D8">
        <w:rPr>
          <w:b/>
          <w:bCs/>
        </w:rPr>
        <w:t xml:space="preserve"> vaccination coverage. Missing values, reporting differences, population estimates, and historical revisions must be considered when interpreting the results. The analysis alone cannot establish that vaccination caused a reduction in deaths.</w:t>
      </w:r>
    </w:p>
    <w:p w14:paraId="6F6BE73D" w14:textId="77777777" w:rsidR="002960A6" w:rsidRDefault="002960A6"/>
    <w:sectPr w:rsidR="002960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5152C"/>
    <w:multiLevelType w:val="multilevel"/>
    <w:tmpl w:val="FDA2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0244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FBE"/>
    <w:rsid w:val="00097FBE"/>
    <w:rsid w:val="002960A6"/>
    <w:rsid w:val="002B20CA"/>
    <w:rsid w:val="009650D8"/>
    <w:rsid w:val="009F4377"/>
    <w:rsid w:val="00F17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F8792"/>
  <w15:chartTrackingRefBased/>
  <w15:docId w15:val="{5FA0629B-A408-44E1-B5D1-A8D5D4C43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7723">
      <w:bodyDiv w:val="1"/>
      <w:marLeft w:val="0"/>
      <w:marRight w:val="0"/>
      <w:marTop w:val="0"/>
      <w:marBottom w:val="0"/>
      <w:divBdr>
        <w:top w:val="none" w:sz="0" w:space="0" w:color="auto"/>
        <w:left w:val="none" w:sz="0" w:space="0" w:color="auto"/>
        <w:bottom w:val="none" w:sz="0" w:space="0" w:color="auto"/>
        <w:right w:val="none" w:sz="0" w:space="0" w:color="auto"/>
      </w:divBdr>
    </w:div>
    <w:div w:id="1335763543">
      <w:bodyDiv w:val="1"/>
      <w:marLeft w:val="0"/>
      <w:marRight w:val="0"/>
      <w:marTop w:val="0"/>
      <w:marBottom w:val="0"/>
      <w:divBdr>
        <w:top w:val="none" w:sz="0" w:space="0" w:color="auto"/>
        <w:left w:val="none" w:sz="0" w:space="0" w:color="auto"/>
        <w:bottom w:val="none" w:sz="0" w:space="0" w:color="auto"/>
        <w:right w:val="none" w:sz="0" w:space="0" w:color="auto"/>
      </w:divBdr>
    </w:div>
    <w:div w:id="1447385160">
      <w:bodyDiv w:val="1"/>
      <w:marLeft w:val="0"/>
      <w:marRight w:val="0"/>
      <w:marTop w:val="0"/>
      <w:marBottom w:val="0"/>
      <w:divBdr>
        <w:top w:val="none" w:sz="0" w:space="0" w:color="auto"/>
        <w:left w:val="none" w:sz="0" w:space="0" w:color="auto"/>
        <w:bottom w:val="none" w:sz="0" w:space="0" w:color="auto"/>
        <w:right w:val="none" w:sz="0" w:space="0" w:color="auto"/>
      </w:divBdr>
    </w:div>
    <w:div w:id="1586986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2026-10-15T07:55:00Z</dcterms:created>
  <dcterms:modified xsi:type="dcterms:W3CDTF">2026-10-15T08:46:00Z</dcterms:modified>
</cp:coreProperties>
</file>