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项目季度报告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本季度我们完成了三项关键交付，整体进度符合预期。团队在性能优化上投入了较多精力，效果显著。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下季度计划聚焦稳定性与可观测性，减少线上故障恢复时间，提升整体可用性指标。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指标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Q2 实际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Q3 目标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可用性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99.95%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99.99%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P95 延迟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320ms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200ms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故障恢复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45min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15min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