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240" w:line="480"/>
        <w:jc w:val="center"/>
      </w:pPr>
      <w:r>
        <w:rPr>
          <w:rFonts w:ascii="Times New Roman" w:cs="Times New Roman" w:eastAsia="Times New Roman" w:hAnsi="Times New Roman"/>
          <w:b/>
          <w:bCs/>
          <w:color w:val="000000"/>
          <w:sz w:val="24"/>
          <w:szCs w:val="24"/>
        </w:rPr>
        <w:t xml:space="preserve">Modelo de Venta, Cobro y Pasarela de Pagos</w:t>
      </w:r>
    </w:p>
    <w:p>
      <w:pPr>
        <w:spacing w:after="0" w:line="480"/>
        <w:ind w:firstLine="720"/>
      </w:pPr>
      <w:r>
        <w:rPr>
          <w:rFonts w:ascii="Times New Roman" w:cs="Times New Roman" w:eastAsia="Times New Roman" w:hAnsi="Times New Roman"/>
          <w:sz w:val="24"/>
          <w:szCs w:val="24"/>
        </w:rPr>
        <w:t xml:space="preserve">Esta sección complementa la Fase 1 (supuestos financieros, Tabla 1) y explica cómo Comunify vende su servicio, cómo recibe los pagos en Colombia y cada cuánto respalda la información. Los precios y supuestos no cambian: se toman del formato FIN-01 del documento.</w:t>
      </w:r>
    </w:p>
    <w:p>
      <w:pPr>
        <w:pStyle w:val="Heading2"/>
        <w:keepNext/>
        <w:spacing w:line="480"/>
      </w:pPr>
      <w:r>
        <w:rPr>
          <w:rFonts w:ascii="Times New Roman" w:cs="Times New Roman" w:eastAsia="Times New Roman" w:hAnsi="Times New Roman"/>
          <w:b/>
          <w:bCs/>
          <w:color w:val="000000"/>
          <w:sz w:val="24"/>
          <w:szCs w:val="24"/>
        </w:rPr>
        <w:t xml:space="preserve">Modelo de venta: suscripción con carrito de compra</w:t>
      </w:r>
    </w:p>
    <w:p>
      <w:pPr>
        <w:spacing w:after="0" w:line="480"/>
        <w:ind w:firstLine="720"/>
      </w:pPr>
      <w:r>
        <w:rPr>
          <w:rFonts w:ascii="Times New Roman" w:cs="Times New Roman" w:eastAsia="Times New Roman" w:hAnsi="Times New Roman"/>
          <w:sz w:val="24"/>
          <w:szCs w:val="24"/>
        </w:rPr>
        <w:t xml:space="preserve">Comunify es un servicio de suscripción (SaaS) y no vende bienes, como ya se indica en la cuenta de pérdidas y ganancias (Tabla 15). El cliente es el conjunto residencial, representado por su administrador, y todos los valores se cobran en pesos colombianos (COP). La compra se hace en la página «Planes» del sitio mediante un carrito con dos productos, descritos en la Tabla 19.</w:t>
      </w:r>
    </w:p>
    <w:p>
      <w:pPr>
        <w:keepNext/>
        <w:spacing w:before="240" w:line="480"/>
      </w:pPr>
      <w:r>
        <w:rPr>
          <w:rFonts w:ascii="Times New Roman" w:cs="Times New Roman" w:eastAsia="Times New Roman" w:hAnsi="Times New Roman"/>
          <w:b/>
          <w:bCs/>
          <w:sz w:val="24"/>
          <w:szCs w:val="24"/>
        </w:rPr>
        <w:t xml:space="preserve">Tabla 19</w:t>
      </w:r>
    </w:p>
    <w:p>
      <w:pPr>
        <w:keepNext/>
        <w:spacing w:line="480"/>
      </w:pPr>
      <w:r>
        <w:rPr>
          <w:rFonts w:ascii="Times New Roman" w:cs="Times New Roman" w:eastAsia="Times New Roman" w:hAnsi="Times New Roman"/>
          <w:i/>
          <w:iCs/>
          <w:sz w:val="24"/>
          <w:szCs w:val="24"/>
        </w:rPr>
        <w:t xml:space="preserve">Productos del carrito de compra de Comunify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500"/>
        <w:gridCol w:w="1700"/>
        <w:gridCol w:w="2360"/>
      </w:tblGrid>
      <w:tr>
        <w:trPr>
          <w:tblHeader/>
        </w:trPr>
        <w:tc>
          <w:tcPr>
            <w:tcW w:type="dxa" w:w="21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Producto</w:t>
            </w:r>
          </w:p>
        </w:tc>
        <w:tc>
          <w:tcPr>
            <w:tcW w:type="dxa" w:w="17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Tipo de cobro</w:t>
            </w:r>
          </w:p>
        </w:tc>
        <w:tc>
          <w:tcPr>
            <w:tcW w:type="dxa" w:w="15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Valor (COP)</w:t>
            </w:r>
          </w:p>
        </w:tc>
        <w:tc>
          <w:tcPr>
            <w:tcW w:type="dxa" w:w="17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Quién lo paga</w:t>
            </w:r>
          </w:p>
        </w:tc>
        <w:tc>
          <w:tcPr>
            <w:tcW w:type="dxa" w:w="23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Detalle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Cuota de instalación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Pago único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2.000.000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Conjunto nuevo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Instalación, códigos QR y capacitación.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Suscripción mensual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mes pagado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450.000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Todo conjunto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 pueden pagar 1, 3, 6 o 12 meses por adelantado, sin descuento.</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Valores tomados de la Tabla 1 (FIN-01). Los precios no incluyen IVA porque el modelo financiero no lo discrimina; el código tiene una constante para activarlo si el contador lo exige.</w:t>
      </w:r>
    </w:p>
    <w:p>
      <w:pPr>
        <w:spacing w:after="0" w:line="480"/>
        <w:ind w:firstLine="720"/>
      </w:pPr>
      <w:r>
        <w:rPr>
          <w:rFonts w:ascii="Times New Roman" w:cs="Times New Roman" w:eastAsia="Times New Roman" w:hAnsi="Times New Roman"/>
          <w:sz w:val="24"/>
          <w:szCs w:val="24"/>
        </w:rPr>
        <w:t xml:space="preserve">Por ejemplo, un conjunto nuevo que paga un mes cancela 2.450.000 COP (2.000.000 de instalación más 450.000 de mensualidad); si paga doce meses cancela 7.400.000 COP. Un conjunto que ya es cliente solo paga la mensualidad: 450.000 COP por mes. Estos valores son coherentes con el punto de equilibrio de la Tabla 18, que se calcula con la mensualidad de 450.000 COP y no incluye las cuotas de instalación.</w:t>
      </w:r>
    </w:p>
    <w:p>
      <w:pPr>
        <w:pStyle w:val="Heading2"/>
        <w:keepNext/>
        <w:spacing w:line="480"/>
      </w:pPr>
      <w:r>
        <w:rPr>
          <w:rFonts w:ascii="Times New Roman" w:cs="Times New Roman" w:eastAsia="Times New Roman" w:hAnsi="Times New Roman"/>
          <w:b/>
          <w:bCs/>
          <w:color w:val="000000"/>
          <w:sz w:val="24"/>
          <w:szCs w:val="24"/>
        </w:rPr>
        <w:t xml:space="preserve">Pasarela de pagos seleccionada: Wompi</w:t>
      </w:r>
    </w:p>
    <w:p>
      <w:pPr>
        <w:spacing w:after="0" w:line="480"/>
        <w:ind w:firstLine="720"/>
      </w:pPr>
      <w:r>
        <w:rPr>
          <w:rFonts w:ascii="Times New Roman" w:cs="Times New Roman" w:eastAsia="Times New Roman" w:hAnsi="Times New Roman"/>
          <w:sz w:val="24"/>
          <w:szCs w:val="24"/>
        </w:rPr>
        <w:t xml:space="preserve">Para recibir los pagos se eligió Wompi, la plataforma de pagos de Bancolombia para comercios en Colombia, que permite a los clientes pagar con PSE, tarjetas débito y crédito, Nequi y otros medios locales (Wompi, s. f.-a). Se usa el modo «Web Checkout», en el que el cliente paga en la página segura de Wompi: Comunify nunca recibe ni guarda números de tarjeta ni claves bancarias, lo que reduce el riesgo y la carga de seguridad del proyecto. Las comisiones de la pasarela dependen del contrato comercial vigente y deben confirmarse al abrir la cuenta; no están incluidas en el modelo financiero actual, que solo contempla la comisión de ventas del 10 %.</w:t>
      </w:r>
    </w:p>
    <w:p>
      <w:pPr>
        <w:spacing w:after="0" w:line="480"/>
        <w:ind w:firstLine="720"/>
      </w:pPr>
      <w:r>
        <w:rPr>
          <w:rFonts w:ascii="Times New Roman" w:cs="Times New Roman" w:eastAsia="Times New Roman" w:hAnsi="Times New Roman"/>
          <w:sz w:val="24"/>
          <w:szCs w:val="24"/>
        </w:rPr>
        <w:t xml:space="preserve">Los pagos aprobados se abonan a la cuenta bancaria registrada del comercio, según el ciclo de abonos definido en el contrato con Wompi. Wompi ofrece un ambiente de pruebas (sandbox) y otro de producción, con llaves distintas, lo que permite probar todo el flujo antes de cobrar dinero real.</w:t>
      </w:r>
    </w:p>
    <w:p>
      <w:pPr>
        <w:pStyle w:val="Heading2"/>
        <w:keepNext/>
        <w:spacing w:line="480"/>
      </w:pPr>
      <w:r>
        <w:rPr>
          <w:rFonts w:ascii="Times New Roman" w:cs="Times New Roman" w:eastAsia="Times New Roman" w:hAnsi="Times New Roman"/>
          <w:b/>
          <w:bCs/>
          <w:color w:val="000000"/>
          <w:sz w:val="24"/>
          <w:szCs w:val="24"/>
        </w:rPr>
        <w:t xml:space="preserve">Flujo de pago</w:t>
      </w:r>
    </w:p>
    <w:p>
      <w:pPr>
        <w:keepNext/>
        <w:spacing w:before="240" w:line="480"/>
      </w:pPr>
      <w:r>
        <w:rPr>
          <w:rFonts w:ascii="Times New Roman" w:cs="Times New Roman" w:eastAsia="Times New Roman" w:hAnsi="Times New Roman"/>
          <w:b/>
          <w:bCs/>
          <w:sz w:val="24"/>
          <w:szCs w:val="24"/>
        </w:rPr>
        <w:t xml:space="preserve">Tabla 20</w:t>
      </w:r>
    </w:p>
    <w:p>
      <w:pPr>
        <w:keepNext/>
        <w:spacing w:line="480"/>
      </w:pPr>
      <w:r>
        <w:rPr>
          <w:rFonts w:ascii="Times New Roman" w:cs="Times New Roman" w:eastAsia="Times New Roman" w:hAnsi="Times New Roman"/>
          <w:i/>
          <w:iCs/>
          <w:sz w:val="24"/>
          <w:szCs w:val="24"/>
        </w:rPr>
        <w:t xml:space="preserve">Flujo de pago de una suscripción en Comunify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Paso</w:t>
            </w:r>
          </w:p>
        </w:tc>
        <w:tc>
          <w:tcPr>
            <w:tcW w:type="dxa" w:w="25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Actor</w:t>
            </w:r>
          </w:p>
        </w:tc>
        <w:tc>
          <w:tcPr>
            <w:tcW w:type="dxa" w:w="61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Qué ocurre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Administrador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En «Planes» elige conjunto nuevo o renovación, escoge los meses y revisa el carrito.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Sitio web</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Envía los datos (NIT, correo, meses) a la función crear-pago de Supabase; no envía precios.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Servidor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Calcula el valor, registra la suscripción y el pago en estado PENDING y firma la operación.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Wompi</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El cliente paga en el Web Checkout con el medio que prefiera.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Wompi → Servidor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Wompi avisa el resultado a la función wompi-webhook, que valida la firma y el valor.</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Servidor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 el pago fue aprobado, activa o renueva la suscripción y calcula la fecha del próximo cobro.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Sitio web</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 página «Resultado del pago» muestra el estado (aprobado, rechazado o en proceso).</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 implementación en supabase/functions y de la documentación de Wompi (s. f.-a, s. f.-b).</w:t>
      </w:r>
    </w:p>
    <w:p>
      <w:pPr>
        <w:spacing w:after="0" w:line="480"/>
        <w:ind w:firstLine="720"/>
      </w:pPr>
      <w:r>
        <w:rPr>
          <w:rFonts w:ascii="Times New Roman" w:cs="Times New Roman" w:eastAsia="Times New Roman" w:hAnsi="Times New Roman"/>
          <w:sz w:val="24"/>
          <w:szCs w:val="24"/>
        </w:rPr>
        <w:t xml:space="preserve">La renovación mensual funciona con el mismo flujo: el administrador entra a «Planes», elige «Ya soy cliente» e ingresa su NIT y correo registrados, y paga solo la mensualidad. La base de datos guarda la fecha del próximo cobro para consultar qué suscripciones están por vencer. El débito automático con tarjeta tokenizada queda como mejora futura.</w:t>
      </w:r>
    </w:p>
    <w:p>
      <w:pPr>
        <w:pStyle w:val="Heading2"/>
        <w:keepNext/>
        <w:spacing w:line="480"/>
      </w:pPr>
      <w:r>
        <w:rPr>
          <w:rFonts w:ascii="Times New Roman" w:cs="Times New Roman" w:eastAsia="Times New Roman" w:hAnsi="Times New Roman"/>
          <w:b/>
          <w:bCs/>
          <w:color w:val="000000"/>
          <w:sz w:val="24"/>
          <w:szCs w:val="24"/>
        </w:rPr>
        <w:t xml:space="preserve">Prueba gratuita, simulador de pagos y control de acceso</w:t>
      </w:r>
    </w:p>
    <w:p>
      <w:pPr>
        <w:spacing w:after="0" w:line="480"/>
        <w:ind w:firstLine="720"/>
      </w:pPr>
      <w:r>
        <w:rPr>
          <w:rFonts w:ascii="Times New Roman" w:cs="Times New Roman" w:eastAsia="Times New Roman" w:hAnsi="Times New Roman"/>
          <w:sz w:val="24"/>
          <w:szCs w:val="24"/>
        </w:rPr>
        <w:t xml:space="preserve">Como Comunify aún es un proyecto académico, el módulo de pagos funciona en dos modos que se cambian con un solo parámetro de configuración. En el modo simulado, el botón de pago lleva a un simulador similar al de un banco, donde el usuario elige PSE, tarjeta o Nequi y el resultado que quiere ver (aprobado, rechazado o error); no se mueve dinero real ni se necesita cuenta en la pasarela. En el modo real se usa Wompi. En ambos modos el servidor calcula el valor y aplica el resultado con la misma lógica, de modo que pasar de la demostración a la operación real no exige cambiar el resto del sistema.</w:t>
      </w:r>
    </w:p>
    <w:p>
      <w:pPr>
        <w:spacing w:after="0" w:line="480"/>
        <w:ind w:firstLine="720"/>
      </w:pPr>
      <w:r>
        <w:rPr>
          <w:rFonts w:ascii="Times New Roman" w:cs="Times New Roman" w:eastAsia="Times New Roman" w:hAnsi="Times New Roman"/>
          <w:sz w:val="24"/>
          <w:szCs w:val="24"/>
        </w:rPr>
        <w:t xml:space="preserve">Además, cada conjunto puede usar la plataforma gratis durante 7 días, sin tarjeta, una sola vez por NIT y por correo. Cuando la prueba o la suscripción termina, la plataforma se bloquea: las pantallas de reporte, consulta y administración muestran un aviso que pregunta al usuario si desea suscribirse, y la base de datos rechaza la creación de nuevas incidencias. Los reportes anteriores se conservan. La Tabla 21 resume los estados.</w:t>
      </w:r>
    </w:p>
    <w:p>
      <w:pPr>
        <w:keepNext/>
        <w:spacing w:before="240" w:line="480"/>
      </w:pPr>
      <w:r>
        <w:rPr>
          <w:rFonts w:ascii="Times New Roman" w:cs="Times New Roman" w:eastAsia="Times New Roman" w:hAnsi="Times New Roman"/>
          <w:b/>
          <w:bCs/>
          <w:sz w:val="24"/>
          <w:szCs w:val="24"/>
        </w:rPr>
        <w:t xml:space="preserve">Tabla 21</w:t>
      </w:r>
    </w:p>
    <w:p>
      <w:pPr>
        <w:keepNext/>
        <w:spacing w:line="480"/>
      </w:pPr>
      <w:r>
        <w:rPr>
          <w:rFonts w:ascii="Times New Roman" w:cs="Times New Roman" w:eastAsia="Times New Roman" w:hAnsi="Times New Roman"/>
          <w:i/>
          <w:iCs/>
          <w:sz w:val="24"/>
          <w:szCs w:val="24"/>
        </w:rPr>
        <w:t xml:space="preserve">Estados de acceso a la plataforma de Comunify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Estado</w:t>
            </w:r>
          </w:p>
        </w:tc>
        <w:tc>
          <w:tcPr>
            <w:tcW w:type="dxa" w:w="30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Cómo se llega</w:t>
            </w:r>
          </w:p>
        </w:tc>
        <w:tc>
          <w:tcPr>
            <w:tcW w:type="dxa" w:w="41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Efecto en la plataforma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Sin suscripción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Ningún conjunto ha iniciado prueba ni pagado.</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Bloqueada; se ofrece «Probar 7 días gratis» o «Ver planes».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Prueba activa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El administrador inicia la prueba gratuita.</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Funciona completa durante 7 días y muestra los días restantes.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Suscripción activa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Pago aprobado (simulado o por Wompi).</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Funciona hasta la fecha del próximo cobro.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Vencida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Terminó la prueba o la fecha de cobro.</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Bloqueada; se pregunta si desea suscribirse. Los datos se conservan.</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Se asume un solo conjunto en operación (piloto Monteclaro); con varios conjuntos, cada incidencia debería ligarse a su suscripción.</w:t>
      </w:r>
    </w:p>
    <w:p>
      <w:pPr>
        <w:pStyle w:val="Heading2"/>
        <w:keepNext/>
        <w:spacing w:line="480"/>
      </w:pPr>
      <w:r>
        <w:rPr>
          <w:rFonts w:ascii="Times New Roman" w:cs="Times New Roman" w:eastAsia="Times New Roman" w:hAnsi="Times New Roman"/>
          <w:b/>
          <w:bCs/>
          <w:color w:val="000000"/>
          <w:sz w:val="24"/>
          <w:szCs w:val="24"/>
        </w:rPr>
        <w:t xml:space="preserve">Página principal, solicitudes de contacto y archivo de tickets</w:t>
      </w:r>
    </w:p>
    <w:p>
      <w:pPr>
        <w:spacing w:after="0" w:line="480"/>
        <w:ind w:firstLine="720"/>
      </w:pPr>
      <w:r>
        <w:rPr>
          <w:rFonts w:ascii="Times New Roman" w:cs="Times New Roman" w:eastAsia="Times New Roman" w:hAnsi="Times New Roman"/>
          <w:sz w:val="24"/>
          <w:szCs w:val="24"/>
        </w:rPr>
        <w:t xml:space="preserve">La página principal explica cómo funciona el servicio para residentes, administración y operación, muestra el resumen de planes y precios, responde las preguntas frecuentes y ofrece el formulario «Regístrate y nosotros te contactamos». Cada solicitud se guarda en la base de datos, con un límite de tres por correo cada 24 horas y un campo oculto para detectar bots, y el administrador la ve en una bandeja donde la marca como contactada. De forma opcional, un servicio de correo avisa al equipo y confirma a quien se registró; si ese servicio no está configurado, la solicitud no se pierde.</w:t>
      </w:r>
    </w:p>
    <w:p>
      <w:pPr>
        <w:spacing w:after="0" w:line="480"/>
        <w:ind w:firstLine="720"/>
      </w:pPr>
      <w:r>
        <w:rPr>
          <w:rFonts w:ascii="Times New Roman" w:cs="Times New Roman" w:eastAsia="Times New Roman" w:hAnsi="Times New Roman"/>
          <w:sz w:val="24"/>
          <w:szCs w:val="24"/>
        </w:rPr>
        <w:t xml:space="preserve">Por otra parte, los tickets resueltos ya no se eliminan: se archivan. Un ticket archivado deja de verse en el panel de activos, pero conserva sus datos y su foto, puede consultarse con su número y puede restaurarse. La base de datos solo permite archivar tickets en estado «Resuelto». Con esto se evita perder el historial de incidencias, que también respalda la política de copias de seguridad.</w:t>
      </w:r>
    </w:p>
    <w:p>
      <w:pPr>
        <w:pStyle w:val="Heading2"/>
        <w:keepNext/>
        <w:spacing w:line="480"/>
      </w:pPr>
      <w:r>
        <w:rPr>
          <w:rFonts w:ascii="Times New Roman" w:cs="Times New Roman" w:eastAsia="Times New Roman" w:hAnsi="Times New Roman"/>
          <w:b/>
          <w:bCs/>
          <w:color w:val="000000"/>
          <w:sz w:val="24"/>
          <w:szCs w:val="24"/>
        </w:rPr>
        <w:t xml:space="preserve">Seguridad del pago</w:t>
      </w:r>
    </w:p>
    <w:p>
      <w:pPr>
        <w:keepNext/>
        <w:spacing w:before="240" w:line="480"/>
      </w:pPr>
      <w:r>
        <w:rPr>
          <w:rFonts w:ascii="Times New Roman" w:cs="Times New Roman" w:eastAsia="Times New Roman" w:hAnsi="Times New Roman"/>
          <w:b/>
          <w:bCs/>
          <w:sz w:val="24"/>
          <w:szCs w:val="24"/>
        </w:rPr>
        <w:t xml:space="preserve">Tabla 22</w:t>
      </w:r>
    </w:p>
    <w:p>
      <w:pPr>
        <w:keepNext/>
        <w:spacing w:line="480"/>
      </w:pPr>
      <w:r>
        <w:rPr>
          <w:rFonts w:ascii="Times New Roman" w:cs="Times New Roman" w:eastAsia="Times New Roman" w:hAnsi="Times New Roman"/>
          <w:i/>
          <w:iCs/>
          <w:sz w:val="24"/>
          <w:szCs w:val="24"/>
        </w:rPr>
        <w:t xml:space="preserve">Medidas de seguridad aplicadas al proceso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Medida</w:t>
            </w:r>
          </w:p>
        </w:tc>
        <w:tc>
          <w:tcPr>
            <w:tcW w:type="dxa" w:w="63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Cómo se aplica en Comunify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Valor calculado en el servidor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El navegador no envía precios; la función crear-pago calcula el total, por lo que nadie puede cambiarlo.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Firma de integridad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Cada pago se firma con SHA-256 usando la referencia, el valor en centavos, la moneda y el secreto de integridad, como exige Wompi (s. f.-a).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Validación del aviso de Wompi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El webhook recalcula el checksum con los datos del evento, la marca de tiempo y el secreto de eventos, y rechaza lo que no coincide (Wompi, s. f.-b).</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Verificación del valor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 el valor pagado no coincide con el calculado, el pago se marca en ERROR y no activa la suscripción.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Sin doble activación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Un pago ya aprobado no se procesa dos veces, aunque Wompi reenvíe el evento.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Acceso a los datos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Las tablas suscripciones y pagos tienen seguridad a nivel de fila: el público no puede leerlas ni escribirlas; solo las funciones del servidor y el administrador.</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Llaves secretas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Los secretos de Wompi se guardan como secretos de Supabase y no se publican en el código ni en GitHub.</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2"/>
        <w:keepNext/>
        <w:spacing w:line="480"/>
      </w:pPr>
      <w:r>
        <w:rPr>
          <w:rFonts w:ascii="Times New Roman" w:cs="Times New Roman" w:eastAsia="Times New Roman" w:hAnsi="Times New Roman"/>
          <w:b/>
          <w:bCs/>
          <w:color w:val="000000"/>
          <w:sz w:val="24"/>
          <w:szCs w:val="24"/>
        </w:rPr>
        <w:t xml:space="preserve">Cumplimiento en Colombia</w:t>
      </w:r>
    </w:p>
    <w:p>
      <w:pPr>
        <w:spacing w:after="0" w:line="480"/>
        <w:ind w:firstLine="720"/>
      </w:pPr>
      <w:r>
        <w:rPr>
          <w:rFonts w:ascii="Times New Roman" w:cs="Times New Roman" w:eastAsia="Times New Roman" w:hAnsi="Times New Roman"/>
          <w:sz w:val="24"/>
          <w:szCs w:val="24"/>
        </w:rPr>
        <w:t xml:space="preserve">Los datos de contacto que se piden en el pago (nombre, correo, NIT y teléfono) se tratan según la Política de datos personales del proyecto, y el formulario exige aceptarla antes de pagar, en línea con la Ley 1581 de 2012. Por cada pago aprobado, la empresa debe emitir la factura electrónica ante la DIAN y definir con su contador el tratamiento del IVA; estos dos trámites no están automatizados en el código y quedan como actividad administrativa de la empresa.</w:t>
      </w:r>
    </w:p>
    <w:p>
      <w:pPr>
        <w:pStyle w:val="Heading2"/>
        <w:keepNext/>
        <w:spacing w:line="480"/>
      </w:pPr>
      <w:r>
        <w:rPr>
          <w:rFonts w:ascii="Times New Roman" w:cs="Times New Roman" w:eastAsia="Times New Roman" w:hAnsi="Times New Roman"/>
          <w:b/>
          <w:bCs/>
          <w:color w:val="000000"/>
          <w:sz w:val="24"/>
          <w:szCs w:val="24"/>
        </w:rPr>
        <w:t xml:space="preserve">Política de copias de respaldo</w:t>
      </w:r>
    </w:p>
    <w:p>
      <w:pPr>
        <w:spacing w:after="0" w:line="480"/>
        <w:ind w:firstLine="720"/>
      </w:pPr>
      <w:r>
        <w:rPr>
          <w:rFonts w:ascii="Times New Roman" w:cs="Times New Roman" w:eastAsia="Times New Roman" w:hAnsi="Times New Roman"/>
          <w:sz w:val="24"/>
          <w:szCs w:val="24"/>
        </w:rPr>
        <w:t xml:space="preserve">La falta de copias de seguridad se identificó como el riesgo R09 (pérdida irreversible de tickets y fotoevidencia). Para controlarlo, ahora también se respaldan los datos financieros (suscripciones y pagos), y la frecuencia queda definida en la Tabla 23 y en la Política de copias de respaldo del sitio.</w:t>
      </w:r>
    </w:p>
    <w:p>
      <w:pPr>
        <w:keepNext/>
        <w:spacing w:before="240" w:line="480"/>
      </w:pPr>
      <w:r>
        <w:rPr>
          <w:rFonts w:ascii="Times New Roman" w:cs="Times New Roman" w:eastAsia="Times New Roman" w:hAnsi="Times New Roman"/>
          <w:b/>
          <w:bCs/>
          <w:sz w:val="24"/>
          <w:szCs w:val="24"/>
        </w:rPr>
        <w:t xml:space="preserve">Tabla 23</w:t>
      </w:r>
    </w:p>
    <w:p>
      <w:pPr>
        <w:keepNext/>
        <w:spacing w:line="480"/>
      </w:pPr>
      <w:r>
        <w:rPr>
          <w:rFonts w:ascii="Times New Roman" w:cs="Times New Roman" w:eastAsia="Times New Roman" w:hAnsi="Times New Roman"/>
          <w:i/>
          <w:iCs/>
          <w:sz w:val="24"/>
          <w:szCs w:val="24"/>
        </w:rPr>
        <w:t xml:space="preserve">Frecuencia y condiciones de las copias de respaldo de Comunify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500"/>
        <w:gridCol w:w="3660"/>
      </w:tblGrid>
      <w:tr>
        <w:trPr>
          <w:tblHeader/>
        </w:trPr>
        <w:tc>
          <w:tcPr>
            <w:tcW w:type="dxa" w:w="25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Qué se respalda</w:t>
            </w:r>
          </w:p>
        </w:tc>
        <w:tc>
          <w:tcPr>
            <w:tcW w:type="dxa" w:w="17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Frecuencia</w:t>
            </w:r>
          </w:p>
        </w:tc>
        <w:tc>
          <w:tcPr>
            <w:tcW w:type="dxa" w:w="15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Se conserva</w:t>
            </w:r>
          </w:p>
        </w:tc>
        <w:tc>
          <w:tcPr>
            <w:tcW w:type="dxa" w:w="36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Cómo se hace</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Base de datos (incidencias, suscripciones, pagos, administradores)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Diaria, 2:00 a. 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30 días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Flujo automático de GitHub Actions con pg_dump, cifrado con AES-256.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Fotos de evidencia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Semanal, domingo 3:00 a. 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60 días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Script que descarga el bucket de Supabase; copia cifrada.</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Código y migraciones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En cada cambio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Indefinido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Repositorio de GitHub (control de versiones).</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Antes de cambios grandes en la base de datos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Manual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30 días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 ejecuta el mismo flujo con «Run workflow».</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Metas de recuperación propuestas: pérdida máxima de 24 horas de datos (RPO) y restauración en menos de 8 horas (RTO). El historial de ejecuciones del flujo sirve como registro de copias. Se prueba la restauración al menos una vez por semestre.</w:t>
      </w:r>
    </w:p>
    <w:p>
      <w:pPr>
        <w:pStyle w:val="Heading2"/>
        <w:keepNext/>
        <w:spacing w:line="480"/>
      </w:pPr>
      <w:r>
        <w:rPr>
          <w:rFonts w:ascii="Times New Roman" w:cs="Times New Roman" w:eastAsia="Times New Roman" w:hAnsi="Times New Roman"/>
          <w:b/>
          <w:bCs/>
          <w:color w:val="000000"/>
          <w:sz w:val="24"/>
          <w:szCs w:val="24"/>
        </w:rPr>
        <w:t xml:space="preserve">Pruebas propuestas para el módulo de pagos</w:t>
      </w:r>
    </w:p>
    <w:p>
      <w:pPr>
        <w:spacing w:after="0" w:line="480"/>
        <w:ind w:firstLine="720"/>
      </w:pPr>
      <w:r>
        <w:rPr>
          <w:rFonts w:ascii="Times New Roman" w:cs="Times New Roman" w:eastAsia="Times New Roman" w:hAnsi="Times New Roman"/>
          <w:sz w:val="24"/>
          <w:szCs w:val="24"/>
        </w:rPr>
        <w:t xml:space="preserve">Las siguientes pruebas deben ejecutarse en el ambiente de pruebas de Wompi antes de pasar a producción. Quedan en estado «Por ejecutar» porque el módulo aún no se ha probado con las llaves de la cuenta del proyecto.</w:t>
      </w:r>
    </w:p>
    <w:p>
      <w:pPr>
        <w:keepNext/>
        <w:spacing w:before="240" w:line="480"/>
      </w:pPr>
      <w:r>
        <w:rPr>
          <w:rFonts w:ascii="Times New Roman" w:cs="Times New Roman" w:eastAsia="Times New Roman" w:hAnsi="Times New Roman"/>
          <w:b/>
          <w:bCs/>
          <w:sz w:val="24"/>
          <w:szCs w:val="24"/>
        </w:rPr>
        <w:t xml:space="preserve">Tabla 24</w:t>
      </w:r>
    </w:p>
    <w:p>
      <w:pPr>
        <w:keepNext/>
        <w:spacing w:line="480"/>
      </w:pPr>
      <w:r>
        <w:rPr>
          <w:rFonts w:ascii="Times New Roman" w:cs="Times New Roman" w:eastAsia="Times New Roman" w:hAnsi="Times New Roman"/>
          <w:i/>
          <w:iCs/>
          <w:sz w:val="24"/>
          <w:szCs w:val="24"/>
        </w:rPr>
        <w:t xml:space="preserve">Pruebas funcionales propuestas para el módulo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660"/>
        <w:gridCol w:w="1900"/>
      </w:tblGrid>
      <w:tr>
        <w:trPr>
          <w:tblHeader/>
        </w:trPr>
        <w:tc>
          <w:tcPr>
            <w:tcW w:type="dxa" w:w="9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ID</w:t>
            </w:r>
          </w:p>
        </w:tc>
        <w:tc>
          <w:tcPr>
            <w:tcW w:type="dxa" w:w="29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Prueba</w:t>
            </w:r>
          </w:p>
        </w:tc>
        <w:tc>
          <w:tcPr>
            <w:tcW w:type="dxa" w:w="366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Resultado esperado</w:t>
            </w:r>
          </w:p>
        </w:tc>
        <w:tc>
          <w:tcPr>
            <w:tcW w:type="dxa" w:w="1900"/>
            <w:tcBorders>
              <w:top w:val="single" w:color="999999" w:sz="4"/>
              <w:left w:val="single" w:color="999999" w:sz="4"/>
              <w:bottom w:val="single" w:color="999999" w:sz="4"/>
              <w:right w:val="single" w:color="999999" w:sz="4"/>
            </w:tcBorders>
            <w:shd w:fill="E6F2F1"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Estado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PF-26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Pago aprobado de un conjunto nuevo (1 mes)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Total de 2.450.000 COP; suscripción en estado «activa» y próximo cobro a un mes.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PF-27</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Pago rechazado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 página muestra «Pago rechazado» y la suscripción no se activa.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PF-28</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Renovación de un cliente existente</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Total de 450.000 COP; el próximo cobro se corre un mes.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PF-29</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Aviso con firma inválida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El webhook responde 401 y no cambia ningún dato.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Aviso repetido de un pago aprobado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 suscripción no suma meses dos veces.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Respaldo y restauración de la base de datos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 copia descifra y restaura con los mismos datos.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PF-32</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Prueba gratuita de 7 días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La plataforma se habilita y muestra los días restantes; una segunda prueba con el mismo NIT o correo se rechaza.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Prueba vencida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Reporte, consulta y panel muestran el bloqueo y la base de datos rechaza nuevas incidencias.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PF-34</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Pago en el simulador (aprobado y rechazado)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Aprobado activa la suscripción y desbloquea; rechazado no la activa.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PF-35</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Archivar un ticket resuelto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Sale del panel de activos, aparece en «Archivados» y se puede restaurar.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Consultar un ticket archivado</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 encuentra con su número en «Consultar ticket».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PF-37</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Solicitud «Regístrate y te contactamos»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Queda guardada y visible en «Solicitudes»; más de 3 del mismo correo en 24 horas se rechazan.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Por ejecutar</w:t>
            </w:r>
          </w:p>
        </w:tc>
      </w:tr>
    </w:tbl>
    <w:p>
      <w:pPr>
        <w:spacing w:after="200" w:before="60" w:line="3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r>
        <w:br w:type="page"/>
      </w:r>
    </w:p>
    <w:p>
      <w:pPr>
        <w:pStyle w:val="Heading1"/>
        <w:keepNext/>
        <w:spacing w:before="240" w:line="480"/>
        <w:jc w:val="center"/>
      </w:pPr>
      <w:r>
        <w:rPr>
          <w:rFonts w:ascii="Times New Roman" w:cs="Times New Roman" w:eastAsia="Times New Roman" w:hAnsi="Times New Roman"/>
          <w:b/>
          <w:bCs/>
          <w:color w:val="000000"/>
          <w:sz w:val="24"/>
          <w:szCs w:val="24"/>
        </w:rPr>
        <w:t xml:space="preserve">Referencias</w:t>
      </w:r>
    </w:p>
    <w:p>
      <w:pPr>
        <w:spacing w:line="480"/>
        <w:ind w:left="720" w:hanging="720"/>
      </w:pPr>
      <w:r>
        <w:rPr>
          <w:rFonts w:ascii="Times New Roman" w:cs="Times New Roman" w:eastAsia="Times New Roman" w:hAnsi="Times New Roman"/>
          <w:sz w:val="24"/>
          <w:szCs w:val="24"/>
        </w:rPr>
        <w:t xml:space="preserve">Wompi. (s. f.-a). </w:t>
      </w:r>
      <w:r>
        <w:rPr>
          <w:rFonts w:ascii="Times New Roman" w:cs="Times New Roman" w:eastAsia="Times New Roman" w:hAnsi="Times New Roman"/>
          <w:i/>
          <w:iCs/>
          <w:sz w:val="24"/>
          <w:szCs w:val="24"/>
        </w:rPr>
        <w:t xml:space="preserve">Widget &amp; Checkout Web</w:t>
      </w:r>
      <w:r>
        <w:rPr>
          <w:rFonts w:ascii="Times New Roman" w:cs="Times New Roman" w:eastAsia="Times New Roman" w:hAnsi="Times New Roman"/>
          <w:sz w:val="24"/>
          <w:szCs w:val="24"/>
        </w:rPr>
        <w:t xml:space="preserve">. https://docs.wompi.co/docs/colombia/widget-checkout-web/</w:t>
      </w:r>
    </w:p>
    <w:p>
      <w:pPr>
        <w:spacing w:line="480"/>
        <w:ind w:left="720" w:hanging="720"/>
      </w:pPr>
      <w:r>
        <w:rPr>
          <w:rFonts w:ascii="Times New Roman" w:cs="Times New Roman" w:eastAsia="Times New Roman" w:hAnsi="Times New Roman"/>
          <w:sz w:val="24"/>
          <w:szCs w:val="24"/>
        </w:rPr>
        <w:t xml:space="preserve">Wompi. (s. f.-b). </w:t>
      </w:r>
      <w:r>
        <w:rPr>
          <w:rFonts w:ascii="Times New Roman" w:cs="Times New Roman" w:eastAsia="Times New Roman" w:hAnsi="Times New Roman"/>
          <w:i/>
          <w:iCs/>
          <w:sz w:val="24"/>
          <w:szCs w:val="24"/>
        </w:rPr>
        <w:t xml:space="preserve">Eventos</w:t>
      </w:r>
      <w:r>
        <w:rPr>
          <w:rFonts w:ascii="Times New Roman" w:cs="Times New Roman" w:eastAsia="Times New Roman" w:hAnsi="Times New Roman"/>
          <w:sz w:val="24"/>
          <w:szCs w:val="24"/>
        </w:rPr>
        <w:t xml:space="preserve">. https://docs.wompi.co/docs/colombia/eventos/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2026-10-25T16:15:24.486Z</dcterms:created>
  <dcterms:modified xsi:type="dcterms:W3CDTF">2026-10-25T16:15:24.486Z</dcterms:modified>
</cp:coreProperties>
</file>

<file path=docProps/custom.xml><?xml version="1.0" encoding="utf-8"?>
<Properties xmlns="http://schemas.openxmlformats.org/officeDocument/2006/custom-properties" xmlns:vt="http://schemas.openxmlformats.org/officeDocument/2006/docPropsVTypes"/>
</file>