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4"/>
          <w:szCs w:val="44"/>
          <w:rtl w:val="0"/>
        </w:rPr>
        <w:t xml:space="preserve">Netflix 고객 이탈률 예측 모델 산출물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="120" w:lineRule="auto"/>
        <w:jc w:val="center"/>
        <w:rPr>
          <w:rFonts w:ascii="Arial" w:cs="Arial" w:eastAsia="Arial" w:hAnsi="Arial"/>
          <w:b w:val="0"/>
          <w:color w:val="000000"/>
          <w:sz w:val="42"/>
          <w:szCs w:val="42"/>
        </w:rPr>
      </w:pPr>
      <w:bookmarkStart w:colFirst="0" w:colLast="0" w:name="_4xz3vo78dbv7" w:id="0"/>
      <w:bookmarkEnd w:id="0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lll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. 학습된 인공지능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tet5rjeu138c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I. 모델 검증 및 평가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1-1. 데이터 분할 및 검증 전략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최종 모델 : AdaBoostClassifier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학습/검증 : Stratified Split(Train:Test = 8:2) 으로 클래스 비율 유지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교차 검증: 5-Fold Cross Validation 기반으로 성능 안정성 확인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재현성 : random_state=42 고정으로 결과 재현성 확보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1-2. 평가 지표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Accuracy, Precision, Recall, F1-score, ROC-AUC 사용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Overfitting Index = Train Accuracy − Test Accuracy (과적합 추정치)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Cross-validation 표준편차로 모델 일관성 평가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 1-3. 정량 결과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Accuracy : 0.9487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Accuracy: 0.9370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Overfitting : 0.0412 → 0.0117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Cross-val std : ±0.008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Classification Report: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33825" cy="15144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 1-4. 성능 비교 및 해석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AdaBoost 모델은 기존 단일 모델(SVC 79.2%) 대비 명확한 성능 향상을 보임.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95.0" w:type="dxa"/>
        <w:jc w:val="left"/>
        <w:tblInd w:w="-115.0" w:type="dxa"/>
        <w:tblLayout w:type="fixed"/>
        <w:tblLook w:val="0400"/>
      </w:tblPr>
      <w:tblGrid>
        <w:gridCol w:w="1455"/>
        <w:gridCol w:w="1320"/>
        <w:gridCol w:w="1275"/>
        <w:gridCol w:w="1320"/>
        <w:gridCol w:w="2925"/>
        <w:tblGridChange w:id="0">
          <w:tblGrid>
            <w:gridCol w:w="1455"/>
            <w:gridCol w:w="1320"/>
            <w:gridCol w:w="1275"/>
            <w:gridCol w:w="1320"/>
            <w:gridCol w:w="29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모델명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F1-Score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Overfitting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특징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KNN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75.5%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정확도 낮음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SVC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77.3%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정확도 낮음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79.2%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정확도 낮음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92.7%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0.041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베이스라인, 과적합 위험 있음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Voting (Soft)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93.2%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0.020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안정적이나 향상폭 제한</w:t>
            </w:r>
          </w:p>
        </w:tc>
      </w:tr>
      <w:tr>
        <w:trPr>
          <w:cantSplit w:val="0"/>
          <w:trHeight w:val="598.21582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AdaBoost (최종)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93.7%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0.0117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가장 안정적이며 일반화 우수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576513" cy="226357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263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65446" cy="2387559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446" cy="2387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color w:val="000000"/>
        </w:rPr>
      </w:pPr>
      <w:bookmarkStart w:colFirst="0" w:colLast="0" w:name="_7iv1d6bebg39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color w:val="000000"/>
        </w:rPr>
      </w:pPr>
      <w:bookmarkStart w:colFirst="0" w:colLast="0" w:name="_izusxzekaz00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oak0jj0ywil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Ⅱ. 모델 개선 및 최적화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1-1. 하이퍼파라미터 튜닝 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GridSearchCV를 활용하여 주요 하이퍼파라미터 최적화.</w:t>
        <w:br w:type="textWrapping"/>
      </w:r>
      <w:r w:rsidDel="00000000" w:rsidR="00000000" w:rsidRPr="00000000">
        <w:rPr>
          <w:rtl w:val="0"/>
        </w:rPr>
        <w:t xml:space="preserve">학습률(learning_rate)과 트리 깊이(max_depth)를 조정해 오버피팅을 최소화하고, </w:t>
        <w:br w:type="textWrapping"/>
        <w:t xml:space="preserve">일반화 성능을 개선.</w:t>
      </w:r>
    </w:p>
    <w:tbl>
      <w:tblPr>
        <w:tblStyle w:val="Table2"/>
        <w:tblW w:w="7095.0" w:type="dxa"/>
        <w:jc w:val="left"/>
        <w:tblInd w:w="-115.0" w:type="dxa"/>
        <w:tblLayout w:type="fixed"/>
        <w:tblLook w:val="0400"/>
      </w:tblPr>
      <w:tblGrid>
        <w:gridCol w:w="2520"/>
        <w:gridCol w:w="1980"/>
        <w:gridCol w:w="2595"/>
        <w:tblGridChange w:id="0">
          <w:tblGrid>
            <w:gridCol w:w="2520"/>
            <w:gridCol w:w="1980"/>
            <w:gridCol w:w="25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ind w:left="708.6614173228347" w:right="-523.4645669291342" w:firstLine="0"/>
              <w:rPr/>
            </w:pPr>
            <w:r w:rsidDel="00000000" w:rsidR="00000000" w:rsidRPr="00000000">
              <w:rPr>
                <w:rtl w:val="0"/>
              </w:rPr>
              <w:t xml:space="preserve">파라미터</w:t>
            </w:r>
          </w:p>
        </w:tc>
        <w:tc>
          <w:tcPr/>
          <w:p w:rsidR="00000000" w:rsidDel="00000000" w:rsidP="00000000" w:rsidRDefault="00000000" w:rsidRPr="00000000" w14:paraId="00000047">
            <w:pPr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튜닝 전</w:t>
            </w:r>
          </w:p>
        </w:tc>
        <w:tc>
          <w:tcPr/>
          <w:p w:rsidR="00000000" w:rsidDel="00000000" w:rsidP="00000000" w:rsidRDefault="00000000" w:rsidRPr="00000000" w14:paraId="00000048">
            <w:pPr>
              <w:ind w:left="708.6614173228347" w:right="-1426.1811023622045" w:firstLine="0"/>
              <w:rPr/>
            </w:pPr>
            <w:r w:rsidDel="00000000" w:rsidR="00000000" w:rsidRPr="00000000">
              <w:rPr>
                <w:rtl w:val="0"/>
              </w:rPr>
              <w:t xml:space="preserve">튜닝 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learning_rate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max_depth</w:t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E">
            <w:pPr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n_estimators</w:t>
            </w:r>
          </w:p>
        </w:tc>
        <w:tc>
          <w:tcPr/>
          <w:p w:rsidR="00000000" w:rsidDel="00000000" w:rsidP="00000000" w:rsidRDefault="00000000" w:rsidRPr="00000000" w14:paraId="00000050">
            <w:pPr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1">
            <w:pPr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</w:tbl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튜닝 결과 정확도 0.9320 → 0.9370으로 향상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오버피팅 지수는 0.0412 → 0.0117로 감소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성능 최적화와 함께 모델의 안정성 강화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323850</wp:posOffset>
            </wp:positionV>
            <wp:extent cx="2445237" cy="2311374"/>
            <wp:effectExtent b="0" l="0" r="0" t="0"/>
            <wp:wrapSquare wrapText="bothSides" distB="114300" distT="114300" distL="114300" distR="11430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5237" cy="2311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276225</wp:posOffset>
            </wp:positionV>
            <wp:extent cx="2197395" cy="2362200"/>
            <wp:effectExtent b="0" l="0" r="0" t="0"/>
            <wp:wrapSquare wrapText="bothSides" distB="114300" distT="114300" distL="114300" distR="11430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395" cy="236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1400175</wp:posOffset>
            </wp:positionH>
            <wp:positionV relativeFrom="paragraph">
              <wp:posOffset>190500</wp:posOffset>
            </wp:positionV>
            <wp:extent cx="2837985" cy="2424113"/>
            <wp:effectExtent b="0" l="0" r="0" t="0"/>
            <wp:wrapSquare wrapText="bothSides" distB="114300" distT="114300" distL="114300" distR="11430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7985" cy="242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color w:val="000000"/>
        </w:rPr>
      </w:pPr>
      <w:bookmarkStart w:colFirst="0" w:colLast="0" w:name="_vyqth4k6dwe9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Ⅲ. 모델 </w:t>
      </w:r>
      <w:r w:rsidDel="00000000" w:rsidR="00000000" w:rsidRPr="00000000">
        <w:rPr>
          <w:b w:val="1"/>
          <w:sz w:val="26"/>
          <w:szCs w:val="26"/>
          <w:rtl w:val="0"/>
        </w:rPr>
        <w:t xml:space="preserve">설명 및 해석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1-1. </w:t>
      </w:r>
      <w:r w:rsidDel="00000000" w:rsidR="00000000" w:rsidRPr="00000000">
        <w:rPr>
          <w:rtl w:val="0"/>
        </w:rPr>
        <w:t xml:space="preserve">AdaBoost의 feature_importances Top5</w:t>
      </w:r>
    </w:p>
    <w:tbl>
      <w:tblPr>
        <w:tblStyle w:val="Table3"/>
        <w:tblW w:w="7965.0" w:type="dxa"/>
        <w:jc w:val="left"/>
        <w:tblInd w:w="-115.0" w:type="dxa"/>
        <w:tblLayout w:type="fixed"/>
        <w:tblLook w:val="0400"/>
      </w:tblPr>
      <w:tblGrid>
        <w:gridCol w:w="825"/>
        <w:gridCol w:w="2370"/>
        <w:gridCol w:w="1275"/>
        <w:gridCol w:w="3495"/>
        <w:tblGridChange w:id="0">
          <w:tblGrid>
            <w:gridCol w:w="825"/>
            <w:gridCol w:w="2370"/>
            <w:gridCol w:w="1275"/>
            <w:gridCol w:w="34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순위</w:t>
            </w:r>
          </w:p>
        </w:tc>
        <w:tc>
          <w:tcPr/>
          <w:p w:rsidR="00000000" w:rsidDel="00000000" w:rsidP="00000000" w:rsidRDefault="00000000" w:rsidRPr="00000000" w14:paraId="0000006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06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영향도(%)</w:t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해석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watch_hours</w:t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06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시청 시간이 많을수록 이탈률 감소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last_login_days</w:t>
            </w:r>
          </w:p>
        </w:tc>
        <w:tc>
          <w:tcPr/>
          <w:p w:rsidR="00000000" w:rsidDel="00000000" w:rsidP="00000000" w:rsidRDefault="00000000" w:rsidRPr="00000000" w14:paraId="0000007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로그인 간격이 길수록 이탈률 증가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number_of_profiles</w:t>
            </w:r>
          </w:p>
        </w:tc>
        <w:tc>
          <w:tcPr/>
          <w:p w:rsidR="00000000" w:rsidDel="00000000" w:rsidP="00000000" w:rsidRDefault="00000000" w:rsidRPr="00000000" w14:paraId="0000007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프로필 갯수가 적을수록 이탈률 증가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subscription_type</w:t>
            </w:r>
          </w:p>
        </w:tc>
        <w:tc>
          <w:tcPr/>
          <w:p w:rsidR="00000000" w:rsidDel="00000000" w:rsidP="00000000" w:rsidRDefault="00000000" w:rsidRPr="00000000" w14:paraId="0000007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구독타입에 따른 이탈률 변화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7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나이차이에 따른 이탈률 변화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rPr>
          <w:b w:val="0"/>
          <w:color w:val="000000"/>
          <w:sz w:val="24"/>
          <w:szCs w:val="24"/>
        </w:rPr>
      </w:pPr>
      <w:r w:rsidDel="00000000" w:rsidR="00000000" w:rsidRPr="00000000">
        <w:rPr>
          <w:b w:val="0"/>
          <w:color w:val="000000"/>
          <w:sz w:val="24"/>
          <w:szCs w:val="24"/>
          <w:rtl w:val="0"/>
        </w:rPr>
        <w:t xml:space="preserve">  2-2. 모델 결과 해석 및 시사점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모델은 시청 행동(watch_hours) 과 활동성(last_login_days) 을 핵심 지표로 학습하였으며, 이는 실제 고객 유지 전략과 직결되는 요인임.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요금제(subscription_type) 변수의 중요도는 구독 구조 및 만족도가 이탈률에 직접적 영향을 미침을 의미함.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지역(region), 선호 장르(favorite_genre) 등은 세그먼트 기반 마케팅(지역·취향별 맞춤 캠페인) 기획에 활용 가능함.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rFonts w:ascii="Malgun Gothic" w:cs="Malgun Gothic" w:eastAsia="Malgun Gothic" w:hAnsi="Malgun Gothic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4"/>
          <w:szCs w:val="24"/>
          <w:rtl w:val="0"/>
        </w:rPr>
        <w:t xml:space="preserve">IV. 인공지능 실제 적용 가능성 및 확장성</w:t>
      </w:r>
    </w:p>
    <w:p w:rsidR="00000000" w:rsidDel="00000000" w:rsidP="00000000" w:rsidRDefault="00000000" w:rsidRPr="00000000" w14:paraId="00000085">
      <w:pPr>
        <w:pStyle w:val="Heading3"/>
        <w:rPr>
          <w:b w:val="0"/>
          <w:color w:val="000000"/>
          <w:sz w:val="24"/>
          <w:szCs w:val="24"/>
        </w:rPr>
      </w:pPr>
      <w:r w:rsidDel="00000000" w:rsidR="00000000" w:rsidRPr="00000000">
        <w:rPr>
          <w:b w:val="0"/>
          <w:color w:val="000000"/>
          <w:sz w:val="24"/>
          <w:szCs w:val="24"/>
          <w:rtl w:val="0"/>
        </w:rPr>
        <w:t xml:space="preserve">  1-1. 실제 적용 가능성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본 모델은 고객의 이탈(Churn) 여부를 사전에 예측하여, 기업의 마케팅 및 고객 관리 전략 수립에 즉시 활용 가능한 수준의 실무적 완성도를 확보하였음.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예측 결과는 CRM 시스템 및 마케팅 자동화 플랫폼과 직접 연동되어 고객 유지율 제고 및 비용 효율화에 기여할 수 있음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① 고객 이탈 조기 경보 시스템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시청시간 및 로그인 패턴 변화가 감지될 경우, 이탈 위험 고객을 실시간으로 탐지 가능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예측 결과를 기반으로 고객 상담센터 및 유지 캠페인과 자동 연계하여 대응 효율을 향상시킴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② 맞춤형 요금제 추천 엔진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KNN 기반 유사 고객 분석을 통해, 이탈 확률이 높은 고객에게 최적의 구독제(Basic → Standard, Premium) 추천 가능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고객 세그먼트별 개인화된 프로모션·콘텐츠 제공으로 만족도 향상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③ 고객 유지 캠페인 자동화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예측된 이탈 위험군을 대상으로 맞춤형 프로모션, 할인 쿠폰, 개인화 콘텐츠 등을 자동 발송 가능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CRM(Customer Relationship Management) 시스템과 연동하여 실시간 고객 상태 모니터링 가능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④ 마케팅 효율화 및 비용 절감 효과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이탈 고위험군(상위 10%)만 집중 관리하여 마케팅 비용을 효율적으로 배분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재유입 비용 대비 이탈 예방 비용이 낮다는 점을 고려할 때, 본 모델은 ROI(투자 대비 효율) 극대화에 기여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⑤ 고객 생애가치(LTV) 기반 자원 최적화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유지비용과 이탈비용을 분석하여 VIP 고객 유지에 우선순위를 둘 수 있음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장기 고객 확보 및 구독 매출 안정화에 기여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/>
        <w:drawing>
          <wp:inline distB="114300" distT="114300" distL="114300" distR="114300">
            <wp:extent cx="4510355" cy="2090738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355" cy="209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/>
        <w:drawing>
          <wp:inline distB="114300" distT="114300" distL="114300" distR="114300">
            <wp:extent cx="4757738" cy="210629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106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color w:val="000000"/>
        </w:rPr>
      </w:pPr>
      <w:bookmarkStart w:colFirst="0" w:colLast="0" w:name="_nb90t2ly8nhd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kxmtink68df7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Ⅳ. 결론 및 요약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AdaBoost 기반의 고객 이탈 예측 모델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정확도(Accuracy) 93.7%, F1-score 0.94로 기존 단일 모델 대비 성능이 크게 향상됨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Overfitting 지수 0.0117로 과적합 위험이 매우 낮아 안정적이고 일반화된 예측 성능을 확보하였음.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하이퍼파라미터 최적화(GridSearchCV) 및 교차 검증(5-Fold)을 통해 모델의 신뢰성과 재현성을 강화함.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주요 영향 변수로는 시청시간(watch_hours), 최근 로그인 일수(last_login_days) 등이 도출되어 고객의 이용 행동 패턴이 이탈 여부에 직접적인 영향을 미침을 확인하였음.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본 모델은 성능·안정성·해석력을 모두 갖춘 고객 이탈 예측용 실무형 인공지능 모델로 평가됨.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CRM 연계 및 마케팅 자동화 시스템에 즉시 적용 가능한 수준의 완성도를 확보하였음.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Netflix 등 구독형 서비스의 고객 이탈 예측, 개인화된 추천, 마케팅 자동화 시스템에 즉시 활용 가능. 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향후 시청 로그, 콘텐츠 선호도, 고객 지원 이력 등 정성 데이터를 포함한 딥러닝 기반 하이브리드 모델(CNN+LSTM)로 확장 가능성을 보유.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Malgun Gothic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spacing w:after="0" w:line="276" w:lineRule="auto"/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SKN20기 / Project2 / 5조: Netflix 고객 이탈률 예측 모델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3.jpg"/><Relationship Id="rId13" Type="http://schemas.openxmlformats.org/officeDocument/2006/relationships/image" Target="media/image7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