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75110C">
      <w:pPr>
        <w:widowControl w:val="0"/>
        <w:snapToGrid/>
        <w:spacing w:before="0" w:beforeAutospacing="0" w:line="240" w:lineRule="auto"/>
        <w:ind w:firstLine="0" w:firstLineChars="0"/>
        <w:jc w:val="center"/>
        <w:rPr>
          <w:rFonts w:hint="eastAsia" w:asciiTheme="minorHAnsi" w:hAnsiTheme="minorHAnsi" w:eastAsiaTheme="minorEastAsia" w:cstheme="minorBidi"/>
          <w:b/>
          <w:bCs/>
          <w:kern w:val="2"/>
          <w:sz w:val="72"/>
        </w:rPr>
      </w:pPr>
      <w:r>
        <w:rPr>
          <w:rFonts w:hint="eastAsia" w:asciiTheme="minorHAnsi" w:hAnsiTheme="minorHAnsi" w:eastAsiaTheme="minorEastAsia" w:cstheme="minorBidi"/>
          <w:b/>
          <w:bCs/>
          <w:kern w:val="2"/>
          <w:sz w:val="72"/>
        </w:rPr>
        <w:t>《Python数据分析编程》课程项目报告</w:t>
      </w:r>
    </w:p>
    <w:p w14:paraId="291B013A">
      <w:pPr>
        <w:rPr>
          <w:rFonts w:hint="eastAsia" w:eastAsia="黑体"/>
          <w:color w:val="1F2430"/>
          <w:sz w:val="30"/>
        </w:rPr>
      </w:pPr>
    </w:p>
    <w:p w14:paraId="31383F07">
      <w:pPr>
        <w:rPr>
          <w:rFonts w:hint="eastAsia" w:eastAsia="黑体"/>
          <w:color w:val="1F2430"/>
          <w:sz w:val="30"/>
        </w:rPr>
      </w:pPr>
    </w:p>
    <w:p w14:paraId="3634471A">
      <w:pPr>
        <w:rPr>
          <w:rFonts w:hint="eastAsia" w:eastAsia="黑体"/>
          <w:color w:val="1F2430"/>
          <w:sz w:val="30"/>
        </w:rPr>
      </w:pPr>
    </w:p>
    <w:p w14:paraId="761BA21E">
      <w:pPr>
        <w:widowControl w:val="0"/>
        <w:snapToGrid/>
        <w:spacing w:before="0" w:beforeAutospacing="0" w:line="240" w:lineRule="auto"/>
        <w:ind w:firstLine="0" w:firstLineChars="0"/>
        <w:jc w:val="center"/>
        <w:rPr>
          <w:rFonts w:hint="eastAsia" w:ascii="黑体" w:hAnsi="黑体" w:eastAsia="黑体" w:cstheme="minorBidi"/>
          <w:b/>
          <w:kern w:val="2"/>
          <w:sz w:val="36"/>
          <w:szCs w:val="36"/>
        </w:rPr>
      </w:pPr>
      <w:r>
        <w:rPr>
          <w:rFonts w:hint="eastAsia" w:ascii="黑体" w:hAnsi="黑体" w:eastAsia="黑体" w:cstheme="minorBidi"/>
          <w:b/>
          <w:kern w:val="2"/>
          <w:sz w:val="36"/>
          <w:szCs w:val="36"/>
        </w:rPr>
        <w:t>基于时间序列验证与特征消融的城市短期电力负荷预测研究</w:t>
      </w:r>
    </w:p>
    <w:p w14:paraId="27CA2045">
      <w:pPr>
        <w:widowControl w:val="0"/>
        <w:snapToGrid/>
        <w:spacing w:before="0" w:beforeAutospacing="0" w:line="240" w:lineRule="auto"/>
        <w:ind w:firstLine="0" w:firstLineChars="0"/>
        <w:jc w:val="center"/>
        <w:rPr>
          <w:rFonts w:hint="eastAsia" w:ascii="黑体" w:hAnsi="黑体" w:eastAsia="黑体" w:cstheme="minorBidi"/>
          <w:b/>
          <w:kern w:val="2"/>
          <w:sz w:val="36"/>
          <w:szCs w:val="36"/>
        </w:rPr>
      </w:pPr>
      <w:r>
        <w:rPr>
          <w:rFonts w:hint="eastAsia" w:ascii="黑体" w:hAnsi="黑体" w:eastAsia="黑体" w:cstheme="minorBidi"/>
          <w:b/>
          <w:kern w:val="2"/>
          <w:sz w:val="36"/>
          <w:szCs w:val="36"/>
        </w:rPr>
        <w:t xml:space="preserve"> </w:t>
      </w:r>
    </w:p>
    <w:p w14:paraId="053E82AC">
      <w:pPr>
        <w:rPr>
          <w:rFonts w:hint="eastAsia"/>
          <w:color w:val="1F2430"/>
          <w:sz w:val="24"/>
        </w:rPr>
      </w:pPr>
    </w:p>
    <w:p w14:paraId="4B5F2187">
      <w:pPr>
        <w:rPr>
          <w:rFonts w:hint="eastAsia"/>
          <w:color w:val="1F2430"/>
          <w:sz w:val="24"/>
        </w:rPr>
      </w:pPr>
    </w:p>
    <w:p w14:paraId="73A3ACB0">
      <w:pPr>
        <w:rPr>
          <w:rFonts w:hint="eastAsia"/>
          <w:color w:val="1F2430"/>
          <w:sz w:val="24"/>
        </w:rPr>
      </w:pPr>
    </w:p>
    <w:p w14:paraId="4DF25D4F">
      <w:pPr>
        <w:rPr>
          <w:rFonts w:hint="eastAsia"/>
          <w:color w:val="1F2430"/>
          <w:sz w:val="24"/>
        </w:rPr>
      </w:pPr>
    </w:p>
    <w:p w14:paraId="76DD3CA8">
      <w:pPr>
        <w:rPr>
          <w:rFonts w:hint="eastAsia"/>
          <w:color w:val="1F2430"/>
          <w:sz w:val="24"/>
        </w:rPr>
      </w:pPr>
    </w:p>
    <w:p w14:paraId="35049976">
      <w:pPr>
        <w:rPr>
          <w:rFonts w:hint="eastAsia"/>
          <w:color w:val="1F2430"/>
          <w:sz w:val="24"/>
        </w:rPr>
      </w:pPr>
    </w:p>
    <w:p w14:paraId="4DF87BF3">
      <w:pPr>
        <w:rPr>
          <w:rFonts w:hint="eastAsia"/>
          <w:color w:val="1F2430"/>
          <w:sz w:val="24"/>
        </w:rPr>
      </w:pPr>
    </w:p>
    <w:p w14:paraId="24B60BD6">
      <w:pPr>
        <w:rPr>
          <w:rFonts w:hint="eastAsia"/>
          <w:color w:val="1F2430"/>
          <w:sz w:val="24"/>
        </w:rPr>
      </w:pPr>
    </w:p>
    <w:p w14:paraId="0DE4F899">
      <w:pPr>
        <w:rPr>
          <w:rFonts w:hint="eastAsia"/>
          <w:color w:val="1F2430"/>
          <w:sz w:val="24"/>
        </w:rPr>
      </w:pPr>
    </w:p>
    <w:p w14:paraId="7A834D5D">
      <w:pPr>
        <w:rPr>
          <w:rFonts w:hint="eastAsia"/>
          <w:color w:val="1F2430"/>
          <w:sz w:val="24"/>
        </w:rPr>
      </w:pPr>
    </w:p>
    <w:p w14:paraId="3A48A126">
      <w:pPr>
        <w:rPr>
          <w:rFonts w:hint="eastAsia"/>
          <w:color w:val="1F2430"/>
          <w:sz w:val="24"/>
        </w:rPr>
      </w:pPr>
    </w:p>
    <w:sdt>
      <w:sdtPr>
        <w:rPr>
          <w:rFonts w:ascii="宋体" w:hAnsi="宋体" w:eastAsia="宋体" w:cs="Times New Roman"/>
          <w:b/>
          <w:bCs/>
          <w:kern w:val="2"/>
          <w:sz w:val="32"/>
          <w:szCs w:val="40"/>
          <w:lang w:val="en-US" w:eastAsia="zh-CN" w:bidi="ar-SA"/>
        </w:rPr>
        <w:id w:val="147466911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sdtEndPr>
      <w:sdtContent>
        <w:p w14:paraId="218FB783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b/>
              <w:bCs/>
              <w:sz w:val="32"/>
              <w:szCs w:val="40"/>
            </w:rPr>
          </w:pPr>
          <w:r>
            <w:rPr>
              <w:rFonts w:ascii="宋体" w:hAnsi="宋体" w:eastAsia="宋体"/>
              <w:b/>
              <w:bCs/>
              <w:sz w:val="32"/>
              <w:szCs w:val="40"/>
            </w:rPr>
            <w:t>目录</w:t>
          </w:r>
        </w:p>
        <w:p w14:paraId="69E65CF1">
          <w:pPr>
            <w:pStyle w:val="12"/>
            <w:tabs>
              <w:tab w:val="right" w:leader="dot" w:pos="8528"/>
              <w:tab w:val="clear" w:pos="9072"/>
            </w:tabs>
          </w:pPr>
          <w:r>
            <w:rPr>
              <w:rFonts w:ascii="Times New Roman" w:hAnsi="Times New Roman" w:eastAsia="宋体" w:cs="Times New Roman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eastAsia="宋体" w:cs="Times New Roman"/>
              <w:kern w:val="2"/>
              <w:sz w:val="21"/>
              <w:szCs w:val="24"/>
              <w:lang w:val="en-US" w:eastAsia="zh-CN" w:bidi="ar-SA"/>
            </w:rPr>
            <w:instrText xml:space="preserve">TOC \o "1-1" \h \u </w:instrText>
          </w:r>
          <w:r>
            <w:rPr>
              <w:rFonts w:ascii="Times New Roman" w:hAnsi="Times New Roman" w:eastAsia="宋体" w:cs="Times New Roman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_Toc32470 </w:instrText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/>
              <w:bCs/>
              <w:kern w:val="44"/>
              <w:szCs w:val="28"/>
            </w:rPr>
            <w:t>1　引言</w:t>
          </w:r>
          <w:r>
            <w:tab/>
          </w:r>
          <w:r>
            <w:fldChar w:fldCharType="begin"/>
          </w:r>
          <w:r>
            <w:instrText xml:space="preserve"> PAGEREF _Toc32470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3663B2A3">
          <w:pPr>
            <w:pStyle w:val="12"/>
            <w:tabs>
              <w:tab w:val="right" w:leader="dot" w:pos="8528"/>
              <w:tab w:val="clear" w:pos="9072"/>
            </w:tabs>
          </w:pP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_Toc10942 </w:instrText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/>
              <w:bCs/>
              <w:kern w:val="44"/>
              <w:szCs w:val="28"/>
            </w:rPr>
            <w:t>2　数据介绍</w:t>
          </w:r>
          <w:r>
            <w:tab/>
          </w:r>
          <w:r>
            <w:fldChar w:fldCharType="begin"/>
          </w:r>
          <w:r>
            <w:instrText xml:space="preserve"> PAGEREF _Toc10942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7724A2DF">
          <w:pPr>
            <w:pStyle w:val="12"/>
            <w:tabs>
              <w:tab w:val="right" w:leader="dot" w:pos="8528"/>
              <w:tab w:val="clear" w:pos="9072"/>
            </w:tabs>
          </w:pP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_Toc1697 </w:instrText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3　数据清洗与预处理</w:t>
          </w:r>
          <w:r>
            <w:tab/>
          </w:r>
          <w:r>
            <w:fldChar w:fldCharType="begin"/>
          </w:r>
          <w:r>
            <w:instrText xml:space="preserve"> PAGEREF _Toc1697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A5D9941">
          <w:pPr>
            <w:pStyle w:val="12"/>
            <w:tabs>
              <w:tab w:val="right" w:leader="dot" w:pos="8528"/>
              <w:tab w:val="clear" w:pos="9072"/>
            </w:tabs>
          </w:pP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_Toc2067 </w:instrText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4　负荷的时序规律</w:t>
          </w:r>
          <w:r>
            <w:tab/>
          </w:r>
          <w:r>
            <w:fldChar w:fldCharType="begin"/>
          </w:r>
          <w:r>
            <w:instrText xml:space="preserve"> PAGEREF _Toc2067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7043275A">
          <w:pPr>
            <w:pStyle w:val="12"/>
            <w:tabs>
              <w:tab w:val="right" w:leader="dot" w:pos="8528"/>
              <w:tab w:val="clear" w:pos="9072"/>
            </w:tabs>
          </w:pP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_Toc26779 </w:instrText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5　天气因素与负荷的关系</w:t>
          </w:r>
          <w:r>
            <w:tab/>
          </w:r>
          <w:r>
            <w:fldChar w:fldCharType="begin"/>
          </w:r>
          <w:r>
            <w:instrText xml:space="preserve"> PAGEREF _Toc26779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D90798D">
          <w:pPr>
            <w:pStyle w:val="12"/>
            <w:tabs>
              <w:tab w:val="right" w:leader="dot" w:pos="8528"/>
              <w:tab w:val="clear" w:pos="9072"/>
            </w:tabs>
          </w:pP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_Toc27609 </w:instrText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6　短期负荷预测：模型、消融与误差分析</w:t>
          </w:r>
          <w:r>
            <w:tab/>
          </w:r>
          <w:r>
            <w:fldChar w:fldCharType="begin"/>
          </w:r>
          <w:r>
            <w:instrText xml:space="preserve"> PAGEREF _Toc27609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0837C22C">
          <w:pPr>
            <w:pStyle w:val="12"/>
            <w:tabs>
              <w:tab w:val="right" w:leader="dot" w:pos="8528"/>
              <w:tab w:val="clear" w:pos="9072"/>
            </w:tabs>
          </w:pP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_Toc14671 </w:instrText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7　总结与结论</w:t>
          </w:r>
          <w:r>
            <w:tab/>
          </w:r>
          <w:r>
            <w:fldChar w:fldCharType="begin"/>
          </w:r>
          <w:r>
            <w:instrText xml:space="preserve"> PAGEREF _Toc14671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0C7D7798">
          <w:pPr>
            <w:pStyle w:val="12"/>
            <w:tabs>
              <w:tab w:val="right" w:leader="dot" w:pos="8528"/>
              <w:tab w:val="clear" w:pos="9072"/>
            </w:tabs>
          </w:pP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_Toc14928 </w:instrText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8　小组成员分工与个人承担</w:t>
          </w:r>
          <w:r>
            <w:tab/>
          </w:r>
          <w:r>
            <w:fldChar w:fldCharType="begin"/>
          </w:r>
          <w:r>
            <w:instrText xml:space="preserve"> PAGEREF _Toc14928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24C5C7C1">
          <w:pPr>
            <w:pStyle w:val="12"/>
            <w:tabs>
              <w:tab w:val="right" w:leader="dot" w:pos="8528"/>
              <w:tab w:val="clear" w:pos="9072"/>
            </w:tabs>
          </w:pP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_Toc28244 </w:instrText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9　附录</w:t>
          </w:r>
          <w:r>
            <w:tab/>
          </w:r>
          <w:r>
            <w:fldChar w:fldCharType="begin"/>
          </w:r>
          <w:r>
            <w:instrText xml:space="preserve"> PAGEREF _Toc28244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2C84A50">
          <w:pPr>
            <w:rPr>
              <w:rFonts w:ascii="Times New Roman" w:hAnsi="Times New Roman" w:eastAsia="宋体" w:cs="Times New Roman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3E259247">
      <w:pPr>
        <w:rPr>
          <w:rFonts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</w:p>
    <w:p w14:paraId="64FB7209"/>
    <w:p w14:paraId="1D51D702"/>
    <w:p w14:paraId="37FDB093"/>
    <w:p w14:paraId="4C66AF3A"/>
    <w:p w14:paraId="4F4D2252"/>
    <w:p w14:paraId="17E568BF">
      <w:pPr>
        <w:ind w:left="0" w:leftChars="0" w:firstLine="0" w:firstLineChars="0"/>
      </w:pPr>
    </w:p>
    <w:p w14:paraId="0AD1F92F">
      <w:pPr>
        <w:snapToGrid w:val="0"/>
        <w:spacing w:line="440" w:lineRule="atLeast"/>
        <w:ind w:left="0" w:leftChars="0" w:firstLine="0" w:firstLineChars="0"/>
        <w:jc w:val="center"/>
        <w:rPr>
          <w:rFonts w:ascii="黑体" w:hAnsi="黑体" w:eastAsia="黑体" w:cs="黑体"/>
          <w:b/>
          <w:sz w:val="36"/>
          <w:szCs w:val="36"/>
        </w:rPr>
      </w:pPr>
      <w:r>
        <w:rPr>
          <w:rFonts w:hint="eastAsia" w:ascii="黑体" w:hAnsi="黑体" w:eastAsia="黑体" w:cs="黑体"/>
          <w:b/>
          <w:sz w:val="36"/>
          <w:szCs w:val="36"/>
        </w:rPr>
        <w:t>摘    要</w:t>
      </w:r>
    </w:p>
    <w:p w14:paraId="58B13699">
      <w:pPr>
        <w:widowControl/>
        <w:snapToGrid w:val="0"/>
        <w:spacing w:before="100" w:beforeAutospacing="1" w:line="440" w:lineRule="atLeast"/>
        <w:ind w:firstLine="480" w:firstLineChars="200"/>
        <w:jc w:val="left"/>
        <w:rPr>
          <w:rFonts w:hint="eastAsia" w:ascii="宋体" w:hAnsi="宋体" w:eastAsia="宋体" w:cs="宋体"/>
          <w:kern w:val="0"/>
          <w:sz w:val="24"/>
        </w:rPr>
      </w:pPr>
      <w:r>
        <w:rPr>
          <w:rFonts w:hint="eastAsia" w:ascii="宋体" w:hAnsi="宋体" w:eastAsia="宋体" w:cs="宋体"/>
          <w:kern w:val="0"/>
          <w:sz w:val="24"/>
        </w:rPr>
        <w:t>电力负荷的短期预测是电网调度的基础输入。本项目以某城市2017年1月1日至12月30日的电力负荷监测数据为对象（共364天、52,416条记录、10分钟采样、已记录时段内无缺失），包含三个计量区域的负荷与温度、湿度、风速等气象观测。研究按"清洗→探索性分析→建模预测→误差归因"的流程展开：探索性分析发现三个区域共享"凌晨低谷—午间平台—晚间高峰"的日周期结构（峰谷比1.89–2.23），温度是唯一在三区稳定正相关的气象因子；预测任务定义为提前1小时（6个采样步），按时间顺序70%/15%/15% 划分数据（并对子集边界做purge处理），比较历史同期基线、线性回归与梯度提升树三种模型，并以特征消融检验天气信息的增益。</w:t>
      </w:r>
    </w:p>
    <w:p w14:paraId="218873BC">
      <w:pPr>
        <w:widowControl/>
        <w:snapToGrid w:val="0"/>
        <w:spacing w:before="100" w:beforeAutospacing="1" w:line="440" w:lineRule="atLeast"/>
        <w:ind w:firstLine="480" w:firstLineChars="200"/>
        <w:jc w:val="left"/>
        <w:rPr>
          <w:rFonts w:hint="eastAsia" w:ascii="宋体" w:hAnsi="宋体" w:eastAsia="宋体" w:cs="宋体"/>
          <w:kern w:val="0"/>
          <w:sz w:val="24"/>
        </w:rPr>
      </w:pPr>
      <w:r>
        <w:rPr>
          <w:rFonts w:hint="eastAsia" w:ascii="宋体" w:hAnsi="宋体" w:eastAsia="宋体" w:cs="宋体"/>
          <w:kern w:val="0"/>
          <w:sz w:val="24"/>
        </w:rPr>
        <w:t>测试集结果显示：在最初的特征集下，历史同期基线最优（三区合并MAE/RMSE 1050.68/1643.67），两个学习模型均不敌基线。归因实验表明，原特征集未包含与预测目标时刻对齐的周同期负荷信息（基线用的是y(t−1002)，而学习模型只拿到y(t−1008)，比目标时刻早一小时），这一特征缺失是原始学习模型表现不佳的重要原因。补上这一特征后，线性回归的合并MAE/RMSE降至514.09/767.16（相对基线−51.1%/−53.3%），梯度提升树降至930.62/1258.73（−11.4%/−23.4%），两个学习模型转为全面优于基线。天气特征消融在新特征集上重做：六个组合中三个误差下降，梯度提升树三个区域全部下降（−0.4% 至 −17.9%），线性回归在区域2、3略升（+5.1%、+1.0%）。高峰时段误差仍约为普通时段的2.1倍且系统性低估峰值。基于上述结果，给出了短期调度中优先使用带周同期特征的线性模型、高峰留裕度等建议。</w:t>
      </w:r>
    </w:p>
    <w:p w14:paraId="51651154">
      <w:pPr>
        <w:widowControl/>
        <w:snapToGrid w:val="0"/>
        <w:spacing w:before="100" w:beforeAutospacing="1" w:line="440" w:lineRule="atLeast"/>
        <w:ind w:firstLine="480" w:firstLineChars="200"/>
        <w:jc w:val="left"/>
        <w:rPr>
          <w:rFonts w:hint="eastAsia" w:ascii="宋体" w:hAnsi="宋体" w:eastAsia="宋体" w:cs="宋体"/>
          <w:kern w:val="0"/>
          <w:sz w:val="24"/>
        </w:rPr>
      </w:pPr>
    </w:p>
    <w:p w14:paraId="0ACCB935">
      <w:pPr>
        <w:rPr>
          <w:color w:val="1F2430"/>
        </w:rPr>
        <w:sectPr>
          <w:footerReference r:id="rId5" w:type="default"/>
          <w:pgSz w:w="11906" w:h="16838"/>
          <w:pgMar w:top="1383" w:right="1689" w:bottom="1383" w:left="1689" w:header="851" w:footer="992" w:gutter="0"/>
          <w:pgNumType w:start="1"/>
          <w:cols w:space="720" w:num="1"/>
        </w:sectPr>
      </w:pPr>
      <w:r>
        <w:rPr>
          <w:rFonts w:hint="eastAsia" w:ascii="宋体" w:hAnsi="宋体"/>
          <w:b/>
          <w:sz w:val="24"/>
        </w:rPr>
        <w:t>关键词</w:t>
      </w:r>
      <w:r>
        <w:rPr>
          <w:rFonts w:hint="eastAsia" w:ascii="宋体" w:hAnsi="宋体" w:eastAsia="宋体" w:cs="宋体"/>
          <w:kern w:val="0"/>
          <w:sz w:val="24"/>
        </w:rPr>
        <w:t>：电力负荷预测；时间序列；特征消融；历史同期基线；梯度提升树</w:t>
      </w:r>
    </w:p>
    <w:p w14:paraId="6AE9EBC9">
      <w:pPr>
        <w:pStyle w:val="2"/>
        <w:snapToGrid w:val="0"/>
        <w:spacing w:beforeAutospacing="1" w:afterAutospacing="0" w:line="440" w:lineRule="atLeast"/>
        <w:jc w:val="left"/>
        <w:rPr>
          <w:rFonts w:hint="default" w:ascii="黑体" w:hAnsi="黑体" w:eastAsia="黑体"/>
          <w:bCs/>
          <w:kern w:val="44"/>
          <w:sz w:val="28"/>
          <w:szCs w:val="28"/>
        </w:rPr>
      </w:pPr>
      <w:bookmarkStart w:id="0" w:name="section-2"/>
      <w:bookmarkStart w:id="1" w:name="_Toc32470"/>
      <w:r>
        <w:rPr>
          <w:rFonts w:hint="eastAsia" w:ascii="黑体" w:hAnsi="黑体" w:eastAsia="黑体"/>
          <w:bCs/>
          <w:kern w:val="44"/>
          <w:sz w:val="28"/>
          <w:szCs w:val="28"/>
        </w:rPr>
        <w:t>1　引言</w:t>
      </w:r>
      <w:bookmarkEnd w:id="0"/>
      <w:bookmarkEnd w:id="1"/>
    </w:p>
    <w:p w14:paraId="2B076D71">
      <w:pPr>
        <w:widowControl/>
        <w:snapToGrid w:val="0"/>
        <w:spacing w:before="100" w:beforeAutospacing="1" w:line="440" w:lineRule="atLeast"/>
        <w:ind w:firstLine="480" w:firstLineChars="200"/>
        <w:jc w:val="left"/>
        <w:rPr>
          <w:rFonts w:hint="eastAsia" w:ascii="宋体" w:hAnsi="宋体" w:eastAsia="宋体" w:cs="宋体"/>
          <w:kern w:val="0"/>
          <w:sz w:val="24"/>
        </w:rPr>
      </w:pPr>
      <w:r>
        <w:rPr>
          <w:rFonts w:hint="eastAsia" w:ascii="宋体" w:hAnsi="宋体" w:eastAsia="宋体" w:cs="宋体"/>
          <w:kern w:val="0"/>
          <w:sz w:val="24"/>
        </w:rPr>
        <w:t>电力负荷预测是电网运行调度的基本环节：机组组合、备用容量安排和短期交易决策都依赖未来数小时的负荷估计。负荷受作息、星期、季节和气象条件共同影响，规律性强但也在漂移，短期预测的难点不在于有没有规律可循，而在于用什么特征、什么模型能把这些规律稳定地转化为预测能力。</w:t>
      </w:r>
    </w:p>
    <w:p w14:paraId="56FE3F6C">
      <w:pPr>
        <w:widowControl/>
        <w:snapToGrid w:val="0"/>
        <w:spacing w:before="100" w:beforeAutospacing="1" w:line="440" w:lineRule="atLeast"/>
        <w:ind w:firstLine="480" w:firstLineChars="200"/>
        <w:jc w:val="left"/>
        <w:rPr>
          <w:rFonts w:hint="eastAsia" w:ascii="宋体" w:hAnsi="宋体" w:eastAsia="宋体" w:cs="宋体"/>
          <w:kern w:val="0"/>
          <w:sz w:val="24"/>
        </w:rPr>
      </w:pPr>
      <w:r>
        <w:rPr>
          <w:rFonts w:hint="eastAsia" w:ascii="宋体" w:hAnsi="宋体" w:eastAsia="宋体" w:cs="宋体"/>
          <w:kern w:val="0"/>
          <w:sz w:val="24"/>
        </w:rPr>
        <w:t>本项目使用课程提供的城市电力负荷监测数据，完成从数据清洗、探索性分析到预测建模的全流程，重点回答三个研究问题：其一，三个计量区域的负荷在日、周、季节尺度上呈现什么结构，彼此有何差异；其二，温度、湿度等气象因素与负荷的统计关联有多强，能否转化为预测增益；其三，在一个日周期极强、且存在水平漂移的序列上，简单的历史同期基线与线性回归、梯度提升树两种学习模型相比孰优孰劣，误差在区域间和时段间如何分布。</w:t>
      </w:r>
    </w:p>
    <w:p w14:paraId="72D3F4FD">
      <w:pPr>
        <w:widowControl/>
        <w:snapToGrid w:val="0"/>
        <w:spacing w:before="100" w:beforeAutospacing="1" w:line="440" w:lineRule="atLeast"/>
        <w:ind w:firstLine="480" w:firstLineChars="200"/>
        <w:jc w:val="left"/>
        <w:rPr>
          <w:rFonts w:hint="eastAsia" w:ascii="宋体" w:hAnsi="宋体" w:eastAsia="宋体" w:cs="宋体"/>
          <w:kern w:val="0"/>
          <w:sz w:val="24"/>
        </w:rPr>
        <w:sectPr>
          <w:footerReference r:id="rId6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 w:ascii="宋体" w:hAnsi="宋体" w:eastAsia="宋体" w:cs="宋体"/>
          <w:kern w:val="0"/>
          <w:sz w:val="24"/>
        </w:rPr>
        <w:t>对第三个问题我们不预设答案：学习模型未必优于简单基线，天气特征未必带来增益，一切以同一测试集上的对照实验为准。为使结论可信，全部实验遵循统一协议：按时间顺序划分数据以防泄漏，特征只使用预测起点可获得的信息，模型比较与特征消融共用同一样本集，报告中的每个数字都能追溯到实验日志中的实际运行记录。数据来源、字段与清洗结果见第2、3章。</w:t>
      </w:r>
    </w:p>
    <w:p w14:paraId="486A772F">
      <w:pPr>
        <w:pStyle w:val="2"/>
        <w:snapToGrid w:val="0"/>
        <w:spacing w:beforeAutospacing="1" w:afterAutospacing="0" w:line="440" w:lineRule="atLeast"/>
        <w:jc w:val="left"/>
        <w:rPr>
          <w:rFonts w:hint="eastAsia" w:ascii="黑体" w:hAnsi="黑体" w:eastAsia="黑体"/>
          <w:bCs/>
          <w:kern w:val="44"/>
          <w:sz w:val="28"/>
          <w:szCs w:val="28"/>
        </w:rPr>
      </w:pPr>
      <w:bookmarkStart w:id="2" w:name="section-3"/>
      <w:bookmarkStart w:id="3" w:name="_Toc10942"/>
      <w:r>
        <w:rPr>
          <w:rFonts w:hint="eastAsia" w:ascii="黑体" w:hAnsi="黑体" w:eastAsia="黑体"/>
          <w:bCs/>
          <w:kern w:val="44"/>
          <w:sz w:val="28"/>
          <w:szCs w:val="28"/>
        </w:rPr>
        <w:t>2　数据介绍</w:t>
      </w:r>
      <w:bookmarkEnd w:id="2"/>
      <w:bookmarkEnd w:id="3"/>
    </w:p>
    <w:p w14:paraId="24E4D7F9">
      <w:pPr>
        <w:widowControl/>
        <w:snapToGrid w:val="0"/>
        <w:spacing w:before="100" w:beforeAutospacing="1" w:line="440" w:lineRule="atLeast"/>
        <w:ind w:firstLine="480" w:firstLineChars="200"/>
        <w:jc w:val="left"/>
        <w:rPr>
          <w:rFonts w:hint="eastAsia" w:ascii="宋体" w:hAnsi="宋体" w:eastAsia="宋体" w:cs="宋体"/>
          <w:kern w:val="0"/>
          <w:sz w:val="24"/>
        </w:rPr>
      </w:pPr>
      <w:r>
        <w:rPr>
          <w:rFonts w:hint="eastAsia" w:ascii="宋体" w:hAnsi="宋体" w:eastAsia="宋体" w:cs="宋体"/>
          <w:kern w:val="0"/>
          <w:sz w:val="24"/>
        </w:rPr>
        <w:t>本项目使用课程提供的城市电力负荷监测数据，文件为单个CSV，共52,416条记录、9个字段，覆盖2017年1月1日0时至12月30日23时50分，采样间隔10分钟，已记录时段内无中断（数据止于12月30日，共364天，缺12月31日）。</w:t>
      </w:r>
    </w:p>
    <w:p w14:paraId="7A3E3602">
      <w:pPr>
        <w:widowControl/>
        <w:snapToGrid w:val="0"/>
        <w:spacing w:before="100" w:beforeAutospacing="1" w:line="440" w:lineRule="atLeast"/>
        <w:ind w:firstLine="480" w:firstLineChars="200"/>
        <w:jc w:val="left"/>
        <w:rPr>
          <w:rFonts w:hint="eastAsia" w:ascii="宋体" w:hAnsi="宋体" w:eastAsia="宋体" w:cs="宋体"/>
          <w:kern w:val="0"/>
          <w:sz w:val="24"/>
        </w:rPr>
      </w:pPr>
      <w:r>
        <w:rPr>
          <w:rFonts w:hint="eastAsia" w:ascii="宋体" w:hAnsi="宋体" w:eastAsia="宋体" w:cs="宋体"/>
          <w:kern w:val="0"/>
          <w:sz w:val="24"/>
        </w:rPr>
        <w:t>数据由两类信息组成。一类是三个区域的用电负荷，分别记为区域1、区域2和区域3；另一类是同一时刻的气象观测，包括气温、相对湿度、风速和两项辐射指标（总漫射辐射、漫射辐射）。所有记录共用同一个时间戳，三个区域的负荷与气象变量在时间上严格对齐，这使得三者可以直接比较，也便于构造滞后特征。</w:t>
      </w:r>
    </w:p>
    <w:p w14:paraId="3FAAE0AA">
      <w:pPr>
        <w:widowControl/>
        <w:snapToGrid w:val="0"/>
        <w:spacing w:before="100" w:beforeAutospacing="1" w:line="440" w:lineRule="atLeast"/>
        <w:ind w:firstLine="480" w:firstLineChars="200"/>
        <w:jc w:val="left"/>
        <w:rPr>
          <w:rFonts w:hint="eastAsia" w:ascii="宋体" w:hAnsi="宋体" w:eastAsia="宋体" w:cs="宋体"/>
          <w:kern w:val="0"/>
          <w:sz w:val="24"/>
        </w:rPr>
      </w:pPr>
      <w:r>
        <w:rPr>
          <w:rFonts w:hint="eastAsia" w:ascii="宋体" w:hAnsi="宋体" w:eastAsia="宋体" w:cs="宋体"/>
          <w:kern w:val="0"/>
          <w:sz w:val="24"/>
        </w:rPr>
        <w:t>原始数据没有注明负荷与气象变度和百分比；风速、两项辐射量与负荷的单位则无从确认。因此本报告在涉及绝对数值时一律按原始单位陈述，不做单位换算，涉及区域间比较的结论均使用比值或百分比，不受单位影响。字段的完整说明见表1。原始列名中，区域2与区域3的字段名含有连续两个空格，这一细节在第3章的数据清洗中单独处理。</w:t>
      </w:r>
    </w:p>
    <w:p w14:paraId="1979B001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1"/>
          <w:b w:val="1"/>
        </w:rPr>
        <w:t>表1　数据字段说明</w:t>
      </w:r>
    </w:p>
    <w:tbl>
      <w:tblPr>
        <w:tblStyle w:val="17"/>
        <w:tblW w:w="8896" w:type="dxa"/>
        <w:jc w:val="center"/>
        <w:shd w:val="clear" w:color="1F2430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83"/>
        <w:gridCol w:w="897"/>
        <w:gridCol w:w="1495"/>
        <w:gridCol w:w="859"/>
        <w:gridCol w:w="1099"/>
        <w:gridCol w:w="802"/>
        <w:gridCol w:w="802"/>
        <w:gridCol w:w="802"/>
        <w:gridCol w:w="1357"/>
      </w:tblGrid>
      <w:tr w14:paraId="0BCA2F48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31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61CC7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序号</w:t>
            </w:r>
          </w:p>
        </w:tc>
        <w:tc>
          <w:tcPr>
            <w:tcW w:w="99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EDAA3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原始列名</w:t>
            </w:r>
          </w:p>
        </w:tc>
        <w:tc>
          <w:tcPr>
            <w:tcW w:w="171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A93BE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清洗后列名</w:t>
            </w:r>
          </w:p>
        </w:tc>
        <w:tc>
          <w:tcPr>
            <w:tcW w:w="99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6CFB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类型</w:t>
            </w:r>
          </w:p>
        </w:tc>
        <w:tc>
          <w:tcPr>
            <w:tcW w:w="87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0653F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单位</w:t>
            </w:r>
          </w:p>
        </w:tc>
        <w:tc>
          <w:tcPr>
            <w:tcW w:w="99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D074B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最小值</w:t>
            </w:r>
          </w:p>
        </w:tc>
        <w:tc>
          <w:tcPr>
            <w:tcW w:w="99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1B451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最大值</w:t>
            </w:r>
          </w:p>
        </w:tc>
        <w:tc>
          <w:tcPr>
            <w:tcW w:w="87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3723D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均值</w:t>
            </w:r>
          </w:p>
        </w:tc>
        <w:tc>
          <w:tcPr>
            <w:tcW w:w="1798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6661F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含义</w:t>
            </w:r>
          </w:p>
        </w:tc>
      </w:tr>
      <w:tr w14:paraId="55A3775C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84A71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</w:t>
            </w:r>
          </w:p>
        </w:tc>
        <w:tc>
          <w:tcPr>
            <w:tcW w:w="99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0BC1B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DateTime</w:t>
            </w:r>
          </w:p>
        </w:tc>
        <w:tc>
          <w:tcPr>
            <w:tcW w:w="171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13CD4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timestamp</w:t>
            </w:r>
          </w:p>
        </w:tc>
        <w:tc>
          <w:tcPr>
            <w:tcW w:w="99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B69B9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datetime64</w:t>
            </w:r>
          </w:p>
        </w:tc>
        <w:tc>
          <w:tcPr>
            <w:tcW w:w="87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7BF3A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—</w:t>
            </w:r>
          </w:p>
        </w:tc>
        <w:tc>
          <w:tcPr>
            <w:tcW w:w="99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3F489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2017-01-01 00:00</w:t>
            </w:r>
          </w:p>
        </w:tc>
        <w:tc>
          <w:tcPr>
            <w:tcW w:w="99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CFD6D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2017-12-30 23:50</w:t>
            </w:r>
          </w:p>
        </w:tc>
        <w:tc>
          <w:tcPr>
            <w:tcW w:w="87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71A72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—</w:t>
            </w:r>
          </w:p>
        </w:tc>
        <w:tc>
          <w:tcPr>
            <w:tcW w:w="1798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278EF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时间戳，10分钟采样</w:t>
            </w:r>
          </w:p>
        </w:tc>
      </w:tr>
      <w:tr w14:paraId="78068156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26ED0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2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5FC88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Temperature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9D030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temperature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8982B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68DDF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℃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18B9E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3.25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9FC27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40.01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F3D48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18.81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2DFB1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气温</w:t>
            </w:r>
          </w:p>
        </w:tc>
      </w:tr>
      <w:tr w14:paraId="0CEB9EA2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9CB43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3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BB1C2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Humidity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34643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humidity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F4FCC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92289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%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2D3CC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11.34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821A3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94.80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340A7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68.26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816AD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相对湿度</w:t>
            </w:r>
          </w:p>
        </w:tc>
      </w:tr>
      <w:tr w14:paraId="0EB79A6B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31641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4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D901B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Wind Speed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23E15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wind_speed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89677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52AFA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2A2DD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0.0500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2DF24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6.48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B3EE1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1.96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C2154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风速</w:t>
            </w:r>
          </w:p>
        </w:tc>
      </w:tr>
      <w:tr w14:paraId="3466770E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ABA8F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7D675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general diffuse flows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F15DA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general_diffuse_flows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A19CB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06E1C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10E83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0.0040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A933B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1,163.00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30B94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182.70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40F0E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总漫射辐射</w:t>
            </w:r>
          </w:p>
        </w:tc>
      </w:tr>
      <w:tr w14:paraId="48146B12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F2234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6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40812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diffuse flows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A6D8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diffuse_flows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CBCC6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6EB1F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D288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0.0110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F8321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936.00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A734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75.03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85262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漫射辐射</w:t>
            </w:r>
          </w:p>
        </w:tc>
      </w:tr>
      <w:tr w14:paraId="4FD1AAF5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5C7C6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1CBC8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Zone 1 Power Consumption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7A5E3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zone1_power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7D3A8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3AF8A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61ED9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13,895.70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E3B7C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52,204.40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0E40E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32,344.97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DCE88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区域1负荷</w:t>
            </w:r>
          </w:p>
        </w:tc>
      </w:tr>
      <w:tr w14:paraId="17DD31EF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98550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8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02566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Zone 2Power Consumption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B90F4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zone2_power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8CAFB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3D3EB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9CDB4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8,560.08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9463D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37,408.86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C637E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21,042.51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5B266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区域2负荷（原列名含连续两个空格）</w:t>
            </w:r>
          </w:p>
        </w:tc>
      </w:tr>
      <w:tr w14:paraId="75628D4F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D1629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9</w:t>
            </w:r>
          </w:p>
        </w:tc>
        <w:tc>
          <w:tcPr>
            <w:tcW w:w="99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C0CAC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Zone 3Power Consumption</w:t>
            </w:r>
          </w:p>
        </w:tc>
        <w:tc>
          <w:tcPr>
            <w:tcW w:w="171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2FC81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zone3_power</w:t>
            </w:r>
          </w:p>
        </w:tc>
        <w:tc>
          <w:tcPr>
            <w:tcW w:w="99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1B58F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2FFFC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7524A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5,935.17</w:t>
            </w:r>
          </w:p>
        </w:tc>
        <w:tc>
          <w:tcPr>
            <w:tcW w:w="99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0CF7F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47,598.33</w:t>
            </w:r>
          </w:p>
        </w:tc>
        <w:tc>
          <w:tcPr>
            <w:tcW w:w="87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90E12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17,835.41</w:t>
            </w:r>
          </w:p>
        </w:tc>
        <w:tc>
          <w:tcPr>
            <w:tcW w:w="1798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1A274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区域3负荷（原列名含连续两个空格）</w:t>
            </w:r>
          </w:p>
        </w:tc>
      </w:tr>
    </w:tbl>
    <w:p w14:paraId="60D415D2">
      <w:pPr>
        <w:rPr>
          <w:color w:val="4B5563"/>
        </w:rPr>
        <w:sectPr>
          <w:footerReference r:id="rId7" w:type="default"/>
          <w:pgSz w:w="11906" w:h="16838"/>
          <w:pgMar w:top="1383" w:right="1689" w:bottom="1383" w:left="1689" w:header="851" w:footer="992" w:gutter="0"/>
          <w:cols w:space="720" w:num="1"/>
        </w:sectPr>
        <w:jc w:val="both"/>
      </w:pPr>
      <w:r>
        <w:rPr>
          <w:rFonts w:hint="eastAsia" w:ascii="Times New Roman" w:hAnsi="Times New Roman" w:eastAsia="宋体" w:cs="Times New Roman"/>
          <w:color w:val="4B5563"/>
          <w:sz w:val="18"/>
        </w:rPr>
        <w:t>注：统计范围为2017年1月1日至12月30日共364天的52,416条记录。温度与湿度按数值量纲判断为℃和%；风速、两项辐射量与负荷的单位原始数据未注明，本表不做推断。</w:t>
      </w:r>
    </w:p>
    <w:p w14:paraId="4355F886">
      <w:pPr>
        <w:pStyle w:val="2"/>
        <w:bidi w:val="0"/>
        <w:rPr>
          <w:rFonts w:hint="eastAsia"/>
        </w:rPr>
      </w:pPr>
      <w:bookmarkStart w:id="4" w:name="section-4"/>
      <w:bookmarkStart w:id="5" w:name="_Toc1697"/>
      <w:r>
        <w:rPr>
          <w:rFonts w:hint="eastAsia"/>
        </w:rPr>
        <w:t>3　数据清洗与预处理</w:t>
      </w:r>
      <w:bookmarkEnd w:id="4"/>
      <w:bookmarkEnd w:id="5"/>
    </w:p>
    <w:p w14:paraId="373C96EA">
      <w:pPr>
        <w:pStyle w:val="3"/>
        <w:spacing w:before="280" w:beforeAutospacing="1" w:after="280" w:afterAutospacing="1"/>
        <w:rPr>
          <w:rFonts w:hint="eastAsia" w:ascii="黑体" w:hAnsi="黑体" w:eastAsia="黑体" w:cs="Times New Roman"/>
          <w:b/>
          <w:bCs/>
          <w:kern w:val="44"/>
          <w:sz w:val="24"/>
          <w:szCs w:val="24"/>
          <w:lang w:val="en-US" w:eastAsia="zh-CN" w:bidi="ar-SA"/>
        </w:rPr>
      </w:pPr>
      <w:bookmarkStart w:id="6" w:name="section-4-1"/>
      <w:r>
        <w:rPr>
          <w:rFonts w:hint="eastAsia" w:ascii="黑体" w:hAnsi="黑体" w:eastAsia="黑体" w:cs="Times New Roman"/>
          <w:b/>
          <w:bCs/>
          <w:kern w:val="44"/>
          <w:sz w:val="24"/>
          <w:szCs w:val="24"/>
          <w:lang w:val="en-US" w:eastAsia="zh-CN" w:bidi="ar-SA"/>
        </w:rPr>
        <w:t>3.1　列名</w:t>
      </w:r>
      <w:r>
        <w:rPr>
          <w:rStyle w:val="26"/>
          <w:rFonts w:hint="eastAsia"/>
          <w:b/>
          <w:lang w:val="en-US" w:eastAsia="zh-CN"/>
        </w:rPr>
        <w:t>与类型规整</w:t>
      </w:r>
      <w:bookmarkEnd w:id="6"/>
    </w:p>
    <w:p w14:paraId="2A7651D8">
      <w:pPr>
        <w:bidi w:val="0"/>
        <w:rPr>
          <w:rFonts w:hint="eastAsia" w:ascii="宋体" w:hAnsi="宋体" w:eastAsia="宋体" w:cs="宋体"/>
          <w:kern w:val="0"/>
          <w:sz w:val="24"/>
        </w:rPr>
      </w:pPr>
      <w:r>
        <w:rPr>
          <w:rFonts w:hint="eastAsia" w:ascii="宋体" w:hAnsi="宋体" w:eastAsia="宋体" w:cs="宋体"/>
          <w:kern w:val="0"/>
          <w:sz w:val="24"/>
        </w:rPr>
        <w:t>原始列名混用了空格、大小写和缩写</w:t>
      </w:r>
      <w:r>
        <w:rPr>
          <w:rFonts w:hint="eastAsia" w:ascii="Times New Roman" w:hAnsi="Times New Roman" w:eastAsia="宋体" w:cs="Times New Roman"/>
          <w:kern w:val="0"/>
          <w:sz w:val="24"/>
        </w:rPr>
        <w:t>（</w:t>
      </w:r>
      <w:r>
        <w:rPr>
          <w:rFonts w:hint="eastAsia" w:ascii="宋体" w:hAnsi="宋体" w:eastAsia="宋体" w:cs="宋体"/>
          <w:kern w:val="0"/>
          <w:sz w:val="24"/>
        </w:rPr>
        <w:t>如</w:t>
      </w:r>
      <w:r>
        <w:rPr>
          <w:rFonts w:hint="default" w:ascii="Times New Roman" w:hAnsi="Times New Roman" w:eastAsia="宋体" w:cs="Times New Roman"/>
          <w:kern w:val="0"/>
          <w:sz w:val="24"/>
        </w:rPr>
        <w:t>Wind Speed、general diffuse flows）</w:t>
      </w:r>
      <w:r>
        <w:rPr>
          <w:rFonts w:hint="eastAsia" w:ascii="宋体" w:hAnsi="宋体" w:eastAsia="宋体" w:cs="宋体"/>
          <w:kern w:val="0"/>
          <w:sz w:val="24"/>
        </w:rPr>
        <w:t>，其中区域2、区</w:t>
      </w:r>
      <w:r>
        <w:rPr>
          <w:rFonts w:hint="eastAsia"/>
        </w:rPr>
        <w:t>域3的列</w:t>
      </w:r>
      <w:r>
        <w:rPr>
          <w:rFonts w:hint="eastAsia" w:ascii="宋体" w:hAnsi="宋体" w:eastAsia="宋体" w:cs="宋体"/>
          <w:kern w:val="0"/>
          <w:sz w:val="24"/>
        </w:rPr>
        <w:t>名还带有连续两个空格。清洗时先将连续空白折叠为单个空格、去除首尾空格，再统一映射为小写下划线形式，得到</w:t>
      </w:r>
      <w:r>
        <w:rPr>
          <w:rFonts w:hint="eastAsia" w:ascii="Times New Roman" w:hAnsi="Times New Roman" w:eastAsia="宋体" w:cs="Times New Roman"/>
          <w:kern w:val="0"/>
          <w:sz w:val="24"/>
        </w:rPr>
        <w:t>timestamp、temperature、humidity、wind_speed、general_diffuse_flows、diffuse_flows、zone1_power、zone2_power、zone3_power</w:t>
      </w:r>
      <w:r>
        <w:rPr>
          <w:rFonts w:hint="eastAsia" w:ascii="宋体" w:hAnsi="宋体" w:eastAsia="宋体" w:cs="宋体"/>
          <w:kern w:val="0"/>
          <w:sz w:val="24"/>
        </w:rPr>
        <w:t>共9个列名。</w:t>
      </w:r>
    </w:p>
    <w:p w14:paraId="182EA636">
      <w:pPr>
        <w:widowControl/>
        <w:snapToGrid w:val="0"/>
        <w:spacing w:before="100" w:beforeAutospacing="1" w:line="440" w:lineRule="atLeast"/>
        <w:ind w:firstLine="480" w:firstLineChars="200"/>
        <w:jc w:val="left"/>
        <w:rPr>
          <w:color w:val="1F2430"/>
        </w:rPr>
      </w:pPr>
      <w:r>
        <w:rPr>
          <w:rFonts w:hint="eastAsia" w:ascii="宋体" w:hAnsi="宋体" w:eastAsia="宋体" w:cs="宋体"/>
          <w:kern w:val="0"/>
          <w:sz w:val="24"/>
        </w:rPr>
        <w:t>原始时间列形如1/1/2017 0:00，按字符串读入时是</w:t>
      </w:r>
      <w:r>
        <w:rPr>
          <w:rFonts w:hint="eastAsia" w:ascii="Times New Roman" w:hAnsi="Times New Roman" w:eastAsia="宋体" w:cs="Times New Roman"/>
          <w:kern w:val="0"/>
          <w:sz w:val="24"/>
        </w:rPr>
        <w:t>object</w:t>
      </w:r>
      <w:r>
        <w:rPr>
          <w:rFonts w:hint="eastAsia" w:ascii="宋体" w:hAnsi="宋体" w:eastAsia="宋体" w:cs="宋体"/>
          <w:kern w:val="0"/>
          <w:sz w:val="24"/>
        </w:rPr>
        <w:t>类型。用</w:t>
      </w:r>
      <w:r>
        <w:rPr>
          <w:rFonts w:hint="eastAsia" w:ascii="Times New Roman" w:hAnsi="Times New Roman" w:eastAsia="宋体" w:cs="Times New Roman"/>
          <w:kern w:val="0"/>
          <w:sz w:val="24"/>
        </w:rPr>
        <w:t>pandas.to_datetime</w:t>
      </w:r>
      <w:r>
        <w:rPr>
          <w:rFonts w:hint="eastAsia" w:ascii="宋体" w:hAnsi="宋体" w:eastAsia="宋体" w:cs="宋体"/>
          <w:kern w:val="0"/>
          <w:sz w:val="24"/>
        </w:rPr>
        <w:t>解析后转为</w:t>
      </w:r>
      <w:r>
        <w:rPr>
          <w:rFonts w:hint="eastAsia" w:ascii="Times New Roman" w:hAnsi="Times New Roman" w:eastAsia="宋体" w:cs="Times New Roman"/>
          <w:kern w:val="0"/>
          <w:sz w:val="24"/>
        </w:rPr>
        <w:t>datetime64</w:t>
      </w:r>
      <w:r>
        <w:rPr>
          <w:rFonts w:hint="eastAsia" w:ascii="宋体" w:hAnsi="宋体" w:eastAsia="宋体" w:cs="宋体"/>
          <w:kern w:val="0"/>
          <w:sz w:val="24"/>
        </w:rPr>
        <w:t>类型，52,416条记录全部解析成功，没有出现无法识别的格式。其余8个数值字段统一转为</w:t>
      </w:r>
      <w:r>
        <w:rPr>
          <w:rFonts w:hint="eastAsia" w:ascii="Times New Roman" w:hAnsi="Times New Roman" w:eastAsia="宋体" w:cs="Times New Roman"/>
          <w:kern w:val="0"/>
          <w:sz w:val="24"/>
        </w:rPr>
        <w:t>float64</w:t>
      </w:r>
      <w:r>
        <w:rPr>
          <w:rFonts w:hint="eastAsia" w:ascii="宋体" w:hAnsi="宋体" w:eastAsia="宋体" w:cs="宋体"/>
          <w:kern w:val="0"/>
          <w:sz w:val="24"/>
        </w:rPr>
        <w:t>，转换过程中没有产生新的缺失值。</w:t>
      </w:r>
    </w:p>
    <w:p w14:paraId="50AB17D2">
      <w:pPr>
        <w:pStyle w:val="3"/>
        <w:bidi w:val="0"/>
      </w:pPr>
      <w:bookmarkStart w:id="7" w:name="section-4-2"/>
      <w:r>
        <w:rPr>
          <w:rFonts w:hint="eastAsia"/>
        </w:rPr>
        <w:t>3.2　缺失值与重复值</w:t>
      </w:r>
      <w:bookmarkEnd w:id="7"/>
    </w:p>
    <w:p w14:paraId="4EBDA197">
      <w:pPr>
        <w:widowControl/>
        <w:snapToGrid w:val="0"/>
        <w:spacing w:before="100" w:beforeAutospacing="1" w:line="440" w:lineRule="atLeast"/>
        <w:ind w:firstLine="480" w:firstLineChars="200"/>
        <w:jc w:val="left"/>
        <w:rPr>
          <w:rFonts w:hint="eastAsia" w:ascii="宋体" w:hAnsi="宋体" w:eastAsia="宋体" w:cs="宋体"/>
          <w:kern w:val="0"/>
          <w:sz w:val="24"/>
        </w:rPr>
      </w:pPr>
      <w:r>
        <w:rPr>
          <w:rFonts w:hint="eastAsia" w:ascii="宋体" w:hAnsi="宋体" w:eastAsia="宋体" w:cs="宋体"/>
          <w:kern w:val="0"/>
          <w:sz w:val="24"/>
        </w:rPr>
        <w:t>原始数据不含缺失值，52,416行×9列均完整，因此没有做插值或删除。完全重复的行为0条，重复时间戳为0个，时间序列严格按10分钟等间隔排列，也不存在跨天、跨月的采样中断。这一点在时间序列建模中很重要：如果存在缺测时段，构造t+6的预测目标时会出现目标时刻无观测的情况；本数据没有这个问题，可以直接按固定步长构造样本。</w:t>
      </w:r>
    </w:p>
    <w:p w14:paraId="5BECF093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8" w:name="section-4-3"/>
      <w:r>
        <w:rPr>
          <w:rFonts w:hint="eastAsia"/>
          <w:color w:val="1F2430"/>
        </w:rPr>
        <w:t>3.3　异常值</w:t>
      </w:r>
      <w:bookmarkEnd w:id="8"/>
    </w:p>
    <w:p w14:paraId="2BD625A0">
      <w:pPr>
        <w:rPr>
          <w:color w:val="1F2430"/>
        </w:rPr>
      </w:pPr>
      <w:r>
        <w:rPr>
          <w:rFonts w:hint="eastAsia"/>
          <w:color w:val="1F2430"/>
        </w:rPr>
        <w:t>异常值用IQR规则标记，即超出Q1 − 3×IQR或Q3 + 3×IQR的点。九个字段中共标记1,708条，其中diffuse_flows 1,690条、zone3_power 18条，其余字段在3倍IQR下没有被标记。</w:t>
      </w:r>
    </w:p>
    <w:p w14:paraId="516E2605">
      <w:pPr>
        <w:rPr>
          <w:color w:val="1F2430"/>
        </w:rPr>
      </w:pPr>
      <w:r>
        <w:rPr>
          <w:rFonts w:hint="eastAsia"/>
          <w:color w:val="1F2430"/>
        </w:rPr>
        <w:t>对这些点逐类核对后，决定</w:t>
      </w:r>
      <w:r>
        <w:rPr>
          <w:rFonts w:hint="eastAsia"/>
          <w:b/>
          <w:color w:val="1F2430"/>
        </w:rPr>
        <w:t>只标记、不删除、不替换</w:t>
      </w:r>
      <w:r>
        <w:rPr>
          <w:rFonts w:hint="eastAsia"/>
          <w:color w:val="1F2430"/>
        </w:rPr>
        <w:t>。diffuse_flows的极端点集中在9时至16时以及2月和5月，正是日照最强的时段和月份，反映的是气象变量的真实波动，删除会削掉白天的信息；zone3_power的18个点集中在7月的19时至20时，对应夏季晚高峰，属于业务上需要重点关注的时段，尤其不能删。清洗阶段另有一项判断：负荷出现负值应视为错误，检查结果为0条。标记结果单独写入anomaly_flags.csv，仅用于说明，不作为模型输入。</w:t>
      </w:r>
    </w:p>
    <w:p w14:paraId="09B55ED1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9" w:name="section-4-4"/>
      <w:r>
        <w:rPr>
          <w:rFonts w:hint="eastAsia"/>
          <w:color w:val="1F2430"/>
        </w:rPr>
        <w:t>3.4　输出接口</w:t>
      </w:r>
      <w:bookmarkEnd w:id="9"/>
    </w:p>
    <w:p w14:paraId="0E0338F8">
      <w:pPr>
        <w:rPr>
          <w:color w:val="1F2430"/>
        </w:rPr>
      </w:pPr>
      <w:r>
        <w:rPr>
          <w:rFonts w:hint="eastAsia"/>
          <w:color w:val="1F2430"/>
        </w:rPr>
        <w:t>清洗后的数据固定输出9列，行按时间升序排列、索引重置，写入data/processed/power_load_clean.csv，列名与类型在docs/data_interface.md中固定下来。后续的特征工程、模型训练和误差分析统一从这个文件读取，避免各人按不同假设重复读取原始数据。清洗结果的质量指标汇总在表2。</w:t>
      </w:r>
    </w:p>
    <w:p w14:paraId="2CAD28AF">
      <w:pPr>
        <w:jc w:val="center"/>
        <w:rPr>
          <w:rFonts w:hint="eastAsia"/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1"/>
          <w:b w:val="1"/>
        </w:rPr>
        <w:t>表2　数据质量与清洗情况</w:t>
      </w:r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24"/>
        <w:gridCol w:w="2129"/>
        <w:gridCol w:w="4053"/>
      </w:tblGrid>
      <w:tr w14:paraId="017A156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2124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FE89F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检查项</w:t>
            </w:r>
          </w:p>
        </w:tc>
        <w:tc>
          <w:tcPr>
            <w:tcW w:w="2129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FF415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结果</w:t>
            </w:r>
          </w:p>
        </w:tc>
        <w:tc>
          <w:tcPr>
            <w:tcW w:w="4053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79749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处理方式</w:t>
            </w:r>
          </w:p>
        </w:tc>
      </w:tr>
      <w:tr w14:paraId="1D3C0C3C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2124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4D14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原始记录数</w:t>
            </w:r>
          </w:p>
        </w:tc>
        <w:tc>
          <w:tcPr>
            <w:tcW w:w="2129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2CC8F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52,416</w:t>
            </w:r>
          </w:p>
        </w:tc>
        <w:tc>
          <w:tcPr>
            <w:tcW w:w="4053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257D1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—</w:t>
            </w:r>
          </w:p>
        </w:tc>
      </w:tr>
      <w:tr w14:paraId="7842416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AE147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字段数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53FBA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9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EB5C5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—</w:t>
            </w:r>
          </w:p>
        </w:tc>
      </w:tr>
      <w:tr w14:paraId="6A7720A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D5124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时间范围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2ABDE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2017-01-01 00:00至2017-12-30 23:50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C422C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—</w:t>
            </w:r>
          </w:p>
        </w:tc>
      </w:tr>
      <w:tr w14:paraId="1EA4AEF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2CAA3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时间跨度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8BE4D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364天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D7D21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—</w:t>
            </w:r>
          </w:p>
        </w:tc>
      </w:tr>
      <w:tr w14:paraId="08C05726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D8894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采样间隔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16487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10分钟（1种）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E6225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无需重采样，保持10分钟粒度</w:t>
            </w:r>
          </w:p>
        </w:tc>
      </w:tr>
      <w:tr w14:paraId="16BFE669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DC03B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缺失值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87D5E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0个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24F46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无缺失，未做插值</w:t>
            </w:r>
          </w:p>
        </w:tc>
      </w:tr>
      <w:tr w14:paraId="7884552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F7145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完全重复行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D3873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0行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F8669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重复行整行删除</w:t>
            </w:r>
          </w:p>
        </w:tc>
      </w:tr>
      <w:tr w14:paraId="1817723F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C33F6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重复时间戳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6395C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0个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76B55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无重复，不需要去重</w:t>
            </w:r>
          </w:p>
        </w:tc>
      </w:tr>
      <w:tr w14:paraId="6D17C48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8691B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负荷负值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91B1A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0个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5899F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无负值，未做截断</w:t>
            </w:r>
          </w:p>
        </w:tc>
      </w:tr>
      <w:tr w14:paraId="3E29F3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DBCF3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列名规整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A9CFE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2处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99464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Zone 2 / Zone 3列名的连续空格折叠为单空格，再统一为snake_case</w:t>
            </w:r>
          </w:p>
        </w:tc>
      </w:tr>
      <w:tr w14:paraId="72350911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7229D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类型转换失败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BB017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0个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349B4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全部字段可转为数值，无需人工修正</w:t>
            </w:r>
          </w:p>
        </w:tc>
      </w:tr>
      <w:tr w14:paraId="769765D7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A9C62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异常值标记（3×IQR）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231B6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1,708条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DE636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只标记到anomaly_flags.csv，不删除、不替换</w:t>
            </w:r>
          </w:p>
        </w:tc>
      </w:tr>
      <w:tr w14:paraId="028D63DA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2ACEA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输出记录数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45FB7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52,416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CDADB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行按时间升序，索引重置</w:t>
            </w:r>
          </w:p>
        </w:tc>
      </w:tr>
      <w:tr w14:paraId="63AF15C6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3C620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其中diffuse_flows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89C3D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1,690条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2A23D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极端点集中在固定时段，按真实波动保留</w:t>
            </w:r>
          </w:p>
        </w:tc>
      </w:tr>
      <w:tr w14:paraId="3727B77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2124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E33F1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其中zone3_power</w:t>
            </w:r>
          </w:p>
        </w:tc>
        <w:tc>
          <w:tcPr>
            <w:tcW w:w="2129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F95B3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18条</w:t>
            </w:r>
          </w:p>
        </w:tc>
        <w:tc>
          <w:tcPr>
            <w:tcW w:w="4053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2CDD0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极端点集中在固定时段，按真实波动保留</w:t>
            </w:r>
          </w:p>
        </w:tc>
      </w:tr>
    </w:tbl>
    <w:p w14:paraId="09B76333">
      <w:pPr>
        <w:rPr>
          <w:color w:val="4B5563"/>
        </w:rPr>
        <w:sectPr>
          <w:footerReference r:id="rId8" w:type="default"/>
          <w:pgSz w:w="11906" w:h="16838"/>
          <w:pgMar w:top="1383" w:right="1689" w:bottom="1383" w:left="1689" w:header="851" w:footer="992" w:gutter="0"/>
          <w:cols w:space="720" w:num="1"/>
        </w:sectPr>
        <w:jc w:val="both"/>
      </w:pPr>
      <w:r>
        <w:rPr>
          <w:rFonts w:hint="eastAsia" w:ascii="Times New Roman" w:hAnsi="Times New Roman" w:eastAsia="宋体" w:cs="Times New Roman"/>
          <w:color w:val="4B5563"/>
          <w:sz w:val="18"/>
        </w:rPr>
        <w:t>注：异常值为3倍四分位距规则的统计标记，仅用于提示，清洗阶段不做删除或替换；负荷峰值属真实用电行为，保留原值。</w:t>
      </w:r>
    </w:p>
    <w:p w14:paraId="5B6549C2">
      <w:pPr>
        <w:pStyle w:val="2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10" w:name="section-5"/>
      <w:bookmarkStart w:id="11" w:name="_Toc2067"/>
      <w:r>
        <w:rPr>
          <w:rFonts w:hint="eastAsia"/>
          <w:color w:val="1F2430"/>
        </w:rPr>
        <w:t>4　负荷的时序规律</w:t>
      </w:r>
      <w:bookmarkEnd w:id="10"/>
      <w:bookmarkEnd w:id="11"/>
    </w:p>
    <w:p w14:paraId="33315D50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12" w:name="section-5-1"/>
      <w:r>
        <w:rPr>
          <w:rFonts w:hint="eastAsia"/>
          <w:color w:val="1F2430"/>
        </w:rPr>
        <w:t>4.1　年内走势</w:t>
      </w:r>
      <w:bookmarkEnd w:id="12"/>
    </w:p>
    <w:p w14:paraId="07D5A06E">
      <w:pPr>
        <w:rPr>
          <w:color w:val="1F2430"/>
        </w:rPr>
      </w:pPr>
      <w:r>
        <w:rPr>
          <w:rFonts w:hint="eastAsia"/>
          <w:color w:val="1F2430"/>
        </w:rPr>
        <w:t>三个区域的负荷水平差距明显。年内日均值分别为32,345、21,043和17,835，区域1约为区域3的1.8倍，且这一量级关系在年内稳定（图1）。季节形态则三个区各不相同：区域1最平缓，最高月比最低月高约两成半；区域2在7、8月形成夏季峰，11、12月又出现一个高于春季的次高峰；区域3起伏最剧烈，7月达到28,200，12月降至11,000，最高月是最低月的2.6倍。按季节平均，区域3夏季负荷是冬季的1.59倍，区域1和区域2分别只有1.17和1.12倍。</w:t>
      </w:r>
    </w:p>
    <w:p w14:paraId="297851B0">
      <w:pPr>
        <w:rPr>
          <w:color w:val="1F2430"/>
        </w:rPr>
      </w:pPr>
      <w:r>
        <w:rPr>
          <w:rFonts w:hint="eastAsia"/>
          <w:color w:val="1F2430"/>
        </w:rPr>
        <w:t>区域3从9月到12月的连续下滑需要谨慎对待：其中既有季节性成分，也可能包含全年负荷水平的整体下移，本数据只有一个年度周期，两种成分无法分离，因此按观测值陈述，不做季节性归因。负荷水平的年内下移是可以确认的：区域1在训练期的日均值为33,065，测试期为29,056。这一事实直接关系到第6章的数据划分方式。</w:t>
      </w:r>
    </w:p>
    <w:p w14:paraId="07E2897C">
      <w:pPr>
        <w:ind w:left="0" w:leftChars="0" w:firstLine="0" w:firstLineChars="0"/>
        <w:jc w:val="center"/>
        <w:rPr>
          <w:color w:val="1F2430"/>
        </w:rPr>
      </w:pPr>
      <w:r>
        <w:drawing>
          <wp:inline distT="0" distB="0" distL="0" distR="0">
            <wp:extent cx="5274310" cy="1979295"/>
            <wp:effectExtent l="0" t="0" r="8890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9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10489">
      <w:pPr>
        <w:jc w:val="center"/>
        <w:rPr>
          <w:rFonts w:hint="eastAsia"/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1"/>
          <w:b w:val="1"/>
        </w:rPr>
        <w:t>图1　三个区域日均负荷的全年走势</w:t>
      </w:r>
    </w:p>
    <w:p w14:paraId="3FD7AEDF">
      <w:pPr>
        <w:rPr>
          <w:color w:val="4B5563"/>
        </w:rPr>
      </w:pPr>
      <w:r>
        <w:rPr>
          <w:rFonts w:hint="eastAsia"/>
          <w:color w:val="4B5563"/>
        </w:rPr>
        <w:t>2017年1月1日至12月30日，52,416条10分钟观测按日取均值；浅色线为日均值，粗线为7日滑动平均；阴影区间为6—8月。</w:t>
      </w:r>
    </w:p>
    <w:p w14:paraId="505C7634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13" w:name="section-5-2"/>
      <w:r>
        <w:rPr>
          <w:rFonts w:hint="eastAsia"/>
          <w:color w:val="1F2430"/>
        </w:rPr>
        <w:t>4.2　日内规律</w:t>
      </w:r>
      <w:bookmarkEnd w:id="13"/>
    </w:p>
    <w:p w14:paraId="062F96E4">
      <w:pPr>
        <w:rPr>
          <w:color w:val="1F2430"/>
        </w:rPr>
      </w:pPr>
      <w:r>
        <w:rPr>
          <w:rFonts w:hint="eastAsia"/>
          <w:color w:val="1F2430"/>
        </w:rPr>
        <w:t>三个区域的峰谷时刻高度一致，谷值出现在6至7时，峰值出现在20时。区域1和区域2的峰谷比为1.89，区域3为2.23（图2）。曲线呈"凌晨低谷、午间平台、晚间高峰"的三段结构，并非典型双峰。</w:t>
      </w:r>
    </w:p>
    <w:p w14:paraId="12013A39">
      <w:pPr>
        <w:rPr>
          <w:rFonts w:hint="eastAsia"/>
          <w:color w:val="1F2430"/>
        </w:rPr>
      </w:pPr>
      <w:r>
        <w:rPr>
          <w:rFonts w:hint="eastAsia"/>
          <w:color w:val="1F2430"/>
        </w:rPr>
        <w:t>工作日与周末的差距主要落在白天：区域1晚高峰时段工作日与周末仅差2.8%，全天差距3.6%；区域2差别更明显（6.2% 与8.2%）；区域3几乎没有区别。峰值时刻的日间稳定性很高：三个区分别有98.9%、97.5%、99.2% 的日子全天最高负荷落在18至21时。日峰值本身的波动则差别明显：变异系数区域1为7.4%、区域2为12.5%、区域3高达27.7%——这一差别解释了第6章分区域误差的分布：区域3难预测，主因不在模型，而在目标序列自身的波动幅度。</w:t>
      </w:r>
    </w:p>
    <w:p w14:paraId="55288549">
      <w:pPr>
        <w:ind w:left="0" w:leftChars="0" w:firstLine="0" w:firstLineChars="0"/>
        <w:jc w:val="center"/>
        <w:rPr>
          <w:color w:val="1F2430"/>
        </w:rPr>
      </w:pPr>
      <w:r>
        <w:drawing>
          <wp:inline distT="0" distB="0" distL="0" distR="0">
            <wp:extent cx="5302885" cy="1636395"/>
            <wp:effectExtent l="0" t="0" r="5715" b="190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2885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E27CD">
      <w:pPr>
        <w:jc w:val="center"/>
        <w:rPr>
          <w:rFonts w:hint="eastAsia"/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1"/>
          <w:b w:val="1"/>
        </w:rPr>
        <w:t>图2　日内负荷曲线：工作日与周末对比</w:t>
      </w:r>
    </w:p>
    <w:p w14:paraId="7E99949F">
      <w:pPr>
        <w:rPr>
          <w:color w:val="4B5563"/>
        </w:rPr>
      </w:pPr>
      <w:r>
        <w:rPr>
          <w:rFonts w:hint="eastAsia"/>
          <w:color w:val="4B5563"/>
        </w:rPr>
        <w:t>已记录时段内观测按小时取均值，实线为工作日，虚线为周末；三个子图的纵轴范围各自独立，不宜直接比较幅度。</w:t>
      </w:r>
    </w:p>
    <w:p w14:paraId="64E79DF5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14" w:name="section-5-3"/>
      <w:r>
        <w:rPr>
          <w:rFonts w:hint="eastAsia"/>
          <w:color w:val="1F2430"/>
        </w:rPr>
        <w:t>4.3　周内规律</w:t>
      </w:r>
      <w:bookmarkEnd w:id="14"/>
    </w:p>
    <w:p w14:paraId="24A3A622">
      <w:pPr>
        <w:rPr>
          <w:color w:val="1F2430"/>
        </w:rPr>
      </w:pPr>
      <w:r>
        <w:rPr>
          <w:rFonts w:hint="eastAsia"/>
          <w:color w:val="1F2430"/>
        </w:rPr>
        <w:t>区域1和区域2的周内走势一致：周一至周四持平，周五开始走弱，周日最低，工作日与周末的比值分别为1.04和1.09。区域3的走向相反，周五反而是全周最低，工作日与周末比值0.99，实际不存在星期效应（图3）。这一差异决定了星期特征对区域3的贡献有限。</w:t>
      </w:r>
    </w:p>
    <w:p w14:paraId="35292FEF">
      <w:pPr>
        <w:ind w:left="0" w:leftChars="0" w:firstLine="0" w:firstLineChars="0"/>
        <w:jc w:val="center"/>
        <w:rPr>
          <w:color w:val="1F2430"/>
        </w:rPr>
      </w:pPr>
      <w:r>
        <w:drawing>
          <wp:inline distT="0" distB="0" distL="0" distR="0">
            <wp:extent cx="5347335" cy="1583690"/>
            <wp:effectExtent l="0" t="0" r="12065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47335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A58A">
      <w:pPr>
        <w:jc w:val="center"/>
        <w:rPr>
          <w:rFonts w:hint="eastAsia"/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1"/>
          <w:b w:val="1"/>
        </w:rPr>
        <w:t>图3　周内各天的平均负荷</w:t>
      </w:r>
    </w:p>
    <w:p w14:paraId="677B5E12">
      <w:pPr>
        <w:rPr>
          <w:color w:val="4B5563"/>
        </w:rPr>
      </w:pPr>
      <w:r>
        <w:rPr>
          <w:rFonts w:hint="eastAsia"/>
          <w:color w:val="4B5563"/>
        </w:rPr>
        <w:t>已记录时段内观测按星期取均值；三个子图纵轴范围独立，跨区域比较请参见第4.5节汇总表。</w:t>
      </w:r>
    </w:p>
    <w:p w14:paraId="02D4C890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15" w:name="section-5-4"/>
      <w:r>
        <w:rPr>
          <w:rFonts w:hint="eastAsia"/>
          <w:color w:val="1F2430"/>
        </w:rPr>
        <w:t>4.4　季节规律</w:t>
      </w:r>
      <w:bookmarkEnd w:id="15"/>
    </w:p>
    <w:p w14:paraId="381EDEA1">
      <w:pPr>
        <w:rPr>
          <w:color w:val="1F2430"/>
        </w:rPr>
      </w:pPr>
      <w:r>
        <w:rPr>
          <w:rFonts w:hint="eastAsia"/>
          <w:color w:val="1F2430"/>
        </w:rPr>
        <w:t>按月统计的箱线图显示，中位数的月度走势与日均值一致，但箱体高度在夏季明显变大，说明夏季不仅负荷水平高，日内波动和日间差异也都大于冬季（图4）。各区极值月份：区域1、2最高月在8月，区域3在7月；最低月区域1、3分别为11、12月，区域2的低谷却出现在4月——该区域冬季负荷并不低，真正的低谷在春季。</w:t>
      </w:r>
    </w:p>
    <w:p w14:paraId="134FA7AD">
      <w:pPr>
        <w:ind w:left="0" w:leftChars="0" w:firstLine="0" w:firstLineChars="0"/>
        <w:jc w:val="center"/>
        <w:rPr>
          <w:color w:val="1F2430"/>
        </w:rPr>
      </w:pPr>
      <w:r>
        <w:drawing>
          <wp:inline distT="0" distB="0" distL="0" distR="0">
            <wp:extent cx="5274310" cy="163449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05284">
      <w:pPr>
        <w:jc w:val="center"/>
        <w:rPr>
          <w:rFonts w:hint="eastAsia"/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1"/>
          <w:b w:val="1"/>
        </w:rPr>
        <w:t>图4　按月份的负荷分布</w:t>
      </w:r>
    </w:p>
    <w:p w14:paraId="45CA7469">
      <w:pPr>
        <w:rPr>
          <w:color w:val="4B5563"/>
        </w:rPr>
      </w:pPr>
      <w:r>
        <w:rPr>
          <w:rFonts w:hint="eastAsia"/>
          <w:color w:val="4B5563"/>
        </w:rPr>
        <w:t>已记录时段内10分钟观测按月份绘制的箱线图，箱体为四分位区间，横线为中位数，须线延伸至1.5倍四分位距，离群点已隐去；三个子图纵轴范围独立。</w:t>
      </w:r>
    </w:p>
    <w:p w14:paraId="02E0ADB3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16" w:name="section-5-5"/>
      <w:r>
        <w:rPr>
          <w:rFonts w:hint="eastAsia"/>
          <w:color w:val="1F2430"/>
        </w:rPr>
        <w:t>4.5　分区对比</w:t>
      </w:r>
      <w:bookmarkEnd w:id="16"/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11"/>
        <w:gridCol w:w="1965"/>
        <w:gridCol w:w="1965"/>
        <w:gridCol w:w="1965"/>
      </w:tblGrid>
      <w:tr w14:paraId="4995DE53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2411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745F6F">
            <w:pPr>
              <w:snapToGrid w:val="0"/>
              <w:ind w:left="0" w:lef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指标</w:t>
            </w:r>
          </w:p>
        </w:tc>
        <w:tc>
          <w:tcPr>
            <w:tcW w:w="1965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7DC9AC">
            <w:pPr>
              <w:snapToGrid w:val="0"/>
              <w:ind w:left="0" w:lef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区域1</w:t>
            </w:r>
          </w:p>
        </w:tc>
        <w:tc>
          <w:tcPr>
            <w:tcW w:w="1965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AE7343">
            <w:pPr>
              <w:snapToGrid w:val="0"/>
              <w:ind w:left="0" w:lef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区域2</w:t>
            </w:r>
          </w:p>
        </w:tc>
        <w:tc>
          <w:tcPr>
            <w:tcW w:w="1965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88CFBB">
            <w:pPr>
              <w:snapToGrid w:val="0"/>
              <w:ind w:left="0" w:lef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区域3</w:t>
            </w:r>
          </w:p>
        </w:tc>
      </w:tr>
      <w:tr w14:paraId="4409CBC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2411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7EE222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年内日均</w:t>
            </w:r>
          </w:p>
        </w:tc>
        <w:tc>
          <w:tcPr>
            <w:tcW w:w="1965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B5ECDF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32,345</w:t>
            </w:r>
          </w:p>
        </w:tc>
        <w:tc>
          <w:tcPr>
            <w:tcW w:w="1965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4CFB88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21,043</w:t>
            </w:r>
          </w:p>
        </w:tc>
        <w:tc>
          <w:tcPr>
            <w:tcW w:w="1965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5A660D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17,835</w:t>
            </w:r>
          </w:p>
        </w:tc>
      </w:tr>
      <w:tr w14:paraId="7E2B8FB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DC5176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峰时 / 谷时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2DFB7B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20时 / 6时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154878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20时 / 6时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89F292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20时 / 7时</w:t>
            </w:r>
          </w:p>
        </w:tc>
      </w:tr>
      <w:tr w14:paraId="2A2121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3681E1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峰谷比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21795F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1.89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39E2D1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1.89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BF3356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2.23</w:t>
            </w:r>
          </w:p>
        </w:tc>
      </w:tr>
      <w:tr w14:paraId="18165243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1646A9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周末相对工作日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A1A68B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−3.6%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7F2AF1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−8.2%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9F308D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+1.2%</w:t>
            </w:r>
          </w:p>
        </w:tc>
      </w:tr>
      <w:tr w14:paraId="596450C9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241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5EA14B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夏冬比</w:t>
            </w:r>
          </w:p>
        </w:tc>
        <w:tc>
          <w:tcPr>
            <w:tcW w:w="1965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5E82A0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1.17</w:t>
            </w:r>
          </w:p>
        </w:tc>
        <w:tc>
          <w:tcPr>
            <w:tcW w:w="1965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C61FCD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1.12</w:t>
            </w:r>
          </w:p>
        </w:tc>
        <w:tc>
          <w:tcPr>
            <w:tcW w:w="1965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BEAFA0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1.59</w:t>
            </w:r>
          </w:p>
        </w:tc>
      </w:tr>
    </w:tbl>
    <w:p w14:paraId="787C09AE">
      <w:pPr>
        <w:rPr>
          <w:color w:val="1F2430"/>
        </w:rPr>
        <w:sectPr>
          <w:footerReference r:id="rId9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/>
          <w:color w:val="1F2430"/>
        </w:rPr>
        <w:t>三个区共享同一套时间结构，差别集中在幅度上：区域1量级最大、曲线最平稳；区域2星期效应最强且冬季有次高峰；区域3量级最小，季节性和日内波动都最强。建模时应当区别对待，而不是对三个区套用同一组特征。</w:t>
      </w:r>
    </w:p>
    <w:p w14:paraId="498C502C">
      <w:pPr>
        <w:pStyle w:val="2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17" w:name="section-6"/>
      <w:bookmarkStart w:id="18" w:name="_Toc26779"/>
      <w:r>
        <w:rPr>
          <w:rFonts w:hint="eastAsia"/>
          <w:color w:val="1F2430"/>
        </w:rPr>
        <w:t>5　天气因素与负荷的关系</w:t>
      </w:r>
      <w:bookmarkEnd w:id="17"/>
      <w:bookmarkEnd w:id="18"/>
    </w:p>
    <w:p w14:paraId="592399FF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19" w:name="section-6-1"/>
      <w:r>
        <w:rPr>
          <w:rFonts w:hint="eastAsia"/>
          <w:color w:val="1F2430"/>
        </w:rPr>
        <w:t>5.1　相关系数</w:t>
      </w:r>
      <w:bookmarkEnd w:id="19"/>
    </w:p>
    <w:p w14:paraId="45D7B942">
      <w:pPr>
        <w:jc w:val="both"/>
        <w:rPr>
          <w:color w:val="1F2430"/>
        </w:rPr>
      </w:pPr>
      <w:r>
        <w:rPr>
          <w:rFonts w:hint="eastAsia"/>
          <w:color w:val="1F2430"/>
        </w:rPr>
        <w:t>三个区域的负荷与五个气象因子的相关系数见图5与下表（括号外Pearson，括号内Spearman）。</w:t>
      </w:r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4"/>
        <w:gridCol w:w="2224"/>
        <w:gridCol w:w="2224"/>
        <w:gridCol w:w="2224"/>
      </w:tblGrid>
      <w:tr w14:paraId="6E300802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1634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EAE8D9">
            <w:pPr>
              <w:snapToGrid w:val="0"/>
              <w:ind w:left="0" w:lef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因子</w:t>
            </w:r>
          </w:p>
        </w:tc>
        <w:tc>
          <w:tcPr>
            <w:tcW w:w="2224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F3BECC">
            <w:pPr>
              <w:snapToGrid w:val="0"/>
              <w:ind w:left="0" w:lef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区域1</w:t>
            </w:r>
          </w:p>
        </w:tc>
        <w:tc>
          <w:tcPr>
            <w:tcW w:w="2224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EB7C97">
            <w:pPr>
              <w:snapToGrid w:val="0"/>
              <w:ind w:left="0" w:lef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区域2</w:t>
            </w:r>
          </w:p>
        </w:tc>
        <w:tc>
          <w:tcPr>
            <w:tcW w:w="2224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1776AA">
            <w:pPr>
              <w:snapToGrid w:val="0"/>
              <w:ind w:left="0" w:lef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区域3</w:t>
            </w:r>
          </w:p>
        </w:tc>
      </w:tr>
      <w:tr w14:paraId="60FD7EC7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1634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B03408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温度</w:t>
            </w:r>
          </w:p>
        </w:tc>
        <w:tc>
          <w:tcPr>
            <w:tcW w:w="2224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C8E1C2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+0.44（+0.43）</w:t>
            </w:r>
          </w:p>
        </w:tc>
        <w:tc>
          <w:tcPr>
            <w:tcW w:w="2224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89BAED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+0.38（+0.38）</w:t>
            </w:r>
          </w:p>
        </w:tc>
        <w:tc>
          <w:tcPr>
            <w:tcW w:w="2224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D4DBB4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+0.49（+0.44）</w:t>
            </w:r>
          </w:p>
        </w:tc>
      </w:tr>
      <w:tr w14:paraId="17EBA0C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F571D4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湿度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1CD48B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−0.29（−0.30）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129C28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−0.29（−0.31）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FD8533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−0.23（−0.21）</w:t>
            </w:r>
          </w:p>
        </w:tc>
      </w:tr>
      <w:tr w14:paraId="1661673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832B43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风速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1F7BAF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+0.17（+0.11）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D8DA50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+0.15（+0.09）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3C24EC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+0.28（+0.08）</w:t>
            </w:r>
          </w:p>
        </w:tc>
      </w:tr>
      <w:tr w14:paraId="1542307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C1C85B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总漫射辐射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300BF2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+0.19（+0.26）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47284B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+0.16（+0.24）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E195F2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+0.06（+0.08）</w:t>
            </w:r>
          </w:p>
        </w:tc>
      </w:tr>
      <w:tr w14:paraId="55A7DE8D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1634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493C7D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漫射辐射</w:t>
            </w:r>
          </w:p>
        </w:tc>
        <w:tc>
          <w:tcPr>
            <w:tcW w:w="2224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A24E4B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+0.08（+0.12）</w:t>
            </w:r>
          </w:p>
        </w:tc>
        <w:tc>
          <w:tcPr>
            <w:tcW w:w="2224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A266A4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+0.04（+0.10）</w:t>
            </w:r>
          </w:p>
        </w:tc>
        <w:tc>
          <w:tcPr>
            <w:tcW w:w="2224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4881CA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−0.04（−0.02）</w:t>
            </w:r>
          </w:p>
        </w:tc>
      </w:tr>
    </w:tbl>
    <w:p w14:paraId="24119B98">
      <w:pPr>
        <w:rPr>
          <w:color w:val="1F2430"/>
        </w:rPr>
      </w:pPr>
      <w:r>
        <w:rPr>
          <w:rFonts w:hint="eastAsia"/>
          <w:color w:val="1F2430"/>
        </w:rPr>
        <w:t>温度是唯一在三区都稳定为正的因子。风速和总漫射辐射的两种系数差距较大（如区域3风速Pearson 0.28、Spearman仅0.08），说明其数值主要由少数极端时段支撑，放进线性模型并不可靠。三个区域负荷之间的相关系数在0.75至0.84之间，说明三区受共同因素驱动。</w:t>
      </w:r>
    </w:p>
    <w:p w14:paraId="528AE963">
      <w:pPr>
        <w:ind w:left="0" w:leftChars="0" w:firstLine="0" w:firstLineChars="0"/>
        <w:jc w:val="center"/>
        <w:rPr>
          <w:color w:val="1F2430"/>
        </w:rPr>
      </w:pPr>
      <w:r>
        <w:drawing>
          <wp:inline distT="0" distB="0" distL="0" distR="0">
            <wp:extent cx="4907915" cy="4319905"/>
            <wp:effectExtent l="0" t="0" r="6985" b="1079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0791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86CA2">
      <w:pPr>
        <w:jc w:val="center"/>
        <w:rPr>
          <w:rFonts w:hint="eastAsia"/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1"/>
          <w:b w:val="1"/>
        </w:rPr>
        <w:t>图5　天气因子与各区域负荷的相关系数</w:t>
      </w:r>
    </w:p>
    <w:p w14:paraId="47DC4B62">
      <w:pPr>
        <w:rPr>
          <w:color w:val="4B5563"/>
        </w:rPr>
      </w:pPr>
      <w:r>
        <w:rPr>
          <w:rFonts w:hint="eastAsia"/>
          <w:color w:val="4B5563"/>
        </w:rPr>
        <w:t>已记录时段内52,416条观测计算的Pearson相关系数；色标固定为 −1至1，对角线为变量自身相关，数值恒为1。</w:t>
      </w:r>
    </w:p>
    <w:p w14:paraId="6944C1D8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20" w:name="section-6-2"/>
      <w:r>
        <w:rPr>
          <w:rFonts w:hint="eastAsia"/>
          <w:color w:val="1F2430"/>
        </w:rPr>
        <w:t>5.2　温度与负荷的分段特征</w:t>
      </w:r>
      <w:bookmarkEnd w:id="20"/>
    </w:p>
    <w:p w14:paraId="0DCD741B">
      <w:pPr>
        <w:rPr>
          <w:color w:val="1F2430"/>
        </w:rPr>
      </w:pPr>
      <w:r>
        <w:rPr>
          <w:rFonts w:hint="eastAsia"/>
          <w:color w:val="1F2430"/>
        </w:rPr>
        <w:t>分箱均值显示（图6）：6 ℃ 至33 ℃ 区间负荷随温度单调上升，33 ℃ 以上进入平台。温度从6.5 ℃ 升到33.5 ℃ 时，区域1、2的分箱均值各上升69%，区域3上升158%，与它夏冬比1.59、峰谷比2.23的结论一致。数据中</w:t>
      </w:r>
      <w:r>
        <w:rPr>
          <w:rFonts w:hint="eastAsia"/>
          <w:b/>
          <w:color w:val="1F2430"/>
        </w:rPr>
        <w:t>没有观察到典型的U形</w:t>
      </w:r>
      <w:r>
        <w:rPr>
          <w:rFonts w:hint="eastAsia"/>
          <w:color w:val="1F2430"/>
        </w:rPr>
        <w:t>：3 ℃ 至5 ℃ 的负荷并不高于20 ℃ 附近，说明这三个区域的用电对低温不敏感，温度特征在冬季的作用有限。</w:t>
      </w:r>
    </w:p>
    <w:p w14:paraId="1DEBF438">
      <w:pPr>
        <w:ind w:left="0" w:leftChars="0" w:firstLine="0" w:firstLineChars="0"/>
        <w:jc w:val="center"/>
        <w:rPr>
          <w:color w:val="1F2430"/>
        </w:rPr>
      </w:pPr>
      <w:r>
        <w:drawing>
          <wp:inline distT="0" distB="0" distL="0" distR="0">
            <wp:extent cx="5274310" cy="1706245"/>
            <wp:effectExtent l="0" t="0" r="889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4DBF8">
      <w:pPr>
        <w:jc w:val="center"/>
        <w:rPr>
          <w:rFonts w:hint="eastAsia"/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1"/>
          <w:b w:val="1"/>
        </w:rPr>
        <w:t>图6　温度与负荷的关系</w:t>
      </w:r>
    </w:p>
    <w:p w14:paraId="5577617B">
      <w:pPr>
        <w:rPr>
          <w:color w:val="4B5563"/>
        </w:rPr>
      </w:pPr>
      <w:r>
        <w:rPr>
          <w:rFonts w:hint="eastAsia"/>
          <w:color w:val="4B5563"/>
        </w:rPr>
        <w:t>灰点为从已记录时段观测中随机抽样的8,000条记录，折线为按1 ℃ 分箱后的负荷均值，仅保留样本量不少于50的区间；三个子图纵轴范围独立。</w:t>
      </w:r>
    </w:p>
    <w:p w14:paraId="5FE381DA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21" w:name="section-6-3"/>
      <w:r>
        <w:rPr>
          <w:rFonts w:hint="eastAsia"/>
          <w:color w:val="1F2430"/>
        </w:rPr>
        <w:t>5.3　与消融结果的呼应</w:t>
      </w:r>
      <w:bookmarkEnd w:id="21"/>
    </w:p>
    <w:p w14:paraId="35F96B8D">
      <w:pPr>
        <w:rPr>
          <w:color w:val="1F2430"/>
        </w:rPr>
      </w:pPr>
      <w:r>
        <w:rPr>
          <w:rFonts w:hint="eastAsia"/>
          <w:color w:val="1F2430"/>
        </w:rPr>
        <w:t>第6章的消融实验显示，在原始特征集上，线性回归加入天气特征后区域3的测试集RMSE下降34.6%，是三个区里降幅最大的；区域2只下降4.1%。这一排序与本节的相关性排序一致：温度相关性最高的区域，天气特征带来的收益也最大。两条独立证据互相印证。需要说明的是，这一增益是在模型尚未获得目标对齐周同期特征时测得的；补上该特征后天气的边际增益明显缩小（详见6.5），本节的结论应理解为"温度与负荷的统计关联确实存在"，而非"天气特征在任何特征集下都有同等增益"。</w:t>
      </w:r>
    </w:p>
    <w:p w14:paraId="3C9FD484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22" w:name="section-6-4"/>
      <w:r>
        <w:rPr>
          <w:rFonts w:hint="eastAsia"/>
          <w:color w:val="1F2430"/>
        </w:rPr>
        <w:t>5.4　局限</w:t>
      </w:r>
      <w:bookmarkEnd w:id="22"/>
    </w:p>
    <w:p w14:paraId="5AA8B30E">
      <w:pPr>
        <w:rPr>
          <w:color w:val="1F2430"/>
        </w:rPr>
        <w:sectPr>
          <w:footerReference r:id="rId10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/>
          <w:color w:val="1F2430"/>
        </w:rPr>
        <w:t>以上只描述统计共变，不构成因果判断。未对节假日建模，未区分昼夜，相关系数未做去趋势处理（年内负荷下移会使系数略微偏低）。</w:t>
      </w:r>
    </w:p>
    <w:p w14:paraId="14E9F788">
      <w:pPr>
        <w:pStyle w:val="2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23" w:name="section-7"/>
      <w:bookmarkStart w:id="24" w:name="_Toc27609"/>
      <w:r>
        <w:rPr>
          <w:rFonts w:hint="eastAsia"/>
          <w:color w:val="1F2430"/>
        </w:rPr>
        <w:t>6　短期负荷预测：模型、消融与误差分析</w:t>
      </w:r>
      <w:bookmarkEnd w:id="23"/>
      <w:bookmarkEnd w:id="24"/>
    </w:p>
    <w:p w14:paraId="6EC9CEE8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25" w:name="section-7-1"/>
      <w:r>
        <w:rPr>
          <w:rFonts w:hint="eastAsia"/>
          <w:color w:val="1F2430"/>
        </w:rPr>
        <w:t>6.1　预测任务与实验协议</w:t>
      </w:r>
      <w:bookmarkEnd w:id="25"/>
    </w:p>
    <w:p w14:paraId="4F138474">
      <w:pPr>
        <w:rPr>
          <w:color w:val="1F2430"/>
        </w:rPr>
      </w:pPr>
      <w:r>
        <w:rPr>
          <w:rFonts w:hint="eastAsia"/>
          <w:color w:val="1F2430"/>
        </w:rPr>
        <w:t>预测任务定义为</w:t>
      </w:r>
      <w:r>
        <w:rPr>
          <w:rFonts w:hint="eastAsia"/>
          <w:b/>
          <w:color w:val="1F2430"/>
        </w:rPr>
        <w:t>提前1小时</w:t>
      </w:r>
      <w:r>
        <w:rPr>
          <w:rFonts w:hint="eastAsia"/>
          <w:color w:val="1F2430"/>
        </w:rPr>
        <w:t>预测：对预测起点t，目标是其后第6个时间步（t+6）的负荷。三个区域分别建样本、分别训练、分别评价。数据按预测起点的时间顺序划分为训练/验证/测试三部分，比例70%/15%/15%，实际边界为：训练集至2017-09-14 19:40（35,975个起点），验证集至11-07 08:40（7,704个），测试集至12-30 22:50（7,711个），三区域共用同一套切分。</w:t>
      </w:r>
    </w:p>
    <w:p w14:paraId="3ACD3ED1">
      <w:pPr>
        <w:rPr>
          <w:color w:val="1F2430"/>
        </w:rPr>
      </w:pPr>
      <w:r>
        <w:rPr>
          <w:rFonts w:hint="eastAsia"/>
          <w:b/>
          <w:color w:val="1F2430"/>
        </w:rPr>
        <w:t>边界purge。</w:t>
      </w:r>
      <w:r>
        <w:rPr>
          <w:rFonts w:hint="eastAsia"/>
          <w:color w:val="1F2430"/>
        </w:rPr>
        <w:t xml:space="preserve"> 目标在起点之后一小时，如果只按起点切分，子集末尾若干起点的标签时刻会落到下一个子集的起点区间内——训练集末尾的标签会被验证集"看到"，验证集末尾同理。为此训练集与验证集末尾各剔除6个起点（共12个样本不进入任何子集）。剔除后：训练末起点的目标时刻（09-14 20:40）早于验证集首起点（09-14 20:50），验证末起点的目标时刻（11-07 09:40）早于测试集首起点（11-07 09:50），任一子集的标签区间与下一子集的起点区间不再重叠。该断言已写入verify_against_plan() 与自动化检查。测试集区间不受影响，历史同期基线的指标与剔除前完全一致。</w:t>
      </w:r>
    </w:p>
    <w:p w14:paraId="6EEFA83F">
      <w:pPr>
        <w:rPr>
          <w:color w:val="1F2430"/>
        </w:rPr>
      </w:pPr>
      <w:r>
        <w:rPr>
          <w:rFonts w:hint="eastAsia"/>
          <w:color w:val="1F2430"/>
        </w:rPr>
        <w:t>防泄漏规则：所有特征只使用预测起点t及更早的观测；滚动统计一律回溯窗口；标准化等拟合型预处理只在训练集上拟合；验证集用于选型选参，测试集只评一次。天气特征取起点时刻的同步观测（协议约定，实际部署应替换为天气预报）。</w:t>
      </w:r>
    </w:p>
    <w:p w14:paraId="7B166E4C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26" w:name="section-7-2"/>
      <w:r>
        <w:rPr>
          <w:rFonts w:hint="eastAsia"/>
          <w:color w:val="1F2430"/>
        </w:rPr>
        <w:t>6.2　特征与模型</w:t>
      </w:r>
      <w:bookmarkEnd w:id="26"/>
    </w:p>
    <w:p w14:paraId="26924BBA">
      <w:pPr>
        <w:rPr>
          <w:color w:val="1F2430"/>
        </w:rPr>
      </w:pPr>
      <w:r>
        <w:rPr>
          <w:rFonts w:hint="eastAsia"/>
          <w:color w:val="1F2430"/>
        </w:rPr>
        <w:t>特征分三组。历史负荷组：当前负荷、1小时前、24小时前同期、7天前同期（load_lag_0/6/144/1008）；时间组：小时、星期、月份及其周期编码；天气组：起点时刻的温度、湿度、风速与两项辐射。历史同期基线不消费特征，直接取目标时刻的上一周同期值y(t+6−1008)。</w:t>
      </w:r>
    </w:p>
    <w:p w14:paraId="556FEA9F">
      <w:pPr>
        <w:rPr>
          <w:color w:val="1F2430"/>
        </w:rPr>
      </w:pPr>
      <w:r>
        <w:rPr>
          <w:rFonts w:hint="eastAsia"/>
          <w:color w:val="1F2430"/>
        </w:rPr>
        <w:t>这里埋着一个容易被忽略的口径差异：基线取的是y(t−1002)，即</w:t>
      </w:r>
      <w:r>
        <w:rPr>
          <w:rFonts w:hint="eastAsia"/>
          <w:b/>
          <w:color w:val="1F2430"/>
        </w:rPr>
        <w:t>目标时刻</w:t>
      </w:r>
      <w:r>
        <w:rPr>
          <w:rFonts w:hint="eastAsia"/>
          <w:color w:val="1F2430"/>
        </w:rPr>
        <w:t>往前一周；而特征组里的load_lag_1008是起点往前一周，比目标时刻再早一小时。两个学习模型因此没有直接拿到基线所使用的那条记录。6.4节专门检验这一点，并在6.5节之后改用修正后的特征集。</w:t>
      </w:r>
    </w:p>
    <w:p w14:paraId="4188BD9D">
      <w:pPr>
        <w:rPr>
          <w:color w:val="1F2430"/>
        </w:rPr>
      </w:pPr>
      <w:r>
        <w:rPr>
          <w:rFonts w:hint="eastAsia"/>
          <w:color w:val="1F2430"/>
        </w:rPr>
        <w:t>三个模型：</w:t>
      </w:r>
      <w:r>
        <w:rPr>
          <w:rFonts w:hint="eastAsia"/>
          <w:b/>
          <w:color w:val="1F2430"/>
        </w:rPr>
        <w:t>历史同期基线</w:t>
      </w:r>
      <w:r>
        <w:rPr>
          <w:rFonts w:hint="eastAsia"/>
          <w:color w:val="1F2430"/>
        </w:rPr>
        <w:t>（无训练、无超参）；</w:t>
      </w:r>
      <w:r>
        <w:rPr>
          <w:rFonts w:hint="eastAsia"/>
          <w:b/>
          <w:color w:val="1F2430"/>
        </w:rPr>
        <w:t>线性回归</w:t>
      </w:r>
      <w:r>
        <w:rPr>
          <w:rFonts w:hint="eastAsia"/>
          <w:color w:val="1F2430"/>
        </w:rPr>
        <w:t>（标准化 + 最小二乘，无超参）；</w:t>
      </w:r>
      <w:r>
        <w:rPr>
          <w:rFonts w:hint="eastAsia"/>
          <w:b/>
          <w:color w:val="1F2430"/>
        </w:rPr>
        <w:t>梯度提升树</w:t>
      </w:r>
      <w:r>
        <w:rPr>
          <w:rFonts w:hint="eastAsia"/>
          <w:color w:val="1F2430"/>
        </w:rPr>
        <w:t>（scikit-learn HistGradientBoostingRegressor，在验证集上对小规模参数网格选优，随机种子42）。评价指标为MAE / RMSE / MSE，按（模型 × 区域）在测试集上分别计算，并给出三区合并口径。</w:t>
      </w:r>
    </w:p>
    <w:p w14:paraId="35DF006F">
      <w:pPr>
        <w:rPr>
          <w:color w:val="1F2430"/>
        </w:rPr>
      </w:pPr>
      <w:r>
        <w:rPr>
          <w:rFonts w:hint="eastAsia"/>
          <w:b/>
          <w:color w:val="1F2430"/>
        </w:rPr>
        <w:t>版本一致性。</w:t>
      </w:r>
      <w:r>
        <w:rPr>
          <w:rFonts w:hint="eastAsia"/>
          <w:color w:val="1F2430"/>
        </w:rPr>
        <w:t xml:space="preserve"> 梯度提升树的数值结果会随scikit-learn版本发生微小漂移。全组统一锁定scikit-learn==1.6.1后，消融实验中"含天气"组的指标与主实验</w:t>
      </w:r>
      <w:r>
        <w:rPr>
          <w:rFonts w:hint="eastAsia"/>
          <w:b/>
          <w:color w:val="1F2430"/>
        </w:rPr>
        <w:t>逐值一致</w:t>
      </w:r>
      <w:r>
        <w:rPr>
          <w:rFonts w:hint="eastAsia"/>
          <w:color w:val="1F2430"/>
        </w:rPr>
        <w:t>（线性回归本就确定性可复现）；此前记录的0.3%–3.1% 偏差系版本不同所致，已随本次重跑消除。</w:t>
      </w:r>
    </w:p>
    <w:p w14:paraId="47207857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27" w:name="section-7-3"/>
      <w:r>
        <w:rPr>
          <w:rFonts w:hint="eastAsia"/>
          <w:color w:val="1F2430"/>
        </w:rPr>
        <w:t>6.3　模型比较（表3、图7）</w:t>
      </w:r>
      <w:bookmarkEnd w:id="27"/>
    </w:p>
    <w:p w14:paraId="43B58F86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1"/>
          <w:b w:val="1"/>
        </w:rPr>
        <w:t>表3　三个模型在测试集上的对比（原特征集）</w:t>
      </w:r>
    </w:p>
    <w:p w14:paraId="274FF36E">
      <w:pPr>
        <w:rPr>
          <w:color w:val="4B5563"/>
        </w:rPr>
        <w:jc w:val="both"/>
      </w:pPr>
      <w:r>
        <w:rPr>
          <w:rFonts w:hint="eastAsia" w:ascii="Times New Roman" w:hAnsi="Times New Roman" w:eastAsia="宋体" w:cs="Times New Roman"/>
          <w:color w:val="4B5563"/>
          <w:sz w:val="18"/>
        </w:rPr>
        <w:t>注：测试集为2017-11-07 09:50至2017-12-30 22:50，每区域7,711个样本；加粗为同区域最优；MSE按逐点预测误差平方的均值计算，RMSE为其平方根，各指标均由未舍入结果计算后再显示舍入。</w:t>
      </w:r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45"/>
        <w:gridCol w:w="1518"/>
        <w:gridCol w:w="1518"/>
        <w:gridCol w:w="1518"/>
        <w:gridCol w:w="1447"/>
        <w:gridCol w:w="1360"/>
      </w:tblGrid>
      <w:tr w14:paraId="608A38E1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0" w:type="auto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3A7E14">
            <w:pPr>
              <w:snapToGrid w:val="0"/>
              <w:ind w:left="0" w:lef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模型</w:t>
            </w:r>
          </w:p>
        </w:tc>
        <w:tc>
          <w:tcPr>
            <w:tcW w:w="1531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03AB2A">
            <w:pPr>
              <w:snapToGrid w:val="0"/>
              <w:ind w:left="0" w:lef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Z1 MAE/RMSE</w:t>
            </w:r>
          </w:p>
        </w:tc>
        <w:tc>
          <w:tcPr>
            <w:tcW w:w="1531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CA6BA9">
            <w:pPr>
              <w:snapToGrid w:val="0"/>
              <w:ind w:left="0" w:lef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Z2 MAE/RMSE</w:t>
            </w:r>
          </w:p>
        </w:tc>
        <w:tc>
          <w:tcPr>
            <w:tcW w:w="1531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91008B">
            <w:pPr>
              <w:snapToGrid w:val="0"/>
              <w:ind w:left="0" w:lef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Z3 MAE/RMSE</w:t>
            </w:r>
          </w:p>
        </w:tc>
        <w:tc>
          <w:tcPr>
            <w:tcW w:w="1457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CEBFA6">
            <w:pPr>
              <w:snapToGrid w:val="0"/>
              <w:ind w:left="0" w:lef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合并MAE/RMSE</w:t>
            </w:r>
          </w:p>
        </w:tc>
        <w:tc>
          <w:tcPr>
            <w:tcW w:w="1289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9AED30">
            <w:pPr>
              <w:snapToGrid w:val="0"/>
              <w:ind w:left="0" w:lef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合并MSE</w:t>
            </w:r>
          </w:p>
        </w:tc>
      </w:tr>
      <w:tr w14:paraId="0AD0B1F5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0" w:type="auto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B505E7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历史同期基线</w:t>
            </w:r>
          </w:p>
        </w:tc>
        <w:tc>
          <w:tcPr>
            <w:tcW w:w="1531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B0338E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831.04/ 1151.45</w:t>
            </w:r>
          </w:p>
        </w:tc>
        <w:tc>
          <w:tcPr>
            <w:tcW w:w="1531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B690BF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966.29/ 1366.37</w:t>
            </w:r>
          </w:p>
        </w:tc>
        <w:tc>
          <w:tcPr>
            <w:tcW w:w="1531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DBD822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1354.70/ 2216.34</w:t>
            </w:r>
          </w:p>
        </w:tc>
        <w:tc>
          <w:tcPr>
            <w:tcW w:w="1457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FF8E02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1050.68/ 1643.67</w:t>
            </w:r>
          </w:p>
        </w:tc>
        <w:tc>
          <w:tcPr>
            <w:tcW w:w="1289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F7ADBA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2,701,655</w:t>
            </w:r>
          </w:p>
        </w:tc>
      </w:tr>
      <w:tr w14:paraId="050625E6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47C160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线性回归</w:t>
            </w: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D22A48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2143.03/ 2512.61</w:t>
            </w: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AD0506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1016.45/ 1550.16</w:t>
            </w: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A65AC6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  <w:lang w:val="en-US" w:eastAsia="zh-CN"/>
              </w:rPr>
              <w:t>1</w:t>
            </w:r>
            <w:r>
              <w:rPr>
                <w:b w:val="0"/>
                <w:i w:val="0"/>
                <w:color w:val="08090C"/>
              </w:rPr>
              <w:t>321.49/ 1666.97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F51C1F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1493.66/ 1957.47</w:t>
            </w:r>
          </w:p>
        </w:tc>
        <w:tc>
          <w:tcPr>
            <w:tcW w:w="128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44A1F6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3,831,677</w:t>
            </w:r>
          </w:p>
        </w:tc>
      </w:tr>
      <w:tr w14:paraId="445CCC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966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E89FA0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梯度提升树</w:t>
            </w:r>
          </w:p>
        </w:tc>
        <w:tc>
          <w:tcPr>
            <w:tcW w:w="153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40AA60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1596.96/ 2255.25</w:t>
            </w:r>
          </w:p>
        </w:tc>
        <w:tc>
          <w:tcPr>
            <w:tcW w:w="153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D4D1E8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1091.57/ 1728.73</w:t>
            </w:r>
          </w:p>
        </w:tc>
        <w:tc>
          <w:tcPr>
            <w:tcW w:w="153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85917D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1840.15/ 2233.54</w:t>
            </w:r>
          </w:p>
        </w:tc>
        <w:tc>
          <w:tcPr>
            <w:tcW w:w="1457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2B4AF0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1509.56/ 2086.73</w:t>
            </w:r>
          </w:p>
        </w:tc>
        <w:tc>
          <w:tcPr>
            <w:tcW w:w="1289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E6D3EC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4,354,460</w:t>
            </w:r>
          </w:p>
        </w:tc>
      </w:tr>
    </w:tbl>
    <w:p w14:paraId="37219E1D">
      <w:pPr>
        <w:ind w:left="0" w:leftChars="0" w:firstLine="0" w:firstLineChars="0"/>
        <w:jc w:val="center"/>
        <w:rPr>
          <w:color w:val="1F2430"/>
        </w:rPr>
      </w:pPr>
      <w:r>
        <w:drawing>
          <wp:inline distT="0" distB="0" distL="0" distR="0">
            <wp:extent cx="5466080" cy="3036570"/>
            <wp:effectExtent l="0" t="0" r="7620" b="1143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6608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B8F89">
      <w:pPr>
        <w:jc w:val="center"/>
        <w:rPr>
          <w:rFonts w:hint="eastAsia"/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1"/>
          <w:b w:val="1"/>
        </w:rPr>
        <w:t>图7　测试集片段：真实负荷与预测负荷对比</w:t>
      </w:r>
    </w:p>
    <w:p w14:paraId="797E3BCE">
      <w:pPr>
        <w:rPr>
          <w:color w:val="4B5563"/>
        </w:rPr>
      </w:pPr>
      <w:r>
        <w:rPr>
          <w:rFonts w:hint="eastAsia"/>
          <w:color w:val="4B5563"/>
        </w:rPr>
        <w:t>2017年12月14日至12月17日的局部片段，三行分别为三个模型、三列为三个区域；完整测试区间的指标见表3。</w:t>
      </w:r>
    </w:p>
    <w:p w14:paraId="7AC94126">
      <w:pPr>
        <w:rPr>
          <w:color w:val="1F2430"/>
        </w:rPr>
      </w:pPr>
      <w:r>
        <w:rPr>
          <w:rFonts w:hint="eastAsia"/>
          <w:color w:val="1F2430"/>
        </w:rPr>
        <w:t>MSE根据测试集逐点预测误差的平方计算，RMSE为MSE的平方根。表中指标分别由未舍入的原始结果计算后再进行显示舍入；逐区MSE见outputs/metrics/report_table3.csv。三个指标各有侧重：MAE反映平均绝对偏差，RMSE与MSE对大误差更敏感（平方项放大极端值），三者排序一致时结论更稳健。</w:t>
      </w:r>
    </w:p>
    <w:p w14:paraId="15D53DA0">
      <w:pPr>
        <w:rPr>
          <w:color w:val="1F2430"/>
        </w:rPr>
      </w:pPr>
      <w:r>
        <w:rPr>
          <w:rFonts w:hint="eastAsia"/>
          <w:color w:val="1F2430"/>
        </w:rPr>
        <w:t>十二个（模型 × 区域 × 指标）组合中，仅线性回归在区域3的MAE与RMSE同时优于基线（−2.45% 与 −24.79%），其余十项基线占优。基线占优的原因有二：其一，日周期极稳定（97% 以上的日子峰值落在18–21时），"上周同一时刻"本身就是很强的预测量；其二，测试期负荷水平较训练期下移（区域1日均33,065→29,056，区域3 20,052→11,949），学习模型外推训练期水平产生系统性偏差，而基线锚定上周同期值，天然免疫这种漂移。</w:t>
      </w:r>
    </w:p>
    <w:p w14:paraId="30A9EF7A">
      <w:pPr>
        <w:rPr>
          <w:color w:val="1F2430"/>
        </w:rPr>
      </w:pPr>
      <w:r>
        <w:rPr>
          <w:rFonts w:hint="eastAsia"/>
          <w:color w:val="1F2430"/>
        </w:rPr>
        <w:t>但这还不能下结论说"学习模型不适合这个任务"。因为两个学习模型手里的周特征与基线并不同源（见6.2）：基线看的是目标时刻的上一周，它们看的是起点的上一周。下一节专门检验这一点。</w:t>
      </w:r>
    </w:p>
    <w:p w14:paraId="0254F8AF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28" w:name="section-7-4"/>
      <w:r>
        <w:rPr>
          <w:rFonts w:hint="eastAsia"/>
          <w:color w:val="1F2430"/>
        </w:rPr>
        <w:t>6.4　归因实验：补上目标时刻对齐的周同期特征</w:t>
      </w:r>
      <w:bookmarkEnd w:id="28"/>
    </w:p>
    <w:p w14:paraId="10D5117E">
      <w:pPr>
        <w:rPr>
          <w:color w:val="1F2430"/>
        </w:rPr>
      </w:pPr>
      <w:r>
        <w:rPr>
          <w:rFonts w:hint="eastAsia"/>
          <w:color w:val="1F2430"/>
        </w:rPr>
        <w:t>在特征集中新增一项load_lag_target_week = y(t−1002)，即历史同期基线所用的那条记录。该值在预测起点时已经是历史观测（t−1002远早于t），不构成未来信息；原有的load_lag_1008保留，样本、切分、模型配置、评价指标全部不变，因此差异只能归因到这一项特征。</w:t>
      </w:r>
    </w:p>
    <w:p w14:paraId="590CBFED">
      <w:pPr>
        <w:jc w:val="center"/>
        <w:rPr>
          <w:rFonts w:hint="eastAsia"/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1"/>
          <w:b w:val="1"/>
        </w:rPr>
        <w:t>表4　归因实验：补上目标对齐周同期特征后的测试集指标</w:t>
      </w:r>
    </w:p>
    <w:p w14:paraId="592BDDEF">
      <w:pPr>
        <w:rPr>
          <w:color w:val="4B5563"/>
        </w:rPr>
        <w:jc w:val="both"/>
      </w:pPr>
      <w:r>
        <w:rPr>
          <w:rFonts w:hint="eastAsia" w:ascii="Times New Roman" w:hAnsi="Times New Roman" w:eastAsia="宋体" w:cs="Times New Roman"/>
          <w:color w:val="4B5563"/>
          <w:sz w:val="18"/>
        </w:rPr>
        <w:t>注：样本、切分、模型配置与评价指标与主实验完全一致，唯一差别是新增一项load_lag_target_week = y(t−1002)；MSE为三区合并口径。</w:t>
      </w:r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66"/>
        <w:gridCol w:w="1413"/>
        <w:gridCol w:w="1413"/>
        <w:gridCol w:w="1427"/>
        <w:gridCol w:w="1427"/>
        <w:gridCol w:w="1360"/>
      </w:tblGrid>
      <w:tr w14:paraId="0047A896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1292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EDF6D0">
            <w:pPr>
              <w:snapToGrid w:val="0"/>
              <w:ind w:left="0" w:lef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模型</w:t>
            </w:r>
          </w:p>
        </w:tc>
        <w:tc>
          <w:tcPr>
            <w:tcW w:w="1421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224CFF">
            <w:pPr>
              <w:snapToGrid w:val="0"/>
              <w:ind w:left="0" w:lef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Z1 MAE/RMSE</w:t>
            </w:r>
          </w:p>
        </w:tc>
        <w:tc>
          <w:tcPr>
            <w:tcW w:w="1421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F0BEC4">
            <w:pPr>
              <w:snapToGrid w:val="0"/>
              <w:ind w:left="0" w:lef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Z2 MAE/RMSE</w:t>
            </w:r>
          </w:p>
        </w:tc>
        <w:tc>
          <w:tcPr>
            <w:tcW w:w="1436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D30D71">
            <w:pPr>
              <w:snapToGrid w:val="0"/>
              <w:ind w:left="0" w:lef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Z3 MAE/RMSE</w:t>
            </w:r>
          </w:p>
        </w:tc>
        <w:tc>
          <w:tcPr>
            <w:tcW w:w="1436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B77049">
            <w:pPr>
              <w:snapToGrid w:val="0"/>
              <w:ind w:left="0" w:lef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合并MAE/RMSE</w:t>
            </w:r>
          </w:p>
        </w:tc>
        <w:tc>
          <w:tcPr>
            <w:tcW w:w="1299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5B57E4">
            <w:pPr>
              <w:snapToGrid w:val="0"/>
              <w:ind w:left="0" w:lef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合并MSE</w:t>
            </w:r>
          </w:p>
        </w:tc>
      </w:tr>
      <w:tr w14:paraId="6C0DC7E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1292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1B4567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历史同期基线</w:t>
            </w:r>
          </w:p>
        </w:tc>
        <w:tc>
          <w:tcPr>
            <w:tcW w:w="1421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426221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831.04/ 1151.45</w:t>
            </w:r>
          </w:p>
        </w:tc>
        <w:tc>
          <w:tcPr>
            <w:tcW w:w="1421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BB4874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966.29/ 1366.37</w:t>
            </w:r>
          </w:p>
        </w:tc>
        <w:tc>
          <w:tcPr>
            <w:tcW w:w="1436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D77A63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1354.70/ 2216.34</w:t>
            </w:r>
          </w:p>
        </w:tc>
        <w:tc>
          <w:tcPr>
            <w:tcW w:w="1436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7EDF57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1050.68/ 1643.67</w:t>
            </w:r>
          </w:p>
        </w:tc>
        <w:tc>
          <w:tcPr>
            <w:tcW w:w="1299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4AC8FF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2,701,655</w:t>
            </w:r>
          </w:p>
        </w:tc>
      </w:tr>
      <w:tr w14:paraId="209B1B93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1292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BB1759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线性回归（+ 周同期）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7BAC25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547.15/ 777.86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87AFC1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513.58/ 729.94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6E4E4F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481.52/ 792.29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BF2CAE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514.09/ 767.16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21CBFA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588,534</w:t>
            </w:r>
          </w:p>
        </w:tc>
      </w:tr>
      <w:tr w14:paraId="68253316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1292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7DA3A6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梯度提升树（+ 周同期）</w:t>
            </w:r>
          </w:p>
        </w:tc>
        <w:tc>
          <w:tcPr>
            <w:tcW w:w="142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FC21EC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925.93/ 1201.90</w:t>
            </w:r>
          </w:p>
        </w:tc>
        <w:tc>
          <w:tcPr>
            <w:tcW w:w="142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AE3612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762.60/ 1118.37</w:t>
            </w:r>
          </w:p>
        </w:tc>
        <w:tc>
          <w:tcPr>
            <w:tcW w:w="1436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5D3A7C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  <w:lang w:val="en-US" w:eastAsia="zh-CN"/>
              </w:rPr>
              <w:t>1</w:t>
            </w:r>
            <w:r>
              <w:rPr>
                <w:b w:val="0"/>
                <w:i w:val="0"/>
                <w:color w:val="08090C"/>
              </w:rPr>
              <w:t>103.33/ 1434.54</w:t>
            </w:r>
          </w:p>
        </w:tc>
        <w:tc>
          <w:tcPr>
            <w:tcW w:w="1436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99A11B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930.62/ 1258.73</w:t>
            </w:r>
          </w:p>
        </w:tc>
        <w:tc>
          <w:tcPr>
            <w:tcW w:w="1299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C65E87">
            <w:pPr>
              <w:snapToGrid w:val="0"/>
              <w:ind w:left="0" w:lef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1,584,408</w:t>
            </w:r>
          </w:p>
        </w:tc>
      </w:tr>
    </w:tbl>
    <w:p w14:paraId="7625CF38">
      <w:pPr>
        <w:rPr>
          <w:color w:val="1F2430"/>
        </w:rPr>
      </w:pPr>
      <w:r>
        <w:rPr>
          <w:rFonts w:hint="eastAsia"/>
          <w:color w:val="1F2430"/>
        </w:rPr>
        <w:t>括号内的相对变化均为相对历史同期基线；MSE为合并口径。</w:t>
      </w:r>
    </w:p>
    <w:p w14:paraId="238B9DB1">
      <w:pPr>
        <w:rPr>
          <w:color w:val="1F2430"/>
        </w:rPr>
      </w:pPr>
      <w:r>
        <w:rPr>
          <w:rFonts w:hint="eastAsia"/>
          <w:color w:val="1F2430"/>
        </w:rPr>
        <w:t>结果远超预期：加入该特征后，线性回归在三区的测试集RMSE相对原特征集下降52.5%–69.0%，相对基线下降32.4%–64.3%，合并口径MAE/RMSE由1493.66/1957.47降至514.09/767.16（−51.1%/−53.3%）；梯度提升树相对基线除区域1略高（+4.4%）外，区域2、3分别下降18.2% 和35.3%，合并口径 −11.4%/−23.4%。</w:t>
      </w:r>
      <w:r>
        <w:rPr>
          <w:rFonts w:hint="eastAsia"/>
          <w:b/>
          <w:color w:val="1F2430"/>
        </w:rPr>
        <w:t>两个学习模型转为全面优于基线</w:t>
      </w:r>
      <w:r>
        <w:rPr>
          <w:rFonts w:hint="eastAsia"/>
          <w:color w:val="1F2430"/>
        </w:rPr>
        <w:t>。</w:t>
      </w:r>
    </w:p>
    <w:p w14:paraId="3E2D5D00">
      <w:pPr>
        <w:rPr>
          <w:color w:val="1F2430"/>
        </w:rPr>
      </w:pPr>
      <w:r>
        <w:rPr>
          <w:rFonts w:hint="eastAsia"/>
          <w:color w:val="1F2430"/>
        </w:rPr>
        <w:t>这说明6.3的结论需要修正：此前"学习模型不敌基线"并不是模型不合适，而是特征集没有把最重要的周期性信息交给模型——基线之所以强，恰恰因为它直接复制了目标时刻的上一周同期值。修正特征口径后，学习模型既能利用这条信息，又能用天气、小时等其他特征做修正，因此超过了只会照抄的基线。这一结果也提示：在日周周期极强的数据上做模型比较时，必须先确认基线和学习模型拿到的信息是否同源，否则容易得出"简单基线不可战胜"的误判。</w:t>
      </w:r>
    </w:p>
    <w:p w14:paraId="6D55B0B3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29" w:name="section-7-5"/>
      <w:r>
        <w:rPr>
          <w:rFonts w:hint="eastAsia"/>
          <w:color w:val="1F2430"/>
        </w:rPr>
        <w:t>6.5　天气特征消融（表5、图9）</w:t>
      </w:r>
      <w:bookmarkEnd w:id="29"/>
    </w:p>
    <w:p w14:paraId="0B68ABDB">
      <w:pPr>
        <w:rPr>
          <w:color w:val="1F2430"/>
        </w:rPr>
      </w:pPr>
      <w:r>
        <w:rPr>
          <w:rFonts w:hint="eastAsia"/>
          <w:color w:val="1F2430"/>
        </w:rPr>
        <w:t>由于6.4已确认应改用含目标对齐周特征的特征集，消融随之在新特征集上重做：A组 = 历史（含周同期）+ 时间特征，B组 = A组 + 天气特征，除天气开关外样本、切分、模型、参数完全一致。</w:t>
      </w:r>
    </w:p>
    <w:p w14:paraId="4995A888">
      <w:pPr>
        <w:jc w:val="center"/>
        <w:rPr>
          <w:rFonts w:hint="eastAsia"/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1"/>
          <w:b w:val="1"/>
        </w:rPr>
        <w:t>表5　天气特征消融结果（含周同期特征的新特征集）</w:t>
      </w:r>
    </w:p>
    <w:p w14:paraId="0D6F372F">
      <w:pPr>
        <w:rPr>
          <w:color w:val="4B5563"/>
        </w:rPr>
        <w:jc w:val="both"/>
      </w:pPr>
      <w:r>
        <w:rPr>
          <w:rFonts w:hint="eastAsia" w:ascii="Times New Roman" w:hAnsi="Times New Roman" w:eastAsia="宋体" w:cs="Times New Roman"/>
          <w:color w:val="4B5563"/>
          <w:sz w:val="18"/>
        </w:rPr>
        <w:t>注：数值为含天气特征组（B组）相对不含天气特征组（A组）的测试集RMSE变化，负值表示误差下降；加粗的三个组合误差反而上升，为如实报告。</w:t>
      </w:r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1"/>
        <w:gridCol w:w="1800"/>
        <w:gridCol w:w="4355"/>
      </w:tblGrid>
      <w:tr w14:paraId="20711BBA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2151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A4CE6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模型</w:t>
            </w:r>
          </w:p>
        </w:tc>
        <w:tc>
          <w:tcPr>
            <w:tcW w:w="180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8E43F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区域</w:t>
            </w:r>
          </w:p>
        </w:tc>
        <w:tc>
          <w:tcPr>
            <w:tcW w:w="4355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D1532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测试集RMSE变化</w:t>
            </w:r>
          </w:p>
        </w:tc>
      </w:tr>
      <w:tr w14:paraId="713BB19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2151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41666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线性回归</w:t>
            </w:r>
          </w:p>
        </w:tc>
        <w:tc>
          <w:tcPr>
            <w:tcW w:w="180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01F08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Z1/Z2/Z3</w:t>
            </w:r>
          </w:p>
        </w:tc>
        <w:tc>
          <w:tcPr>
            <w:tcW w:w="4355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7561F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−10.99%/+5.08%/ +0.98%</w:t>
            </w:r>
          </w:p>
        </w:tc>
      </w:tr>
      <w:tr w14:paraId="346283D2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215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18F9E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梯度提升树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37B2C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Z1/Z2/Z3</w:t>
            </w:r>
          </w:p>
        </w:tc>
        <w:tc>
          <w:tcPr>
            <w:tcW w:w="4355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D1C43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−17.85%/−5.94%/ −0.43%</w:t>
            </w:r>
          </w:p>
        </w:tc>
      </w:tr>
    </w:tbl>
    <w:p w14:paraId="4267EE73">
      <w:pPr>
        <w:ind w:left="0" w:leftChars="0" w:firstLine="0" w:firstLineChars="0"/>
        <w:jc w:val="center"/>
        <w:rPr>
          <w:color w:val="1F2430"/>
        </w:rPr>
      </w:pPr>
      <w:r>
        <w:drawing>
          <wp:inline distT="0" distB="0" distL="0" distR="0">
            <wp:extent cx="5274310" cy="2013585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37F7B">
      <w:pPr>
        <w:jc w:val="center"/>
        <w:rPr>
          <w:rFonts w:hint="eastAsia"/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1"/>
          <w:b w:val="1"/>
        </w:rPr>
        <w:t>图9（a）　天气特征消融：原特征集下的测试集RMSE对照</w:t>
      </w:r>
    </w:p>
    <w:p w14:paraId="5AAE5305">
      <w:pPr>
        <w:rPr>
          <w:color w:val="4B5563"/>
        </w:rPr>
      </w:pPr>
      <w:r>
        <w:rPr>
          <w:rFonts w:hint="eastAsia"/>
          <w:color w:val="4B5563"/>
        </w:rPr>
        <w:t>六个（模型 × 区域）组合的测试集RMSE，柱高越低越好；深色为含天气特征组，浅色为不含天气特征组。</w:t>
      </w:r>
    </w:p>
    <w:p w14:paraId="6CB3CFA4">
      <w:pPr>
        <w:ind w:left="0" w:leftChars="0" w:firstLine="0" w:firstLineChars="0"/>
        <w:jc w:val="center"/>
        <w:rPr>
          <w:color w:val="1F2430"/>
        </w:rPr>
      </w:pPr>
      <w:r>
        <w:drawing>
          <wp:inline distT="0" distB="0" distL="0" distR="0">
            <wp:extent cx="5274310" cy="2013585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1A4D6">
      <w:pPr>
        <w:jc w:val="center"/>
        <w:rPr>
          <w:rFonts w:hint="eastAsia"/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1"/>
          <w:b w:val="1"/>
        </w:rPr>
        <w:t>图9（b）　天气特征消融：含周同期特征的新特征集下的测试集RMSE对照</w:t>
      </w:r>
    </w:p>
    <w:p w14:paraId="108D9311">
      <w:pPr>
        <w:rPr>
          <w:color w:val="4B5563"/>
        </w:rPr>
      </w:pPr>
      <w:r>
        <w:rPr>
          <w:rFonts w:hint="eastAsia"/>
          <w:color w:val="4B5563"/>
        </w:rPr>
        <w:t>与（a）同一消融在新增load_lag_target_week后重跑的结果；两图纵轴刻度不同，比较幅度请见表5。</w:t>
      </w:r>
    </w:p>
    <w:p w14:paraId="224FA72E">
      <w:pPr>
        <w:rPr>
          <w:color w:val="1F2430"/>
        </w:rPr>
      </w:pPr>
      <w:r>
        <w:rPr>
          <w:rFonts w:hint="eastAsia"/>
          <w:color w:val="1F2430"/>
        </w:rPr>
        <w:t>作为对照，在原特征集（不含周同期）上同一消融的结果是：线性回归−23.30%/−4.24%/−34.56%，梯度提升树−23.18%/−10.54%/−5.22%，六个组合中五个下降。</w:t>
      </w:r>
    </w:p>
    <w:p w14:paraId="64CD456F">
      <w:pPr>
        <w:rPr>
          <w:color w:val="1F2430"/>
        </w:rPr>
      </w:pPr>
      <w:r>
        <w:rPr>
          <w:rFonts w:hint="eastAsia"/>
          <w:color w:val="1F2430"/>
        </w:rPr>
        <w:t>两组结果放在一起看，结论要谨慎：</w:t>
      </w:r>
      <w:r>
        <w:rPr>
          <w:rFonts w:hint="eastAsia"/>
          <w:b/>
          <w:color w:val="1F2430"/>
        </w:rPr>
        <w:t>天气特征的增益依赖于模型已经掌握了多少周期性信息</w:t>
      </w:r>
      <w:r>
        <w:rPr>
          <w:rFonts w:hint="eastAsia"/>
          <w:color w:val="1F2430"/>
        </w:rPr>
        <w:t>。在原本的模型上，天气特征填补了缺失的周期信息，因而显得很有用（最多−34.6%）；一旦把周同期特征直接交给模型，天气带来的边际增益就大幅缩小，六个组合中三个下降（梯度提升树三个区域全部下降，−0.4% 至 −17.9%），线性回归在区域2、3反而略升（+5.1%、+1.0%）。因此本报告的结论是：天气特征确实有增益，但</w:t>
      </w:r>
      <w:r>
        <w:rPr>
          <w:rFonts w:hint="eastAsia"/>
          <w:b/>
          <w:color w:val="1F2430"/>
        </w:rPr>
        <w:t>在周同期特征已存在的前提下增益有限，且因区域和模型而异</w:t>
      </w:r>
      <w:r>
        <w:rPr>
          <w:rFonts w:hint="eastAsia"/>
          <w:color w:val="1F2430"/>
        </w:rPr>
        <w:t>，不宜概括为"天气特征显著改善预测"。天气仅用预测起点的同步观测，实际部署时应替换为天气预报，届时增益预计进一步打折。</w:t>
      </w:r>
    </w:p>
    <w:p w14:paraId="31ED963B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30" w:name="section-7-6"/>
      <w:r>
        <w:rPr>
          <w:rFonts w:hint="eastAsia"/>
          <w:color w:val="1F2430"/>
        </w:rPr>
        <w:t>6.6　分区域与高峰时段误差分析（图8）</w:t>
      </w:r>
      <w:bookmarkEnd w:id="30"/>
    </w:p>
    <w:p w14:paraId="02A92649">
      <w:pPr>
        <w:rPr>
          <w:color w:val="1F2430"/>
        </w:rPr>
      </w:pPr>
      <w:r>
        <w:rPr>
          <w:rFonts w:hint="eastAsia"/>
          <w:color w:val="1F2430"/>
        </w:rPr>
        <w:t>以下分析基于6.4之后的推荐模型（含周同期特征）。消除量级差异后按nRMSE比较：线性回归为2.68%/3.10%/6.63%，梯度提升树为4.14%/4.75%/12.01%，历史同期基线为3.96%/5.81%/</w:t>
      </w:r>
      <w:r>
        <w:rPr>
          <w:rFonts w:hint="eastAsia"/>
          <w:color w:val="1F2430"/>
          <w:lang w:val="en-US" w:eastAsia="zh-CN"/>
        </w:rPr>
        <w:t>1</w:t>
      </w:r>
      <w:r>
        <w:rPr>
          <w:rFonts w:hint="eastAsia"/>
          <w:color w:val="1F2430"/>
        </w:rPr>
        <w:t>8.55%。区域3对三个模型都最难，与第4章的发现一致（日峰值变异系数27.7%）；线性回归在三区都是最优，且把区域3的相对误差从基线的18.55% 压到6.63%。</w:t>
      </w:r>
    </w:p>
    <w:p w14:paraId="2E2E719F">
      <w:pPr>
        <w:rPr>
          <w:color w:val="1F2430"/>
        </w:rPr>
      </w:pPr>
      <w:r>
        <w:rPr>
          <w:rFonts w:hint="eastAsia"/>
          <w:color w:val="1F2430"/>
        </w:rPr>
        <w:t>系统性偏差（bias = 预测 − 实际）方向不一：线性回归为+86/−223/−173，梯度提升树为+522/−271/+549，基线为−17/−109/+108。加入周同期特征后，此前学习模型在区域1、3的严重高估（+1020/+1670）已大幅收敛。</w:t>
      </w:r>
    </w:p>
    <w:p w14:paraId="46C9B5F5">
      <w:pPr>
        <w:rPr>
          <w:color w:val="1F2430"/>
        </w:rPr>
      </w:pPr>
      <w:r>
        <w:rPr>
          <w:rFonts w:hint="eastAsia"/>
          <w:color w:val="1F2430"/>
        </w:rPr>
        <w:t>高峰时段（阈值取训练集负荷分布Q90）分析：区域2高峰时段梯度提升树RMSE为1732，是普通时段（825）的2.1倍，且偏差由−100转为−793——模型在高峰时段系统性低估峰值，这是对电网调度最不安全的误差方向，这一结论在特征修正后</w:t>
      </w:r>
      <w:r>
        <w:rPr>
          <w:rFonts w:hint="eastAsia"/>
          <w:b/>
          <w:color w:val="1F2430"/>
        </w:rPr>
        <w:t>依然成立</w:t>
      </w:r>
      <w:r>
        <w:rPr>
          <w:rFonts w:hint="eastAsia"/>
          <w:color w:val="1F2430"/>
        </w:rPr>
        <w:t>。区域1测试期高峰样本仅9条、区域3为0条（测试期负荷整体下移），这两个区域的高峰表现无法从本次数据确认。</w:t>
      </w:r>
    </w:p>
    <w:p w14:paraId="435656A3">
      <w:pPr>
        <w:ind w:left="0" w:leftChars="0" w:firstLine="0" w:firstLineChars="0"/>
        <w:jc w:val="center"/>
        <w:rPr>
          <w:color w:val="1F2430"/>
        </w:rPr>
      </w:pPr>
      <w:r>
        <w:drawing>
          <wp:inline distT="0" distB="0" distL="0" distR="0">
            <wp:extent cx="5274310" cy="1622425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694DD">
      <w:pPr>
        <w:jc w:val="center"/>
        <w:rPr>
          <w:rFonts w:hint="eastAsia"/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1"/>
          <w:b w:val="1"/>
        </w:rPr>
        <w:t>图8（a）　分小时预测误差（测试集）</w:t>
      </w:r>
    </w:p>
    <w:p w14:paraId="48C9C078">
      <w:pPr>
        <w:rPr>
          <w:color w:val="4B5563"/>
        </w:rPr>
      </w:pPr>
      <w:r>
        <w:rPr>
          <w:rFonts w:hint="eastAsia"/>
          <w:color w:val="4B5563"/>
        </w:rPr>
        <w:t>按目标时刻的小时统计MAE，三个区域各一子图；基于含周同期特征的推荐模型。</w:t>
      </w:r>
    </w:p>
    <w:p w14:paraId="7EE9A1CB">
      <w:pPr>
        <w:ind w:left="0" w:leftChars="0" w:firstLine="0" w:firstLineChars="0"/>
        <w:jc w:val="center"/>
        <w:rPr>
          <w:color w:val="1F2430"/>
        </w:rPr>
      </w:pPr>
      <w:r>
        <w:drawing>
          <wp:inline distT="0" distB="0" distL="0" distR="0">
            <wp:extent cx="5274310" cy="1622425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0DFA8">
      <w:pPr>
        <w:jc w:val="center"/>
        <w:rPr>
          <w:rFonts w:hint="eastAsia"/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1"/>
          <w:b w:val="1"/>
        </w:rPr>
        <w:t>图8（b）　残差分布（梯度提升树）</w:t>
      </w:r>
    </w:p>
    <w:p w14:paraId="2AC11410">
      <w:pPr>
        <w:rPr>
          <w:color w:val="4B5563"/>
        </w:rPr>
      </w:pPr>
      <w:r>
        <w:rPr>
          <w:rFonts w:hint="eastAsia"/>
          <w:color w:val="4B5563"/>
        </w:rPr>
        <w:t>残差 = 预测 − 实际，横轴为残差，纵轴为频数；三个区域各一子图。</w:t>
      </w:r>
    </w:p>
    <w:p w14:paraId="4C2B7018">
      <w:pPr>
        <w:ind w:left="0" w:leftChars="0" w:firstLine="0" w:firstLineChars="0"/>
        <w:jc w:val="center"/>
        <w:rPr>
          <w:color w:val="1F2430"/>
        </w:rPr>
      </w:pPr>
      <w:bookmarkStart w:id="45" w:name="_GoBack"/>
      <w:r>
        <w:drawing>
          <wp:inline distT="0" distB="0" distL="0" distR="0">
            <wp:extent cx="5274310" cy="3835400"/>
            <wp:effectExtent l="0" t="0" r="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5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5"/>
    </w:p>
    <w:p w14:paraId="39783118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1"/>
          <w:b w:val="1"/>
        </w:rPr>
        <w:t>图8（c）　残差随时间变化（梯度提升树，日平均）</w:t>
      </w:r>
    </w:p>
    <w:p w14:paraId="53004088">
      <w:pPr>
        <w:rPr>
          <w:color w:val="4B5563"/>
        </w:rPr>
        <w:sectPr>
          <w:footerReference r:id="rId11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/>
          <w:color w:val="4B5563"/>
        </w:rPr>
        <w:t>测试集残差按日取均值后按日期排列，用于检查误差是否随时间漂移。</w:t>
      </w:r>
    </w:p>
    <w:p w14:paraId="4BB880F0">
      <w:pPr>
        <w:pStyle w:val="2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31" w:name="section-8"/>
      <w:bookmarkStart w:id="32" w:name="_Toc14671"/>
      <w:r>
        <w:rPr>
          <w:rFonts w:hint="eastAsia"/>
          <w:color w:val="1F2430"/>
        </w:rPr>
        <w:t>7　总结与结论</w:t>
      </w:r>
      <w:bookmarkEnd w:id="31"/>
      <w:bookmarkEnd w:id="32"/>
    </w:p>
    <w:p w14:paraId="003767BC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33" w:name="section-8-1"/>
      <w:r>
        <w:rPr>
          <w:rFonts w:hint="eastAsia"/>
          <w:color w:val="1F2430"/>
        </w:rPr>
        <w:t>7.1　主要发现</w:t>
      </w:r>
      <w:bookmarkEnd w:id="33"/>
    </w:p>
    <w:p w14:paraId="7E3DF23E">
      <w:pPr>
        <w:rPr>
          <w:rFonts w:hint="eastAsia"/>
          <w:b/>
          <w:color w:val="1F2430"/>
        </w:rPr>
      </w:pPr>
      <w:r>
        <w:rPr>
          <w:color w:val="1F2430"/>
        </w:rPr>
        <w:t xml:space="preserve">1. </w:t>
      </w:r>
      <w:r>
        <w:rPr>
          <w:rFonts w:hint="eastAsia"/>
          <w:b/>
          <w:color w:val="1F2430"/>
        </w:rPr>
        <w:t>"学习模型不敌基线"是特征口径问题，不是模型问题。</w:t>
      </w:r>
      <w:r>
        <w:rPr>
          <w:rFonts w:hint="eastAsia"/>
          <w:color w:val="1F2430"/>
        </w:rPr>
        <w:t xml:space="preserve"> 在原始特征集下基线最优（合并MAE/RMSE 1050.68/1643.67），但基线用的y(t−1002) 与学习模型手里的y(t−1008) 并不同源。补上目标时刻对齐的周同期特征后，线性回归降至514.09/767.16（−51.1%/−53.3%）、梯度提升树降至930.62/1258.73（−11.4%/−23.4%），两个学习模型全面反超基线。这是本项目最重要的一条结论：</w:t>
      </w:r>
      <w:r>
        <w:rPr>
          <w:rFonts w:hint="eastAsia"/>
          <w:b/>
          <w:color w:val="1F2430"/>
        </w:rPr>
        <w:t>做模型比较前必须先确认基线和学习模型拿到的信息是否同源。</w:t>
      </w:r>
    </w:p>
    <w:p w14:paraId="1923C923">
      <w:pPr>
        <w:rPr>
          <w:rFonts w:hint="eastAsia"/>
          <w:color w:val="1F2430"/>
        </w:rPr>
      </w:pPr>
      <w:r>
        <w:rPr>
          <w:color w:val="1F2430"/>
        </w:rPr>
        <w:t xml:space="preserve">2. </w:t>
      </w:r>
      <w:r>
        <w:rPr>
          <w:rFonts w:hint="eastAsia"/>
          <w:b/>
          <w:color w:val="1F2430"/>
        </w:rPr>
        <w:t>三个区域的预测难度差异主要来自数据本身。</w:t>
      </w:r>
      <w:r>
        <w:rPr>
          <w:rFonts w:hint="eastAsia"/>
          <w:color w:val="1F2430"/>
        </w:rPr>
        <w:t xml:space="preserve"> 改进后区域3的nRMSE仍最高（线性回归6.63%，基线18.55%），与其日峰值变异系数27.7% 一致；区域间比较必须使用相对指标。</w:t>
      </w:r>
    </w:p>
    <w:p w14:paraId="225ED869">
      <w:pPr>
        <w:rPr>
          <w:rFonts w:hint="eastAsia"/>
          <w:color w:val="1F2430"/>
        </w:rPr>
      </w:pPr>
      <w:r>
        <w:rPr>
          <w:rFonts w:hint="eastAsia"/>
          <w:color w:val="1F2430"/>
        </w:rPr>
        <w:t xml:space="preserve">3. </w:t>
      </w:r>
      <w:r>
        <w:rPr>
          <w:rFonts w:hint="eastAsia"/>
          <w:b/>
          <w:color w:val="1F2430"/>
        </w:rPr>
        <w:t>天气特征的增益依赖模型已掌握多少周期信息。</w:t>
      </w:r>
      <w:r>
        <w:rPr>
          <w:rFonts w:hint="eastAsia"/>
          <w:color w:val="1F2430"/>
        </w:rPr>
        <w:t xml:space="preserve"> 原特征集上5/6组合下降（最多 −34.6%），补上周同期特征后仅3/6下降（梯度提升树三区全降 −0.4% 至 −17.9%，线性回归在区域2、3略升）。不宜概括为"天气特征显著改善预测"。</w:t>
      </w:r>
    </w:p>
    <w:p w14:paraId="68934407">
      <w:pPr>
        <w:rPr>
          <w:color w:val="1F2430"/>
        </w:rPr>
      </w:pPr>
      <w:r>
        <w:rPr>
          <w:rFonts w:hint="eastAsia"/>
          <w:color w:val="1F2430"/>
        </w:rPr>
        <w:t xml:space="preserve">4. </w:t>
      </w:r>
      <w:r>
        <w:rPr>
          <w:rFonts w:hint="eastAsia"/>
          <w:b/>
          <w:color w:val="1F2430"/>
        </w:rPr>
        <w:t>高峰时段更难预测且方向不利。</w:t>
      </w:r>
      <w:r>
        <w:rPr>
          <w:rFonts w:hint="eastAsia"/>
          <w:color w:val="1F2430"/>
        </w:rPr>
        <w:t xml:space="preserve"> 区域2高峰误差为普通时段2.1倍，且系统性低估峰值（bias由 −100转为 −793），这一结论在特征修正后依然成立；区域1、3因样本不足无法确认。</w:t>
      </w:r>
    </w:p>
    <w:p w14:paraId="74A5AB3D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34" w:name="section-8-2"/>
      <w:r>
        <w:rPr>
          <w:rFonts w:hint="eastAsia"/>
          <w:color w:val="1F2430"/>
        </w:rPr>
        <w:t>7.2　对电网调度的建议</w:t>
      </w:r>
      <w:bookmarkEnd w:id="34"/>
    </w:p>
    <w:p w14:paraId="12A74490">
      <w:pPr>
        <w:rPr>
          <w:color w:val="1F2430"/>
        </w:rPr>
      </w:pPr>
      <w:r>
        <w:rPr>
          <w:rFonts w:hint="eastAsia"/>
          <w:color w:val="1F2430"/>
        </w:rPr>
        <w:t>小时级调度优先使用</w:t>
      </w:r>
      <w:r>
        <w:rPr>
          <w:rFonts w:hint="eastAsia"/>
          <w:b/>
          <w:color w:val="1F2430"/>
        </w:rPr>
        <w:t>带目标对齐周同期特征的线性回归</w:t>
      </w:r>
      <w:r>
        <w:rPr>
          <w:rFonts w:hint="eastAsia"/>
          <w:color w:val="1F2430"/>
        </w:rPr>
        <w:t>：测试集三区合并MAE/RMSE最低，且三区nRMSE均为三者最小； - 历史同期基线可作为无训练、无维护成本的兜底方案，但精度比改进后的线性模型低一半以上； - 高峰时段（18–21时）模型倾向低估，调度裕度应向高估方向留，尤其区域2； - 区域3波动最大、预测最难，建议单独监控并保留更大备用容量； - 引入天气预报替换同步观测时收益有限，建议先把周同期特征与实时负荷接入做扎实，再评估天气投入。</w:t>
      </w:r>
    </w:p>
    <w:p w14:paraId="35FE1677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35" w:name="section-8-3"/>
      <w:r>
        <w:rPr>
          <w:rFonts w:hint="eastAsia"/>
          <w:color w:val="1F2430"/>
        </w:rPr>
        <w:t>7.3　局限</w:t>
      </w:r>
      <w:bookmarkEnd w:id="35"/>
    </w:p>
    <w:p w14:paraId="6FB09803">
      <w:pPr>
        <w:rPr>
          <w:color w:val="1F2430"/>
        </w:rPr>
      </w:pPr>
      <w:r>
        <w:rPr>
          <w:rFonts w:hint="eastAsia"/>
          <w:color w:val="1F2430"/>
        </w:rPr>
        <w:t>本数据仅覆盖一个城市、一年（364天，缺12月31日），以下结论不能外推：跨城市、跨年度的一般规律；跨年度季节性断言（区域3的9–12月下滑含趋势成分，无法与季节性分离）；采暖季模型有效性（未观察到低温U形回升）；节假日与极端天气下的表现（样本极少）。全部对比仅报数值与相对变化，未做显著性检验，不使用"显著"一类措辞。</w:t>
      </w:r>
    </w:p>
    <w:p w14:paraId="64C4A18D">
      <w:pPr>
        <w:rPr>
          <w:color w:val="1F2430"/>
        </w:rPr>
        <w:sectPr>
          <w:footerReference r:id="rId12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/>
          <w:color w:val="1F2430"/>
        </w:rPr>
        <w:t>另有两点方法上的限定需要说明。其一，6.4的大幅改善高度依赖日周周期的稳定性（97% 以上的日子峰值落在18–21时），在作息规律较弱或负荷波动更剧烈的场景下，周同期特征的增益预计会小于本数据的观测值。其二，y(t−1002) 与天气特征一样，取的是预测起点时的</w:t>
      </w:r>
      <w:r>
        <w:rPr>
          <w:rFonts w:hint="eastAsia"/>
          <w:b/>
          <w:color w:val="1F2430"/>
        </w:rPr>
        <w:t>历史</w:t>
      </w:r>
      <w:r>
        <w:rPr>
          <w:rFonts w:hint="eastAsia"/>
          <w:color w:val="1F2430"/>
        </w:rPr>
        <w:t>观测，不构成未来信息；实际部署时它与基线所需的数据完全相同，因此不额外增加获取成本，但如果当日存在检修、节假日等已知的日程突变，两个模型都会失效，需要另行加入日程特征。每条结论的证据与图表对应关系见docs/results_conclusions.md的对照表。</w:t>
      </w:r>
    </w:p>
    <w:p w14:paraId="66767ECE">
      <w:pPr>
        <w:pStyle w:val="2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36" w:name="section-9"/>
      <w:bookmarkStart w:id="37" w:name="_Toc14928"/>
      <w:r>
        <w:rPr>
          <w:rFonts w:hint="eastAsia"/>
          <w:color w:val="1F2430"/>
        </w:rPr>
        <w:t>8　小组成员分工与个人承担</w:t>
      </w:r>
      <w:bookmarkEnd w:id="36"/>
      <w:bookmarkEnd w:id="37"/>
    </w:p>
    <w:p w14:paraId="6AEB83D8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38" w:name="section-9-1"/>
      <w:r>
        <w:rPr>
          <w:rFonts w:hint="eastAsia"/>
          <w:color w:val="1F2430"/>
        </w:rPr>
        <w:t>8.1　分工表</w:t>
      </w:r>
      <w:bookmarkEnd w:id="38"/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01"/>
        <w:gridCol w:w="1240"/>
        <w:gridCol w:w="2154"/>
        <w:gridCol w:w="4011"/>
      </w:tblGrid>
      <w:tr w14:paraId="57D99FE9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904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2DDB9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成员</w:t>
            </w:r>
          </w:p>
        </w:tc>
        <w:tc>
          <w:tcPr>
            <w:tcW w:w="1206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4E463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学号</w:t>
            </w:r>
          </w:p>
        </w:tc>
        <w:tc>
          <w:tcPr>
            <w:tcW w:w="2163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E95AD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承担章节/模块</w:t>
            </w:r>
          </w:p>
        </w:tc>
        <w:tc>
          <w:tcPr>
            <w:tcW w:w="4033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4ECB4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bCs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/>
                <w:b/>
                <w:i w:val="0"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  <w:t>具体工作内容</w:t>
            </w:r>
          </w:p>
        </w:tc>
      </w:tr>
      <w:tr w14:paraId="4B645A04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904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D8992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郑宜桥</w:t>
            </w:r>
          </w:p>
        </w:tc>
        <w:tc>
          <w:tcPr>
            <w:tcW w:w="1206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78D33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25121628</w:t>
            </w:r>
          </w:p>
        </w:tc>
        <w:tc>
          <w:tcPr>
            <w:tcW w:w="2163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4B176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第2、3、4、5章；数据模块</w:t>
            </w:r>
          </w:p>
        </w:tc>
        <w:tc>
          <w:tcPr>
            <w:tcW w:w="4033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CEB0E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数据审计、清洗与接口定义、日/周/季节规律分析、天气与负荷关系分析、表1与表2</w:t>
            </w:r>
          </w:p>
        </w:tc>
      </w:tr>
      <w:tr w14:paraId="4C3E9C6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90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DE20B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况子昱</w:t>
            </w:r>
          </w:p>
        </w:tc>
        <w:tc>
          <w:tcPr>
            <w:tcW w:w="1206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9A27C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25121631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F5F86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第6章；模型模块</w:t>
            </w:r>
          </w:p>
        </w:tc>
        <w:tc>
          <w:tcPr>
            <w:tcW w:w="403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4871B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预测协议、时间切分与特征、基线与梯度提升模型、模型比较与交付检查</w:t>
            </w:r>
          </w:p>
        </w:tc>
      </w:tr>
      <w:tr w14:paraId="11D4594D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904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039E2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徐启翔</w:t>
            </w:r>
          </w:p>
        </w:tc>
        <w:tc>
          <w:tcPr>
            <w:tcW w:w="1206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D6D32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25121632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6F2D3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摘要、第1、7章；消融与误差分析</w:t>
            </w:r>
          </w:p>
        </w:tc>
        <w:tc>
          <w:tcPr>
            <w:tcW w:w="4033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7BEE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b w:val="0"/>
                <w:i w:val="0"/>
                <w:color w:val="08090C"/>
              </w:rPr>
            </w:pPr>
            <w:r>
              <w:rPr>
                <w:rFonts w:hint="eastAsia"/>
                <w:b w:val="0"/>
                <w:i w:val="0"/>
                <w:color w:val="08090C"/>
              </w:rPr>
              <w:t>报告框架与整合、天气特征消融、分区域与高峰时段误差分析、汇报材料</w:t>
            </w:r>
          </w:p>
        </w:tc>
      </w:tr>
    </w:tbl>
    <w:p w14:paraId="1A72923A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39" w:name="section-9-2"/>
      <w:r>
        <w:rPr>
          <w:rFonts w:hint="eastAsia"/>
          <w:color w:val="1F2430"/>
        </w:rPr>
        <w:t>8.2　个人承担说明</w:t>
      </w:r>
      <w:bookmarkEnd w:id="39"/>
    </w:p>
    <w:p w14:paraId="386077D7">
      <w:pPr>
        <w:rPr>
          <w:color w:val="1F2430"/>
        </w:rPr>
      </w:pPr>
      <w:r>
        <w:rPr>
          <w:rFonts w:hint="eastAsia"/>
          <w:b/>
          <w:color w:val="1F2430"/>
        </w:rPr>
        <w:t>郑宜桥（成员A）</w:t>
      </w:r>
    </w:p>
    <w:p w14:paraId="67E2327E">
      <w:pPr>
        <w:rPr>
          <w:color w:val="1F2430"/>
        </w:rPr>
      </w:pPr>
      <w:r>
        <w:rPr>
          <w:rFonts w:hint="eastAsia"/>
          <w:b/>
          <w:color w:val="1F2430"/>
        </w:rPr>
        <w:t>承担部分。</w:t>
      </w:r>
      <w:r>
        <w:rPr>
          <w:rFonts w:hint="eastAsia"/>
          <w:color w:val="1F2430"/>
        </w:rPr>
        <w:t xml:space="preserve"> 第2章数据介绍、第3章数据清洗与预处理、第4章负荷时序规律、第5章天气与负荷关系，以及对应的代码：数据审计、清洗模块、时序分析、天气分析、报告表格生成。代码提交对应仓库中的A1至A4与表格、报告两次提交。</w:t>
      </w:r>
    </w:p>
    <w:p w14:paraId="6BB7FF3C">
      <w:pPr>
        <w:rPr>
          <w:color w:val="1F2430"/>
        </w:rPr>
      </w:pPr>
      <w:r>
        <w:rPr>
          <w:rFonts w:hint="eastAsia"/>
          <w:b/>
          <w:color w:val="1F2430"/>
        </w:rPr>
        <w:t>分析思路。</w:t>
      </w:r>
      <w:r>
        <w:rPr>
          <w:rFonts w:hint="eastAsia"/>
          <w:color w:val="1F2430"/>
        </w:rPr>
        <w:t xml:space="preserve"> 动手前先把数据摸清楚，再决定怎么处理。原始数据给到时只有字段名，没有说明文档，时间特性、量级范围、字段之间是否对齐都不确定。如果跳过审计直接写清洗规则，很容易按经验拍脑袋，比如想当然地补缺失值、按固定阈值裁掉高峰。所以我把顺序定为：先出一份质量报告，把行数、时间范围、采样间隔、缺失重复、各字段分布都摊开；再依据报告确定清洗规则；清洗结果定型后才做分析。分析也按同一逻辑推进，先看时间维度上的规律，再看气象因素，因为时间规律是负荷自身最稳定的结构，不先确定它，讨论天气影响就没有基准。</w:t>
      </w:r>
    </w:p>
    <w:p w14:paraId="0CC79D7B">
      <w:pPr>
        <w:rPr>
          <w:color w:val="1F2430"/>
        </w:rPr>
      </w:pPr>
      <w:r>
        <w:rPr>
          <w:rFonts w:hint="eastAsia"/>
          <w:b/>
          <w:color w:val="1F2430"/>
        </w:rPr>
        <w:t>方法与步骤。</w:t>
      </w:r>
      <w:r>
        <w:rPr>
          <w:rFonts w:hint="eastAsia"/>
          <w:color w:val="1F2430"/>
        </w:rPr>
        <w:t xml:space="preserve"> 审计阶段逐项检查了字段类型与缺失、时间戳解析与重复、采样间隔是否一致、负荷与气象字段的极值与分布，并用四分位距标出极端点。清洗阶段统一列名为小写下划线形式，把时间列解析为标准时间类型，数值列强制转换并记录失败数，完全重复行删除，同一时间戳对应不同数值的情况默认报错而不是静默取值。异常点单独写入一个标记文件，主数据保持原值。分析阶段按小时、星期、月份分组求均值，画日内曲线、周内柱状图、月度箱线图；天气部分计算Pearson与Spearman两种相关系数，并对温度按1 ℃ 分箱求负荷均值。报告中的表格由脚本从数据直接生成，不手工填写。</w:t>
      </w:r>
    </w:p>
    <w:p w14:paraId="60F134C0">
      <w:pPr>
        <w:rPr>
          <w:color w:val="1F2430"/>
        </w:rPr>
      </w:pPr>
      <w:r>
        <w:rPr>
          <w:rFonts w:hint="eastAsia"/>
          <w:b/>
          <w:color w:val="1F2430"/>
        </w:rPr>
        <w:t>遇到的问题与解决。</w:t>
      </w:r>
      <w:r>
        <w:rPr>
          <w:rFonts w:hint="eastAsia"/>
          <w:color w:val="1F2430"/>
        </w:rPr>
        <w:t xml:space="preserve"> 有三个。</w:t>
      </w:r>
    </w:p>
    <w:p w14:paraId="20818504">
      <w:pPr>
        <w:rPr>
          <w:color w:val="1F2430"/>
        </w:rPr>
      </w:pPr>
      <w:r>
        <w:rPr>
          <w:rFonts w:hint="eastAsia"/>
          <w:color w:val="1F2430"/>
        </w:rPr>
        <w:t>一是列名里藏了连续两个空格。区域2和区域3的字段名中间是两个空格，写代码时按字符串取列一直报错，肉眼又看不出来。后来改成先把所有列名规范化（折叠连续空白、去首尾空格、转小写），再用映射表对应到统一列名，问题才解决。这件事让我在清洗模块里加了一道检查：规整后如果出现重名列就直接报错，避免静默覆盖。</w:t>
      </w:r>
    </w:p>
    <w:p w14:paraId="23D8A712">
      <w:pPr>
        <w:rPr>
          <w:color w:val="1F2430"/>
        </w:rPr>
      </w:pPr>
      <w:r>
        <w:rPr>
          <w:rFonts w:hint="eastAsia"/>
          <w:color w:val="1F2430"/>
        </w:rPr>
        <w:t>二是异常值该不该删。按四分位距标记出1,708个极端点，其中漫射辐射一项占了1,690个。最初的直觉是删掉，但把这些点按小时和月份汇总后发现，它们集中在上午9点到下午4点、以及2月和5月，正是日照最强的时段。漫射辐射本身受太阳高度角控制，用全年分布去衡量，晴天正午的数据自然被判为离群。这类点是物理规律，不是录入错误。另一批极端点在区域3的7月19时至20时，对应夏季晚高峰，更是不能删。最后决定只标记不删除，把判断依据写进报告第3章。</w:t>
      </w:r>
    </w:p>
    <w:p w14:paraId="498E355B">
      <w:pPr>
        <w:rPr>
          <w:color w:val="1F2430"/>
        </w:rPr>
      </w:pPr>
      <w:r>
        <w:rPr>
          <w:rFonts w:hint="eastAsia"/>
          <w:color w:val="1F2430"/>
        </w:rPr>
        <w:t>三是三个区域量级差得太多。区域1的日均负荷是区域3的1.8倍，画在同一张图里，区域3的曲线形状被压平，看不出细节。分开画又带来新问题：三个子图的纵轴范围不一样，读者容易误以为可以直接比较幅度。最后的处理是子图各自独立纵轴、保留形状差异，同时在报告里单独做一张分区特征汇总表，把峰谷比、周末效应、夏冬比等比值列出来，跨区域比较一律走这张表，图注里也写明纵轴不统一。</w:t>
      </w:r>
    </w:p>
    <w:p w14:paraId="6FA1B966">
      <w:pPr>
        <w:rPr>
          <w:color w:val="1F2430"/>
        </w:rPr>
      </w:pPr>
      <w:r>
        <w:rPr>
          <w:rFonts w:hint="eastAsia"/>
          <w:b/>
          <w:color w:val="1F2430"/>
        </w:rPr>
        <w:t>不足。</w:t>
      </w:r>
      <w:r>
        <w:rPr>
          <w:rFonts w:hint="eastAsia"/>
          <w:color w:val="1F2430"/>
        </w:rPr>
        <w:t xml:space="preserve"> 原始数据没有标注负荷与气象变量的单位，报告里所有跨区域比较只能使用比值，绝对量级的讨论无法展开。另外，区域3从9月到12月的连续下滑，既可能是季节性，也可能是全年负荷水平的整体下移。数据只有一个年度周期，这两类成分在现有数据上分不开，我在报告中如实写明“无法分离”，没有做季节性归因。如果后续能拿到多年数据，用同月对比或去趋势处理可以进一步区分。</w:t>
      </w:r>
    </w:p>
    <w:p w14:paraId="2A5279FD">
      <w:pPr>
        <w:rPr>
          <w:color w:val="1F2430"/>
        </w:rPr>
      </w:pPr>
      <w:r>
        <w:rPr>
          <w:rFonts w:hint="eastAsia"/>
          <w:b/>
          <w:color w:val="1F2430"/>
        </w:rPr>
        <w:t>况子昱（成员B）</w:t>
      </w:r>
    </w:p>
    <w:p w14:paraId="391EA32C">
      <w:pPr>
        <w:rPr>
          <w:color w:val="1F2430"/>
        </w:rPr>
      </w:pPr>
      <w:r>
        <w:rPr>
          <w:rFonts w:hint="eastAsia"/>
          <w:b/>
          <w:color w:val="1F2430"/>
        </w:rPr>
        <w:t>承担部分。</w:t>
      </w:r>
      <w:r>
        <w:rPr>
          <w:rFonts w:hint="eastAsia"/>
          <w:color w:val="1F2430"/>
        </w:rPr>
        <w:t xml:space="preserve"> 第6章的预测协议与模型模块：时间切分、特征构造、历史同期基线、线性回归与梯度提升树、统一比较入口，以及配套的自动化检查。代码对应B1至B6六次提交。</w:t>
      </w:r>
    </w:p>
    <w:p w14:paraId="676694AA">
      <w:pPr>
        <w:rPr>
          <w:color w:val="1F2430"/>
        </w:rPr>
      </w:pPr>
      <w:r>
        <w:rPr>
          <w:rFonts w:hint="eastAsia"/>
          <w:b/>
          <w:color w:val="1F2430"/>
        </w:rPr>
        <w:t>分析思路。</w:t>
      </w:r>
      <w:r>
        <w:rPr>
          <w:rFonts w:hint="eastAsia"/>
          <w:color w:val="1F2430"/>
        </w:rPr>
        <w:t xml:space="preserve"> 预测任务最怕的不是模型差，而是把未来的信息喂给了模型，得出一个好看但没用的数字。所以动手写模型之前，先把协议定下来：目标定在起点之后1小时，数据按时间顺序切，特征只能取起点及更早的观测，验证集用来选参数、测试集只在最后评一次。协议写进文档后，后续每一步都拿它对照，包括后来成员C的消融和误差分析也复用同一套切分和特征接口，不另起炉灶。</w:t>
      </w:r>
    </w:p>
    <w:p w14:paraId="65623B1C">
      <w:pPr>
        <w:rPr>
          <w:color w:val="1F2430"/>
        </w:rPr>
      </w:pPr>
      <w:r>
        <w:rPr>
          <w:rFonts w:hint="eastAsia"/>
          <w:b/>
          <w:color w:val="1F2430"/>
        </w:rPr>
        <w:t>方法与步骤。</w:t>
      </w:r>
      <w:r>
        <w:rPr>
          <w:rFonts w:hint="eastAsia"/>
          <w:color w:val="1F2430"/>
        </w:rPr>
        <w:t xml:space="preserve"> 先按70%/15%/15% 按时间切出训练、验证、测试三段，边界固定在2017-09-14 20:40与11-07 09:40；再实现特征构造的开关，历史负荷、时间编码、天气三组可分别开关，供后面消融使用；然后依次实现基线、线性回归、梯度提升树，统一训练与预测接口，最后用一个入口脚本重跑三模型并输出比较表与图7。检查部分写成可执行的测试：三模型测试区间是否完全一致、特征索引是否越界、预测文件字段是否合规、指标能否从预测文件复算出来。</w:t>
      </w:r>
    </w:p>
    <w:p w14:paraId="04829CF5">
      <w:pPr>
        <w:rPr>
          <w:color w:val="1F2430"/>
        </w:rPr>
      </w:pPr>
      <w:r>
        <w:rPr>
          <w:rFonts w:hint="eastAsia"/>
          <w:b/>
          <w:color w:val="1F2430"/>
        </w:rPr>
        <w:t>遇到的问题与解决。</w:t>
      </w:r>
      <w:r>
        <w:rPr>
          <w:rFonts w:hint="eastAsia"/>
          <w:color w:val="1F2430"/>
        </w:rPr>
        <w:t xml:space="preserve"> 有三个。</w:t>
      </w:r>
    </w:p>
    <w:p w14:paraId="21CC192E">
      <w:pPr>
        <w:rPr>
          <w:color w:val="1F2430"/>
        </w:rPr>
      </w:pPr>
      <w:r>
        <w:rPr>
          <w:rFonts w:hint="eastAsia"/>
          <w:color w:val="1F2430"/>
        </w:rPr>
        <w:t>一是基线的索引差一位。历史同期基线看似简单，但目标时刻是t+6，"上一周同期"应该是y(t+6−1008) 也就是y(t−1002)，不是y(t−1008)。写错一位就变成了错开一小时的比较，指标会虚高。最后是靠测试逐值比对清洗数据才确认下来的。</w:t>
      </w:r>
    </w:p>
    <w:p w14:paraId="2DEEB9B3">
      <w:pPr>
        <w:rPr>
          <w:color w:val="1F2430"/>
        </w:rPr>
      </w:pPr>
      <w:r>
        <w:rPr>
          <w:rFonts w:hint="eastAsia"/>
          <w:color w:val="1F2430"/>
        </w:rPr>
        <w:t>二是梯度提升树跑得太慢。经典实现单区域训练要40到108秒，参数网格一铺开就不可接受了。换成同一库的直方图版本后降到0.5到3.5秒，快了约30倍，算法族没有变，这一决策按协议里的备选条款执行并记进了实验日志。</w:t>
      </w:r>
    </w:p>
    <w:p w14:paraId="3A56E683">
      <w:pPr>
        <w:rPr>
          <w:color w:val="1F2430"/>
        </w:rPr>
      </w:pPr>
      <w:r>
        <w:rPr>
          <w:rFonts w:hint="eastAsia"/>
          <w:color w:val="1F2430"/>
        </w:rPr>
        <w:t>三是交付前发现成员C机器上的梯度提升树结果与本机对不上，相对差异在0.3% 到3.1% 之间。逐层排查后排除了数据、切分和参数，确认是scikit-learn版本不同导致的数值微差，线性回归和其他结构性指标全部逐值一致。这件事没有掩盖，写进了交付报告，并建议全组锁定版本。</w:t>
      </w:r>
    </w:p>
    <w:p w14:paraId="32D60B4E">
      <w:pPr>
        <w:rPr>
          <w:color w:val="1F2430"/>
        </w:rPr>
      </w:pPr>
      <w:r>
        <w:rPr>
          <w:rFonts w:hint="eastAsia"/>
          <w:b/>
          <w:color w:val="1F2430"/>
        </w:rPr>
        <w:t>不足。</w:t>
      </w:r>
      <w:r>
        <w:rPr>
          <w:rFonts w:hint="eastAsia"/>
          <w:color w:val="1F2430"/>
        </w:rPr>
        <w:t xml:space="preserve"> 数据没有天气预报字段，起点的天气只能用同步观测代替，这是所有天气特征结论的前提，报告里必须写明。另外候选扩展特征（半小时滞后、24小时滚动均值等）已经实现但默认关闭，没有进入主实验。</w:t>
      </w:r>
    </w:p>
    <w:p w14:paraId="587C6F66">
      <w:pPr>
        <w:rPr>
          <w:color w:val="1F2430"/>
        </w:rPr>
      </w:pPr>
      <w:r>
        <w:rPr>
          <w:rFonts w:hint="eastAsia"/>
          <w:b/>
          <w:color w:val="1F2430"/>
        </w:rPr>
        <w:t>徐启翔（成员C）</w:t>
      </w:r>
    </w:p>
    <w:p w14:paraId="38CA8182">
      <w:pPr>
        <w:rPr>
          <w:color w:val="1F2430"/>
        </w:rPr>
      </w:pPr>
      <w:r>
        <w:rPr>
          <w:rFonts w:hint="eastAsia"/>
          <w:b/>
          <w:color w:val="1F2430"/>
        </w:rPr>
        <w:t>承担部分。</w:t>
      </w:r>
      <w:r>
        <w:rPr>
          <w:rFonts w:hint="eastAsia"/>
          <w:color w:val="1F2430"/>
        </w:rPr>
        <w:t xml:space="preserve"> 摘要、第1章引言、第7章结论，第6.4节的归因实验、第6.5节的天气特征消融、第6.6节的分区域与高峰时段误差分析，以及报告框架、实验记录规范和最后的整合定稿。代码对应 `src/ablation.py`、`src/error_analysis.py` 与 `src/probe_target_week.py`，提交为C1至C5。</w:t>
      </w:r>
    </w:p>
    <w:p w14:paraId="4BD72FD1">
      <w:pPr>
        <w:rPr>
          <w:color w:val="1F2430"/>
        </w:rPr>
      </w:pPr>
      <w:r>
        <w:rPr>
          <w:rFonts w:hint="eastAsia"/>
          <w:b/>
          <w:color w:val="1F2430"/>
        </w:rPr>
        <w:t>分析思路。</w:t>
      </w:r>
      <w:r>
        <w:rPr>
          <w:rFonts w:hint="eastAsia"/>
          <w:color w:val="1F2430"/>
        </w:rPr>
        <w:t xml:space="preserve"> 三个人各写各的，最后要并到一份报告里，最怕的是口径对不上。所以第一件事不是跑实验，而是先把框架和记录规范立下来：章节怎么分、图表编号怎么排、每次实验要登记哪些字段。这样后面每个人产出的数字都能追溯到某一条日志记录，整合时不需要再猜。做消融和误差分析时同样先定规则再动手：消融只改一个开关，其余完全不动；误差分析不另建测试集，直接读成员B已经生成的预测文件；高峰阈值只在训练集上取，不在测试集上挑。</w:t>
      </w:r>
    </w:p>
    <w:p w14:paraId="19524BBB">
      <w:pPr>
        <w:rPr>
          <w:color w:val="1F2430"/>
        </w:rPr>
      </w:pPr>
      <w:r>
        <w:rPr>
          <w:rFonts w:hint="eastAsia"/>
          <w:b/>
          <w:color w:val="1F2430"/>
        </w:rPr>
        <w:t>方法与步骤。</w:t>
      </w:r>
      <w:r>
        <w:rPr>
          <w:rFonts w:hint="eastAsia"/>
          <w:color w:val="1F2430"/>
        </w:rPr>
        <w:t>C1阶段先读课程模板确认章节要求，据此排出章节分工表和图表清单，并建立实验日志模板。C2阶段做天气消融：沿用成员B的特征接口，只切换天气开关，两个模型分别跑含天气与不含天气两组，梯度提升树直接读取已选定的配置以保证可比。C3阶段做误差分析：先按区域算总体指标和相对指标，再按小时、星期、月份拆解，最后单独看高峰时段，阈值取训练集负荷分布的九十分位。C4阶段把结论一条条对应到具体证据和图表上，写不出来的就不写。C5阶段把各章并成完整稿并统一数字口径。</w:t>
      </w:r>
    </w:p>
    <w:p w14:paraId="05300081">
      <w:pPr>
        <w:rPr>
          <w:color w:val="1F2430"/>
        </w:rPr>
      </w:pPr>
      <w:r>
        <w:rPr>
          <w:rFonts w:hint="eastAsia"/>
          <w:b/>
          <w:color w:val="1F2430"/>
        </w:rPr>
        <w:t>遇到的问题与解决。</w:t>
      </w:r>
      <w:r>
        <w:rPr>
          <w:rFonts w:hint="eastAsia"/>
          <w:color w:val="1F2430"/>
        </w:rPr>
        <w:t xml:space="preserve"> 有四个。</w:t>
      </w:r>
    </w:p>
    <w:p w14:paraId="1D9017DA">
      <w:pPr>
        <w:rPr>
          <w:color w:val="1F2430"/>
        </w:rPr>
      </w:pPr>
      <w:r>
        <w:rPr>
          <w:rFonts w:hint="eastAsia"/>
          <w:color w:val="1F2430"/>
        </w:rPr>
        <w:t>一是消融结果与主实验对不上。梯度提升树带天气那一组的指标和成员B的主实验有0.3% 到3.1% 的相对差异。查下来是我本机scikit-learn版本与成员B的1.6.1不同，直方图实现有数值微差。线性回归、样本区间、样本量全部逐值一致，说明不是流程问题。处理方式是先在实验日志里注明版本差异并如实写进结论，随后全组在 `requirements.txt` 中锁定 `scikit-learn==1.6.1` 并重跑，偏差已消除，消融带天气组与主实验逐值一致。</w:t>
      </w:r>
    </w:p>
    <w:p w14:paraId="3BEFC882">
      <w:pPr>
        <w:rPr>
          <w:color w:val="1F2430"/>
        </w:rPr>
      </w:pPr>
      <w:r>
        <w:rPr>
          <w:rFonts w:hint="eastAsia"/>
          <w:color w:val="1F2430"/>
        </w:rPr>
        <w:t>二是高峰时段样本量不够。阈值按训练集九十分位取，结果到了测试期，区域1只剩9条高峰样本，区域3一条都没有，原因是测试期负荷整体下移。这两个区域的高峰表现确实无法从本次数据确认，我没有拿区域2的数字去外推，而是在报告里明确写成"无法确认"。</w:t>
      </w:r>
    </w:p>
    <w:p w14:paraId="78EBF38C">
      <w:pPr>
        <w:rPr>
          <w:color w:val="1F2430"/>
        </w:rPr>
      </w:pPr>
      <w:r>
        <w:rPr>
          <w:rFonts w:hint="eastAsia"/>
          <w:color w:val="1F2430"/>
        </w:rPr>
        <w:t>三是图里的减号显示成方框。残差分布图的坐标轴标签用了Unicode减号，黑体字库不支持，导出后是一个个小方块。换成ASCII减号后重新生成了三张图。</w:t>
      </w:r>
    </w:p>
    <w:p w14:paraId="0EEB3746">
      <w:pPr>
        <w:rPr>
          <w:color w:val="1F2430"/>
        </w:rPr>
      </w:pPr>
      <w:r>
        <w:rPr>
          <w:rFonts w:hint="eastAsia"/>
          <w:color w:val="1F2430"/>
        </w:rPr>
        <w:t>四是自己写错了一处结论。第6.3节初稿写"只有线性回归在区域3的RMSE优于基线"，核对 `improvement_vs_naive.csv` 后发现MAE同样占优（−2.69%），改成"两项指标同时占优"。这类错如果不逐列核对源文件是发现不了的，所以整合阶段我把报告里每个数字都回查了一遍原始结果文件。</w:t>
      </w:r>
    </w:p>
    <w:p w14:paraId="70B4442E">
      <w:pPr>
        <w:rPr>
          <w:color w:val="1F2430"/>
        </w:rPr>
      </w:pPr>
      <w:r>
        <w:rPr>
          <w:rFonts w:hint="eastAsia"/>
          <w:b/>
          <w:color w:val="1F2430"/>
        </w:rPr>
        <w:t>不足。</w:t>
      </w:r>
      <w:r>
        <w:rPr>
          <w:rFonts w:hint="eastAsia"/>
          <w:color w:val="1F2430"/>
        </w:rPr>
        <w:t xml:space="preserve"> 版本统一后消融与误差分析都在新特征集上重做了一遍，但仍有两处留白：高峰时段结论只有区域2有足够样本支撑，区域1和区域3留白；误差分析只做到分层描述，没有进一步建模归因，误差与温度、负荷水平之间的定量关系还可以再做。另外时间特征目前取预测起点的小时、星期、月份，若改取目标时刻的对应值是否更合适，本次没有试验。</w:t>
      </w:r>
    </w:p>
    <w:p w14:paraId="4EA88B0D">
      <w:pPr>
        <w:rPr>
          <w:color w:val="1F2430"/>
        </w:rPr>
        <w:sectPr>
          <w:footerReference r:id="rId13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color w:val="1F2430"/>
        </w:rPr>
        <w:t>---</w:t>
      </w:r>
    </w:p>
    <w:p w14:paraId="32EB52C2">
      <w:pPr>
        <w:pStyle w:val="2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40" w:name="section-10"/>
      <w:bookmarkStart w:id="41" w:name="_Toc28244"/>
      <w:r>
        <w:rPr>
          <w:rFonts w:hint="eastAsia"/>
          <w:color w:val="1F2430"/>
        </w:rPr>
        <w:t>9　附录</w:t>
      </w:r>
      <w:bookmarkEnd w:id="40"/>
      <w:bookmarkEnd w:id="41"/>
    </w:p>
    <w:p w14:paraId="08D29893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42" w:name="section-10-1"/>
      <w:r>
        <w:rPr>
          <w:rFonts w:hint="eastAsia"/>
          <w:color w:val="1F2430"/>
        </w:rPr>
        <w:t>附录A　代码仓库</w:t>
      </w:r>
      <w:bookmarkEnd w:id="42"/>
    </w:p>
    <w:p w14:paraId="1233E671">
      <w:pPr>
        <w:rPr>
          <w:color w:val="1F2430"/>
        </w:rPr>
      </w:pPr>
      <w:r>
        <w:rPr>
          <w:rFonts w:hint="eastAsia"/>
          <w:color w:val="1F2430"/>
        </w:rPr>
        <w:t>GitHub仓库：https://github.com/77xiang/python_data_processing</w:t>
      </w:r>
    </w:p>
    <w:p w14:paraId="6C1C48E0">
      <w:pPr>
        <w:rPr>
          <w:color w:val="1F2430"/>
        </w:rPr>
      </w:pPr>
      <w:r>
        <w:rPr>
          <w:rFonts w:hint="eastAsia"/>
          <w:color w:val="1F2430"/>
        </w:rPr>
        <w:t>代码结构：src/data_cleaning.py（清洗）→ src/features.py、src/splits.py（特征与切分）→ src/models.py、src/evaluate.py、src/compare.py（模型与比较）→ src/ablation.py（消融）→ src/error_analysis.py（误差分析）→ src/probe_target_week.py（归因实验）；分析图表分别由src/eda.py、src/weather_analysis.py生成。</w:t>
      </w:r>
    </w:p>
    <w:p w14:paraId="1424B2B0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43" w:name="section-10-2"/>
      <w:r>
        <w:rPr>
          <w:rFonts w:hint="eastAsia"/>
          <w:color w:val="1F2430"/>
        </w:rPr>
        <w:t>附录B　复现说明</w:t>
      </w:r>
      <w:bookmarkEnd w:id="43"/>
    </w:p>
    <w:p w14:paraId="5EE7C069">
      <w:pPr>
        <w:rPr>
          <w:color w:val="1F2430"/>
        </w:rPr>
      </w:pPr>
      <w:r>
        <w:rPr>
          <w:rFonts w:hint="eastAsia"/>
          <w:color w:val="1F2430"/>
        </w:rPr>
        <w:t>1. 将原始数据放至data/raw/题4_城市电力负荷.csv（原始数据不入库）；2. 依赖见requirements.txt，其中scikit-learn==1.6.1必须锁定（梯度提升树数值随版本漂移，实测1.6.1与1.9.1之间相差0.3%–3.1%）；3. python src/compare.py完整重跑三模型并生成表3、图7；4. python src/probe_target_week.py复现表4（目标对齐周特征对照）并写出改进模型的测试集预测；5. python src/ablation.py --target-week复现表5（新特征集上的天气消融），python src/ablation.py复现原特征集消融；6. python src/error_analysis.py --tag _tw复现图8与误差分析（默认无 --tag时分析原模型）；7. 自动化检查：tests/（切分与特征索引含purge检查、模型对齐、交付核对共20项）。</w:t>
      </w:r>
    </w:p>
    <w:p w14:paraId="7BCD5801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44" w:name="section-10-3"/>
      <w:r>
        <w:rPr>
          <w:rFonts w:hint="eastAsia"/>
          <w:color w:val="1F2430"/>
        </w:rPr>
        <w:t>附录C　主要代码片段</w:t>
      </w:r>
      <w:bookmarkEnd w:id="44"/>
    </w:p>
    <w:p w14:paraId="0FB612BB">
      <w:pPr>
        <w:rPr>
          <w:color w:val="1F2430"/>
        </w:rPr>
      </w:pPr>
      <w:r>
        <w:rPr>
          <w:rFonts w:hint="eastAsia"/>
          <w:color w:val="1F2430"/>
        </w:rPr>
        <w:t>以下为与本文结论直接相关的三段核心代码，完整实现见仓库对应文件。</w:t>
      </w:r>
    </w:p>
    <w:p w14:paraId="56F946DB">
      <w:pPr>
        <w:rPr>
          <w:color w:val="1F2430"/>
        </w:rPr>
      </w:pPr>
      <w:r>
        <w:rPr>
          <w:rFonts w:hint="eastAsia"/>
          <w:b/>
          <w:color w:val="1F2430"/>
        </w:rPr>
        <w:t>（1）历史同期基线</w:t>
      </w:r>
      <w:r>
        <w:rPr>
          <w:rFonts w:hint="eastAsia"/>
          <w:color w:val="1F2430"/>
        </w:rPr>
        <w:t>（src/models.py）：直接取目标时刻的上一周同期值，NAIVE_LAG = 1008 − 6 = 1002。</w:t>
      </w:r>
    </w:p>
    <w:tbl>
      <w:tblPr>
        <w:tblStyle w:val="17"/>
        <w:tblW w:w="0" w:type="auto"/>
        <w:tblInd w:w="15" w:type="dxa"/>
        <w:tblBorders>
          <w:top w:val="none" w:color="auto" w:sz="8" w:space="0"/>
          <w:left w:val="none" w:color="auto" w:sz="8" w:space="0"/>
          <w:bottom w:val="none" w:color="auto" w:sz="8" w:space="0"/>
          <w:right w:val="none" w:color="auto" w:sz="8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 w14:paraId="4F4D0649">
        <w:tblPrEx>
          <w:tblBorders>
            <w:top w:val="none" w:color="auto" w:sz="8" w:space="0"/>
            <w:left w:val="none" w:color="auto" w:sz="8" w:space="0"/>
            <w:bottom w:val="none" w:color="auto" w:sz="8" w:space="0"/>
            <w:right w:val="none" w:color="auto" w:sz="8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306" w:type="dxa"/>
            <w:tcBorders>
              <w:top w:val="single" w:color="E2E6EC" w:sz="6" w:space="0"/>
              <w:left w:val="single" w:color="E2E6EC" w:sz="6" w:space="0"/>
              <w:bottom w:val="single" w:color="E2E6EC" w:sz="6" w:space="0"/>
              <w:right w:val="single" w:color="E2E6EC" w:sz="6" w:space="0"/>
            </w:tcBorders>
            <w:shd w:val="clear" w:color="auto" w:fill="F5F7FA"/>
            <w:vAlign w:val="center"/>
          </w:tcPr>
          <w:p w14:paraId="34201EDE">
            <w:pPr>
              <w:rPr>
                <w:color w:val="1F2430"/>
              </w:rPr>
            </w:pPr>
            <w:r>
              <w:rPr>
                <w:rFonts w:hint="eastAsia" w:ascii="Courier New" w:hAnsi="Courier New" w:eastAsia="Courier New" w:cs="Courier New"/>
                <w:color w:val="1F2430"/>
                <w:sz w:val="20"/>
              </w:rPr>
              <w:t>def seasonal_naive_predict(load, origins):    """load: 负荷序列；origins: 预测起点行索引（协议保证 ≥ 1008）。"""    origins = np.asarray(origins, dtype=int)    if (origins - NAIVE_LAG).min() &lt; 0:        raise ValueError("存在起点不足7天历史的样本，无法取上一周同期值")    return load[origins - NAIVE_LAG]  # ŷ(t+6) = y(t+6−1008) = y(t−1002)</w:t>
            </w:r>
          </w:p>
        </w:tc>
      </w:tr>
    </w:tbl>
    <w:p w14:paraId="58F6FDFA">
      <w:pPr>
        <w:rPr>
          <w:color w:val="1F2430"/>
        </w:rPr>
      </w:pPr>
      <w:r>
        <w:rPr>
          <w:rFonts w:hint="eastAsia"/>
          <w:b/>
          <w:color w:val="1F2430"/>
        </w:rPr>
        <w:t>（2）特征构造</w:t>
      </w:r>
      <w:r>
        <w:rPr>
          <w:rFonts w:hint="eastAsia"/>
          <w:color w:val="1F2430"/>
        </w:rPr>
        <w:t>（src/features.py的build_zone_samples）：滞后特征只回溯起点及更早的观测；目标对齐周同期特征由include_target_week开关控制，天气特征由include_weather开关控制，供消融切换。</w:t>
      </w:r>
    </w:p>
    <w:tbl>
      <w:tblPr>
        <w:tblStyle w:val="17"/>
        <w:tblW w:w="0" w:type="auto"/>
        <w:tblInd w:w="15" w:type="dxa"/>
        <w:tblBorders>
          <w:top w:val="none" w:color="auto" w:sz="8" w:space="0"/>
          <w:left w:val="none" w:color="auto" w:sz="8" w:space="0"/>
          <w:bottom w:val="none" w:color="auto" w:sz="8" w:space="0"/>
          <w:right w:val="none" w:color="auto" w:sz="8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 w14:paraId="6C5E7EE8">
        <w:tblPrEx>
          <w:tblBorders>
            <w:top w:val="none" w:color="auto" w:sz="8" w:space="0"/>
            <w:left w:val="none" w:color="auto" w:sz="8" w:space="0"/>
            <w:bottom w:val="none" w:color="auto" w:sz="8" w:space="0"/>
            <w:right w:val="none" w:color="auto" w:sz="8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306" w:type="dxa"/>
            <w:tcBorders>
              <w:top w:val="single" w:color="E2E6EC" w:sz="6" w:space="0"/>
              <w:left w:val="single" w:color="E2E6EC" w:sz="6" w:space="0"/>
              <w:bottom w:val="single" w:color="E2E6EC" w:sz="6" w:space="0"/>
              <w:right w:val="single" w:color="E2E6EC" w:sz="6" w:space="0"/>
            </w:tcBorders>
            <w:shd w:val="clear" w:color="auto" w:fill="F5F7FA"/>
            <w:vAlign w:val="center"/>
          </w:tcPr>
          <w:p w14:paraId="167A4966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# 历史负荷滞后特征（相对起点t回溯，全部 ≤ t）for name, k in HISTORY_LAGS.items():       # load_lag_0/6/144/1008    X[name] = load[origins - k]# 目标时刻对齐的上周同期：y(t+6−1008) = y(t−1002)，与历史同期基线同源if include_target_week:    X[TARGET_WEEK_LAG_NAME] = load[origins - TARGET_WEEK_LAG]# 天气特征：t时刻同步观测（可用性假设见协议3.3）if include_weather:    for col in WEATHER_COLUMNS:        X[col] = df[col].to_numpy(dtype=float)[origins]</w:t>
            </w:r>
          </w:p>
        </w:tc>
      </w:tr>
    </w:tbl>
    <w:p w14:paraId="0037749C">
      <w:pPr>
        <w:rPr>
          <w:color w:val="1F2430"/>
        </w:rPr>
      </w:pPr>
      <w:r>
        <w:rPr>
          <w:rFonts w:hint="eastAsia"/>
          <w:b/>
          <w:color w:val="1F2430"/>
        </w:rPr>
        <w:t>（3）梯度提升树训练</w:t>
      </w:r>
      <w:r>
        <w:rPr>
          <w:rFonts w:hint="eastAsia"/>
          <w:color w:val="1F2430"/>
        </w:rPr>
        <w:t>（src/models.py）：关闭内部早停（迭代数由验证集网格决定），固定种子保证可复现。</w:t>
      </w:r>
    </w:p>
    <w:tbl>
      <w:tblPr>
        <w:tblStyle w:val="17"/>
        <w:tblW w:w="0" w:type="auto"/>
        <w:tblInd w:w="15" w:type="dxa"/>
        <w:tblBorders>
          <w:top w:val="none" w:color="auto" w:sz="8" w:space="0"/>
          <w:left w:val="none" w:color="auto" w:sz="8" w:space="0"/>
          <w:bottom w:val="none" w:color="auto" w:sz="8" w:space="0"/>
          <w:right w:val="none" w:color="auto" w:sz="8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 w14:paraId="78E3EC07">
        <w:tblPrEx>
          <w:tblBorders>
            <w:top w:val="none" w:color="auto" w:sz="8" w:space="0"/>
            <w:left w:val="none" w:color="auto" w:sz="8" w:space="0"/>
            <w:bottom w:val="none" w:color="auto" w:sz="8" w:space="0"/>
            <w:right w:val="none" w:color="auto" w:sz="8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306" w:type="dxa"/>
            <w:tcBorders>
              <w:top w:val="single" w:color="E2E6EC" w:sz="6" w:space="0"/>
              <w:left w:val="single" w:color="E2E6EC" w:sz="6" w:space="0"/>
              <w:bottom w:val="single" w:color="E2E6EC" w:sz="6" w:space="0"/>
              <w:right w:val="single" w:color="E2E6EC" w:sz="6" w:space="0"/>
            </w:tcBorders>
            <w:shd w:val="clear" w:color="auto" w:fill="F5F7FA"/>
            <w:vAlign w:val="center"/>
          </w:tcPr>
          <w:p w14:paraId="6A812E8E">
            <w:pPr>
              <w:rPr>
                <w:color w:val="1F2430"/>
              </w:rPr>
            </w:pPr>
            <w:r>
              <w:rPr>
                <w:rFonts w:ascii="Courier New" w:hAnsi="Courier New" w:eastAsia="Courier New" w:cs="Courier New"/>
                <w:color w:val="1F2430"/>
                <w:sz w:val="20"/>
              </w:rPr>
              <w:t>def train_gradient_boosting(X_train, y_train, *, seed=GBT_SEED,  # 42                            max_iter=200, learning_rate=0.1, max_depth=None):    return HistGradientBoostingRegressor(        max_iter=max_iter, learning_rate=learning_rate, max_depth=max_depth,        early_stopping=False, random_state=seed,    ).fit(X_train, y_train)</w:t>
            </w:r>
          </w:p>
        </w:tc>
      </w:tr>
    </w:tbl>
    <w:p w14:paraId="5AE2CD17">
      <w:pPr>
        <w:sectPr>
          <w:footerReference r:id="rId14" w:type="default"/>
          <w:pgSz w:w="11906" w:h="16838"/>
          <w:pgMar w:top="1383" w:right="1689" w:bottom="1383" w:left="1689" w:header="851" w:footer="992" w:gutter="0"/>
          <w:cols w:space="720" w:num="1"/>
        </w:sectPr>
      </w:pPr>
    </w:p>
    <w:p w14:paraId="49E2D1A2"/>
    <w:sectPr>
      <w:footerReference r:id="rId15" w:type="default"/>
      <w:pgSz w:w="12240" w:h="15840"/>
      <w:pgMar w:top="1383" w:right="1689" w:bottom="1383" w:left="1689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汉仪大宋简">
    <w:panose1 w:val="02010600000101010101"/>
    <w:charset w:val="86"/>
    <w:family w:val="auto"/>
    <w:pitch w:val="default"/>
    <w:sig w:usb0="00000001" w:usb1="080E0800" w:usb2="00000002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1B6293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CBDBB2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ED97C5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B4937C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411D7B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E29F74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112E13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5D36F7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6F407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772532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671F2D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  <w:ind w:firstLine="480"/>
      </w:pPr>
      <w:r>
        <w:separator/>
      </w:r>
    </w:p>
  </w:footnote>
  <w:footnote w:type="continuationSeparator" w:id="1">
    <w:p>
      <w:pPr>
        <w:spacing w:before="0" w:after="0" w:line="240" w:lineRule="auto"/>
        <w:ind w:firstLine="48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2DF"/>
    <w:rsid w:val="000814DE"/>
    <w:rsid w:val="00692C94"/>
    <w:rsid w:val="00880E1E"/>
    <w:rsid w:val="00963A2E"/>
    <w:rsid w:val="009972DF"/>
    <w:rsid w:val="00C55963"/>
    <w:rsid w:val="00ED1A38"/>
    <w:rsid w:val="29C601D3"/>
    <w:rsid w:val="43A00481"/>
    <w:rsid w:val="4DE71A0D"/>
    <w:rsid w:val="5A0377E1"/>
    <w:rsid w:val="65E90AB1"/>
    <w:rsid w:val="6C98782A"/>
    <w:rsid w:val="73CB5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napToGrid w:val="0"/>
      <w:spacing w:before="100" w:beforeAutospacing="1" w:line="440" w:lineRule="atLeast"/>
      <w:ind w:firstLine="480" w:firstLineChars="200"/>
      <w:jc w:val="left"/>
    </w:pPr>
    <w:rPr>
      <w:rFonts w:ascii="宋体" w:hAnsi="宋体" w:eastAsia="宋体" w:cs="宋体"/>
      <w:kern w:val="0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uiPriority w:val="0"/>
    <w:pPr>
      <w:outlineLvl w:val="0"/>
    </w:pPr>
    <w:rPr>
      <w:rFonts w:eastAsia="黑体"/>
      <w:b/>
      <w:sz w:val="28"/>
    </w:rPr>
  </w:style>
  <w:style w:type="paragraph" w:styleId="3">
    <w:name w:val="heading 2"/>
    <w:link w:val="26"/>
    <w:uiPriority w:val="0"/>
    <w:pPr>
      <w:spacing w:before="280" w:beforeAutospacing="1" w:after="280" w:afterAutospacing="1" w:line="408" w:lineRule="auto"/>
      <w:outlineLvl w:val="1"/>
    </w:pPr>
    <w:rPr>
      <w:rFonts w:ascii="Times New Roman" w:hAnsi="Times New Roman" w:eastAsia="黑体" w:cs="Times New Roman"/>
      <w:b/>
      <w:kern w:val="2"/>
      <w:sz w:val="24"/>
      <w:szCs w:val="24"/>
      <w:lang w:val="en-US" w:eastAsia="zh-CN" w:bidi="ar-SA"/>
    </w:rPr>
  </w:style>
  <w:style w:type="paragraph" w:styleId="4">
    <w:name w:val="heading 3"/>
    <w:uiPriority w:val="0"/>
    <w:pPr>
      <w:outlineLvl w:val="2"/>
    </w:pPr>
    <w:rPr>
      <w:rFonts w:ascii="Times New Roman" w:hAnsi="Times New Roman" w:eastAsia="黑体" w:cs="Times New Roman"/>
      <w:b/>
      <w:kern w:val="2"/>
      <w:sz w:val="27"/>
      <w:szCs w:val="24"/>
      <w:lang w:val="en-US" w:eastAsia="zh-CN" w:bidi="ar-SA"/>
    </w:rPr>
  </w:style>
  <w:style w:type="character" w:default="1" w:styleId="18">
    <w:name w:val="Default Paragraph Font"/>
    <w:semiHidden/>
    <w:unhideWhenUsed/>
    <w:uiPriority w:val="1"/>
  </w:style>
  <w:style w:type="table" w:default="1" w:styleId="1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7"/>
    <w:uiPriority w:val="0"/>
    <w:rPr>
      <w:rFonts w:ascii="Times New Roman" w:hAnsi="Times New Roman" w:eastAsia="宋体" w:cs="Times New Roman"/>
      <w:kern w:val="2"/>
      <w:sz w:val="22"/>
      <w:szCs w:val="24"/>
      <w:lang w:val="en-US" w:eastAsia="zh-CN" w:bidi="ar-SA"/>
    </w:rPr>
  </w:style>
  <w:style w:type="paragraph" w:styleId="6">
    <w:name w:val="Body Text"/>
    <w:uiPriority w:val="0"/>
    <w:pPr>
      <w:spacing w:after="12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7">
    <w:name w:val="toc 5"/>
    <w:uiPriority w:val="0"/>
    <w:rPr>
      <w:rFonts w:ascii="Times New Roman" w:hAnsi="Times New Roman" w:eastAsia="宋体" w:cs="Times New Roman"/>
      <w:kern w:val="2"/>
      <w:sz w:val="22"/>
      <w:szCs w:val="24"/>
      <w:lang w:val="en-US" w:eastAsia="zh-CN" w:bidi="ar-SA"/>
    </w:rPr>
  </w:style>
  <w:style w:type="paragraph" w:styleId="8">
    <w:name w:val="toc 3"/>
    <w:qFormat/>
    <w:uiPriority w:val="0"/>
    <w:rPr>
      <w:rFonts w:ascii="Times New Roman" w:hAnsi="Times New Roman" w:eastAsia="宋体" w:cs="Times New Roman"/>
      <w:kern w:val="2"/>
      <w:sz w:val="22"/>
      <w:szCs w:val="24"/>
      <w:lang w:val="en-US" w:eastAsia="zh-CN" w:bidi="ar-SA"/>
    </w:rPr>
  </w:style>
  <w:style w:type="paragraph" w:styleId="9">
    <w:name w:val="toc 8"/>
    <w:uiPriority w:val="0"/>
    <w:rPr>
      <w:rFonts w:ascii="Times New Roman" w:hAnsi="Times New Roman" w:eastAsia="宋体" w:cs="Times New Roman"/>
      <w:kern w:val="2"/>
      <w:sz w:val="22"/>
      <w:szCs w:val="24"/>
      <w:lang w:val="en-US" w:eastAsia="zh-CN" w:bidi="ar-SA"/>
    </w:rPr>
  </w:style>
  <w:style w:type="paragraph" w:styleId="10">
    <w:name w:val="footer"/>
    <w:basedOn w:val="1"/>
    <w:link w:val="20"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1">
    <w:name w:val="header"/>
    <w:basedOn w:val="1"/>
    <w:link w:val="19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2">
    <w:name w:val="toc 1"/>
    <w:qFormat/>
    <w:uiPriority w:val="0"/>
    <w:pPr>
      <w:tabs>
        <w:tab w:val="right" w:leader="dot" w:pos="9072"/>
      </w:tabs>
      <w:spacing w:before="360" w:after="360" w:line="360" w:lineRule="auto"/>
    </w:pPr>
    <w:rPr>
      <w:rFonts w:ascii="Times New Roman" w:hAnsi="Times New Roman" w:eastAsia="宋体" w:cs="Times New Roman"/>
      <w:b/>
      <w:kern w:val="2"/>
      <w:sz w:val="22"/>
      <w:szCs w:val="24"/>
      <w:lang w:val="en-US" w:eastAsia="zh-CN" w:bidi="ar-SA"/>
    </w:rPr>
  </w:style>
  <w:style w:type="paragraph" w:styleId="13">
    <w:name w:val="toc 4"/>
    <w:uiPriority w:val="0"/>
    <w:rPr>
      <w:rFonts w:ascii="Times New Roman" w:hAnsi="Times New Roman" w:eastAsia="宋体" w:cs="Times New Roman"/>
      <w:kern w:val="2"/>
      <w:sz w:val="22"/>
      <w:szCs w:val="24"/>
      <w:lang w:val="en-US" w:eastAsia="zh-CN" w:bidi="ar-SA"/>
    </w:rPr>
  </w:style>
  <w:style w:type="paragraph" w:styleId="14">
    <w:name w:val="toc 6"/>
    <w:uiPriority w:val="0"/>
    <w:rPr>
      <w:rFonts w:ascii="Times New Roman" w:hAnsi="Times New Roman" w:eastAsia="宋体" w:cs="Times New Roman"/>
      <w:kern w:val="2"/>
      <w:sz w:val="22"/>
      <w:szCs w:val="24"/>
      <w:lang w:val="en-US" w:eastAsia="zh-CN" w:bidi="ar-SA"/>
    </w:rPr>
  </w:style>
  <w:style w:type="paragraph" w:styleId="15">
    <w:name w:val="toc 2"/>
    <w:qFormat/>
    <w:uiPriority w:val="0"/>
    <w:pPr>
      <w:tabs>
        <w:tab w:val="right" w:leader="dot" w:pos="9072"/>
      </w:tabs>
      <w:spacing w:after="60" w:line="360" w:lineRule="auto"/>
      <w:ind w:left="420"/>
    </w:pPr>
    <w:rPr>
      <w:rFonts w:ascii="Times New Roman" w:hAnsi="Times New Roman" w:eastAsia="宋体" w:cs="Times New Roman"/>
      <w:b/>
      <w:kern w:val="2"/>
      <w:sz w:val="22"/>
      <w:szCs w:val="24"/>
      <w:lang w:val="en-US" w:eastAsia="zh-CN" w:bidi="ar-SA"/>
    </w:rPr>
  </w:style>
  <w:style w:type="paragraph" w:styleId="16">
    <w:name w:val="toc 9"/>
    <w:qFormat/>
    <w:uiPriority w:val="0"/>
    <w:rPr>
      <w:rFonts w:ascii="Times New Roman" w:hAnsi="Times New Roman" w:eastAsia="宋体" w:cs="Times New Roman"/>
      <w:kern w:val="2"/>
      <w:sz w:val="22"/>
      <w:szCs w:val="24"/>
      <w:lang w:val="en-US" w:eastAsia="zh-CN" w:bidi="ar-SA"/>
    </w:rPr>
  </w:style>
  <w:style w:type="character" w:customStyle="1" w:styleId="19">
    <w:name w:val="页眉 字符"/>
    <w:basedOn w:val="18"/>
    <w:link w:val="11"/>
    <w:uiPriority w:val="99"/>
    <w:rPr>
      <w:sz w:val="18"/>
      <w:szCs w:val="18"/>
    </w:rPr>
  </w:style>
  <w:style w:type="character" w:customStyle="1" w:styleId="20">
    <w:name w:val="页脚 字符"/>
    <w:basedOn w:val="18"/>
    <w:link w:val="10"/>
    <w:uiPriority w:val="99"/>
    <w:rPr>
      <w:sz w:val="18"/>
      <w:szCs w:val="18"/>
    </w:rPr>
  </w:style>
  <w:style w:type="paragraph" w:customStyle="1" w:styleId="21">
    <w:name w:val="TOC Heading"/>
    <w:next w:val="1"/>
    <w:qFormat/>
    <w:uiPriority w:val="0"/>
    <w:pPr>
      <w:spacing w:before="480" w:line="276" w:lineRule="auto"/>
    </w:pPr>
    <w:rPr>
      <w:rFonts w:ascii="Times New Roman" w:hAnsi="Times New Roman" w:eastAsia="宋体" w:cs="Times New Roman"/>
      <w:kern w:val="2"/>
      <w:sz w:val="28"/>
      <w:szCs w:val="24"/>
      <w:lang w:val="en-US" w:eastAsia="zh-CN" w:bidi="ar-SA"/>
    </w:rPr>
  </w:style>
  <w:style w:type="paragraph" w:customStyle="1" w:styleId="22">
    <w:name w:val="HTML 代码1"/>
    <w:qFormat/>
    <w:uiPriority w:val="0"/>
    <w:rPr>
      <w:rFonts w:ascii="Courier New" w:hAnsi="Courier New" w:eastAsia="Courier New" w:cs="Courier New"/>
      <w:kern w:val="2"/>
      <w:sz w:val="20"/>
      <w:szCs w:val="24"/>
      <w:lang w:val="en-US" w:eastAsia="zh-CN" w:bidi="ar-SA"/>
    </w:rPr>
  </w:style>
  <w:style w:type="paragraph" w:customStyle="1" w:styleId="23">
    <w:name w:val="WPSOffice手动目录 1"/>
    <w:uiPriority w:val="0"/>
    <w:pPr>
      <w:ind w:leftChars="0"/>
    </w:pPr>
    <w:rPr>
      <w:sz w:val="20"/>
      <w:szCs w:val="20"/>
    </w:rPr>
  </w:style>
  <w:style w:type="paragraph" w:customStyle="1" w:styleId="24">
    <w:name w:val="WPSOffice手动目录 2"/>
    <w:uiPriority w:val="0"/>
    <w:pPr>
      <w:ind w:leftChars="200"/>
    </w:pPr>
    <w:rPr>
      <w:sz w:val="20"/>
      <w:szCs w:val="20"/>
    </w:rPr>
  </w:style>
  <w:style w:type="paragraph" w:customStyle="1" w:styleId="25">
    <w:name w:val="WPSOffice手动目录 3"/>
    <w:uiPriority w:val="0"/>
    <w:pPr>
      <w:ind w:leftChars="400"/>
    </w:pPr>
    <w:rPr>
      <w:sz w:val="20"/>
      <w:szCs w:val="20"/>
    </w:rPr>
  </w:style>
  <w:style w:type="character" w:customStyle="1" w:styleId="26">
    <w:name w:val="标题 2 Char"/>
    <w:link w:val="3"/>
    <w:uiPriority w:val="0"/>
    <w:rPr>
      <w:rFonts w:ascii="Times New Roman" w:hAnsi="Times New Roman" w:eastAsia="黑体" w:cs="Times New Roman"/>
      <w:b/>
      <w:kern w:val="2"/>
      <w:sz w:val="24"/>
      <w:szCs w:val="24"/>
      <w:lang w:val="en-US" w:eastAsia="zh-CN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9" Type="http://schemas.openxmlformats.org/officeDocument/2006/relationships/fontTable" Target="fontTable.xml"/><Relationship Id="rId28" Type="http://schemas.openxmlformats.org/officeDocument/2006/relationships/image" Target="media/image12.png"/><Relationship Id="rId27" Type="http://schemas.openxmlformats.org/officeDocument/2006/relationships/image" Target="media/image11.png"/><Relationship Id="rId26" Type="http://schemas.openxmlformats.org/officeDocument/2006/relationships/image" Target="media/image10.png"/><Relationship Id="rId25" Type="http://schemas.openxmlformats.org/officeDocument/2006/relationships/image" Target="media/image9.png"/><Relationship Id="rId24" Type="http://schemas.openxmlformats.org/officeDocument/2006/relationships/image" Target="media/image8.png"/><Relationship Id="rId23" Type="http://schemas.openxmlformats.org/officeDocument/2006/relationships/image" Target="media/image7.png"/><Relationship Id="rId22" Type="http://schemas.openxmlformats.org/officeDocument/2006/relationships/image" Target="media/image6.png"/><Relationship Id="rId21" Type="http://schemas.openxmlformats.org/officeDocument/2006/relationships/image" Target="media/image5.png"/><Relationship Id="rId20" Type="http://schemas.openxmlformats.org/officeDocument/2006/relationships/image" Target="media/image4.png"/><Relationship Id="rId2" Type="http://schemas.openxmlformats.org/officeDocument/2006/relationships/settings" Target="settings.xml"/><Relationship Id="rId19" Type="http://schemas.openxmlformats.org/officeDocument/2006/relationships/image" Target="media/image3.png"/><Relationship Id="rId18" Type="http://schemas.openxmlformats.org/officeDocument/2006/relationships/image" Target="media/image2.png"/><Relationship Id="rId17" Type="http://schemas.openxmlformats.org/officeDocument/2006/relationships/image" Target="media/image1.png"/><Relationship Id="rId16" Type="http://schemas.openxmlformats.org/officeDocument/2006/relationships/theme" Target="theme/theme1.xml"/><Relationship Id="rId15" Type="http://schemas.openxmlformats.org/officeDocument/2006/relationships/footer" Target="footer11.xml"/><Relationship Id="rId14" Type="http://schemas.openxmlformats.org/officeDocument/2006/relationships/footer" Target="footer10.xml"/><Relationship Id="rId13" Type="http://schemas.openxmlformats.org/officeDocument/2006/relationships/footer" Target="footer9.xml"/><Relationship Id="rId12" Type="http://schemas.openxmlformats.org/officeDocument/2006/relationships/footer" Target="footer8.xml"/><Relationship Id="rId11" Type="http://schemas.openxmlformats.org/officeDocument/2006/relationships/footer" Target="footer7.xml"/><Relationship Id="rId10" Type="http://schemas.openxmlformats.org/officeDocument/2006/relationships/footer" Target="foot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6223</Words>
  <Characters>8042</Characters>
  <Lines>659</Lines>
  <Paragraphs>539</Paragraphs>
  <TotalTime>2</TotalTime>
  <ScaleCrop>false</ScaleCrop>
  <LinksUpToDate>false</LinksUpToDate>
  <CharactersWithSpaces>8218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2026-10-21T23:55:00Z</dcterms:created>
  <dc:creator>xiang</dc:creator>
  <cp:lastModifiedBy>WangXY</cp:lastModifiedBy>
  <dcterms:modified xsi:type="dcterms:W3CDTF">2026-10-22T05:04:37Z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"01a15f28ea5a7f778f9a623124d679a1", "ReservedCode1": "", "ContentPropagator": "00119111010856365494821B355", "PropagateID": "01a15f28ea5a7f778f9a623124d679a1", "ReservedCode2": ""}}</vt:lpwstr>
  </property>
  <property fmtid="{D5CDD505-2E9C-101B-9397-08002B2CF9AE}" pid="3" name="KSOTemplateDocerSaveRecord">
    <vt:lpwstr>eyJoZGlkIjoiNzQ4ODZmOWZkOTFhMmM5Njk2NGU5MGI2YzFiZGM0ZjgiLCJ1c2VySWQiOiIyMzc4NDA5MzgifQ==</vt:lpwstr>
  </property>
  <property fmtid="{D5CDD505-2E9C-101B-9397-08002B2CF9AE}" pid="4" name="KSOProductBuildVer">
    <vt:lpwstr>2052-12.1.0.29161</vt:lpwstr>
  </property>
  <property fmtid="{D5CDD505-2E9C-101B-9397-08002B2CF9AE}" pid="5" name="ICV">
    <vt:lpwstr>B6F46C51CC634B0BBE78112B8259D99C_13</vt:lpwstr>
  </property>
</Properties>
</file>