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CA6941">
      <w:pPr>
        <w:widowControl w:val="0"/>
        <w:snapToGrid/>
        <w:ind w:left="0" w:leftChars="0" w:firstLine="0" w:firstLineChars="0"/>
        <w:jc w:val="center"/>
        <w:rPr>
          <w:rFonts w:asciiTheme="minorHAnsi" w:hAnsiTheme="minorHAnsi" w:eastAsiaTheme="minorEastAsia" w:cstheme="minorBidi"/>
          <w:b/>
          <w:bCs/>
          <w:kern w:val="2"/>
          <w:sz w:val="72"/>
        </w:rPr>
      </w:pPr>
      <w:r>
        <w:rPr>
          <w:rFonts w:hint="eastAsia" w:asciiTheme="minorHAnsi" w:hAnsiTheme="minorHAnsi" w:eastAsiaTheme="minorEastAsia" w:cstheme="minorBidi"/>
          <w:b/>
          <w:bCs/>
          <w:kern w:val="2"/>
          <w:sz w:val="72"/>
        </w:rPr>
        <w:t>《Python数据分析编程》课程项目报告</w:t>
      </w:r>
    </w:p>
    <w:p w14:paraId="7934A55F">
      <w:pPr>
        <w:jc w:val="both"/>
        <w:rPr>
          <w:rFonts w:eastAsia="黑体"/>
          <w:color w:val="1F2430"/>
          <w:sz w:val="30"/>
        </w:rPr>
      </w:pPr>
    </w:p>
    <w:p w14:paraId="73B927A4">
      <w:pPr>
        <w:jc w:val="both"/>
        <w:rPr>
          <w:rFonts w:eastAsia="黑体"/>
          <w:color w:val="1F2430"/>
          <w:sz w:val="30"/>
        </w:rPr>
      </w:pPr>
    </w:p>
    <w:p w14:paraId="2132C1C8">
      <w:pPr>
        <w:jc w:val="both"/>
        <w:rPr>
          <w:rFonts w:eastAsia="黑体"/>
          <w:color w:val="1F2430"/>
          <w:sz w:val="30"/>
        </w:rPr>
      </w:pPr>
    </w:p>
    <w:p w14:paraId="3340CB3B">
      <w:pPr>
        <w:widowControl w:val="0"/>
        <w:snapToGrid/>
        <w:ind w:left="0" w:leftChars="0" w:firstLine="0" w:firstLineChars="0"/>
        <w:jc w:val="both"/>
        <w:rPr>
          <w:rFonts w:hint="eastAsia" w:ascii="黑体" w:hAnsi="黑体" w:eastAsia="黑体" w:cstheme="minorBidi"/>
          <w:b/>
          <w:kern w:val="2"/>
          <w:sz w:val="36"/>
          <w:szCs w:val="36"/>
        </w:rPr>
      </w:pPr>
      <w:r>
        <w:rPr>
          <w:rFonts w:hint="eastAsia" w:ascii="黑体" w:hAnsi="黑体" w:eastAsia="黑体" w:cstheme="minorBidi"/>
          <w:b/>
          <w:kern w:val="2"/>
          <w:sz w:val="36"/>
          <w:szCs w:val="36"/>
        </w:rPr>
        <w:t>基于时间序列验证与特征消融的城市短期电力负荷预测研究</w:t>
      </w:r>
    </w:p>
    <w:p w14:paraId="57C16B67">
      <w:pPr>
        <w:widowControl w:val="0"/>
        <w:snapToGrid/>
        <w:jc w:val="both"/>
        <w:rPr>
          <w:rFonts w:hint="eastAsia" w:ascii="黑体" w:hAnsi="黑体" w:eastAsia="黑体" w:cstheme="minorBidi"/>
          <w:b/>
          <w:kern w:val="2"/>
          <w:sz w:val="36"/>
          <w:szCs w:val="36"/>
        </w:rPr>
      </w:pPr>
      <w:r>
        <w:rPr>
          <w:rFonts w:hint="eastAsia" w:ascii="Times New Roman" w:hAnsi="Times New Roman" w:eastAsia="宋体" w:cstheme="minorBidi"/>
          <w:b/>
          <w:kern w:val="2"/>
          <w:sz w:val="24"/>
        </w:rPr>
        <w:t xml:space="preserve"> </w:t>
      </w:r>
    </w:p>
    <w:p w14:paraId="32422782">
      <w:pPr>
        <w:jc w:val="both"/>
        <w:rPr>
          <w:color w:val="1F2430"/>
        </w:rPr>
      </w:pPr>
    </w:p>
    <w:p w14:paraId="2EF27EF1">
      <w:pPr>
        <w:jc w:val="both"/>
        <w:rPr>
          <w:color w:val="1F2430"/>
        </w:rPr>
      </w:pPr>
    </w:p>
    <w:p w14:paraId="27FCBFCA">
      <w:pPr>
        <w:jc w:val="both"/>
        <w:rPr>
          <w:color w:val="1F2430"/>
        </w:rPr>
      </w:pPr>
    </w:p>
    <w:p w14:paraId="265672DD">
      <w:pPr>
        <w:jc w:val="both"/>
        <w:rPr>
          <w:color w:val="1F2430"/>
        </w:rPr>
      </w:pPr>
    </w:p>
    <w:p w14:paraId="5D8150E4">
      <w:pPr>
        <w:jc w:val="both"/>
        <w:rPr>
          <w:color w:val="1F2430"/>
        </w:rPr>
      </w:pPr>
    </w:p>
    <w:p w14:paraId="4509150B">
      <w:pPr>
        <w:jc w:val="both"/>
        <w:rPr>
          <w:color w:val="1F2430"/>
        </w:rPr>
      </w:pPr>
    </w:p>
    <w:p w14:paraId="08791526">
      <w:pPr>
        <w:jc w:val="both"/>
        <w:rPr>
          <w:color w:val="1F2430"/>
        </w:rPr>
      </w:pPr>
    </w:p>
    <w:p w14:paraId="282D1797">
      <w:pPr>
        <w:jc w:val="both"/>
        <w:rPr>
          <w:color w:val="1F2430"/>
        </w:rPr>
      </w:pPr>
    </w:p>
    <w:p w14:paraId="64EECBF4">
      <w:pPr>
        <w:jc w:val="both"/>
        <w:rPr>
          <w:color w:val="1F2430"/>
        </w:rPr>
      </w:pPr>
    </w:p>
    <w:p w14:paraId="38133026">
      <w:pPr>
        <w:jc w:val="both"/>
        <w:rPr>
          <w:color w:val="1F2430"/>
        </w:rPr>
      </w:pPr>
    </w:p>
    <w:p w14:paraId="532AF9D8">
      <w:pPr>
        <w:jc w:val="both"/>
        <w:rPr>
          <w:color w:val="1F2430"/>
        </w:rPr>
      </w:pPr>
    </w:p>
    <w:sdt>
      <w:sdtPr>
        <w:rPr>
          <w:rFonts w:ascii="宋体" w:hAnsi="宋体"/>
          <w:b/>
          <w:bCs/>
          <w:kern w:val="2"/>
          <w:sz w:val="32"/>
          <w:szCs w:val="40"/>
        </w:rPr>
        <w:id w:val="147466911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kern w:val="2"/>
          <w:sz w:val="21"/>
          <w:szCs w:val="24"/>
        </w:rPr>
      </w:sdtEndPr>
      <w:sdtContent>
        <w:p w14:paraId="32BFBDB8">
          <w:pPr>
            <w:spacing w:before="0" w:line="240" w:lineRule="auto"/>
            <w:ind w:firstLine="0" w:firstLineChars="0"/>
            <w:jc w:val="center"/>
            <w:rPr>
              <w:b/>
              <w:bCs/>
              <w:sz w:val="32"/>
              <w:szCs w:val="40"/>
            </w:rPr>
          </w:pPr>
          <w:r>
            <w:rPr>
              <w:rFonts w:ascii="宋体" w:hAnsi="宋体"/>
              <w:b/>
              <w:bCs/>
              <w:sz w:val="32"/>
              <w:szCs w:val="40"/>
            </w:rPr>
            <w:t>目录</w:t>
          </w:r>
        </w:p>
        <w:p w14:paraId="00DE050E">
          <w:pPr>
            <w:pStyle w:val="12"/>
            <w:tabs>
              <w:tab w:val="right" w:leader="dot" w:pos="8528"/>
              <w:tab w:val="clear" w:pos="9072"/>
            </w:tabs>
          </w:pPr>
          <w:r>
            <w:rPr>
              <w:sz w:val="21"/>
              <w:szCs w:val="24"/>
            </w:rPr>
            <w:fldChar w:fldCharType="begin"/>
          </w:r>
          <w:r>
            <w:rPr>
              <w:sz w:val="21"/>
              <w:szCs w:val="24"/>
            </w:rPr>
            <w:instrText xml:space="preserve">TOC \o "1-1" \h \u </w:instrText>
          </w:r>
          <w:r>
            <w:rPr>
              <w:sz w:val="21"/>
              <w:szCs w:val="24"/>
            </w:rPr>
            <w:fldChar w:fldCharType="separate"/>
          </w:r>
          <w:r>
            <w:fldChar w:fldCharType="begin"/>
          </w:r>
          <w:r>
            <w:instrText xml:space="preserve"> HYPERLINK \l "_Toc32470" </w:instrText>
          </w:r>
          <w:r>
            <w:fldChar w:fldCharType="separate"/>
          </w:r>
          <w:r>
            <w:rPr>
              <w:rFonts w:hint="eastAsia" w:ascii="黑体" w:hAnsi="黑体" w:eastAsia="黑体"/>
              <w:bCs/>
              <w:kern w:val="44"/>
              <w:szCs w:val="28"/>
            </w:rPr>
            <w:t>1　引言</w:t>
          </w:r>
          <w:r>
            <w:tab/>
          </w:r>
          <w:r>
            <w:fldChar w:fldCharType="begin"/>
          </w:r>
          <w:r>
            <w:instrText xml:space="preserve"> PAGEREF _Toc32470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07488F4">
          <w:pPr>
            <w:pStyle w:val="12"/>
            <w:tabs>
              <w:tab w:val="right" w:leader="dot" w:pos="8528"/>
              <w:tab w:val="clear" w:pos="9072"/>
            </w:tabs>
          </w:pPr>
          <w:r>
            <w:fldChar w:fldCharType="begin"/>
          </w:r>
          <w:r>
            <w:instrText xml:space="preserve"> HYPERLINK \l "_Toc10942" </w:instrText>
          </w:r>
          <w:r>
            <w:fldChar w:fldCharType="separate"/>
          </w:r>
          <w:r>
            <w:rPr>
              <w:rFonts w:hint="eastAsia" w:ascii="黑体" w:hAnsi="黑体" w:eastAsia="黑体"/>
              <w:bCs/>
              <w:kern w:val="44"/>
              <w:szCs w:val="28"/>
            </w:rPr>
            <w:t>2　数据介绍</w:t>
          </w:r>
          <w:r>
            <w:tab/>
          </w:r>
          <w:r>
            <w:fldChar w:fldCharType="begin"/>
          </w:r>
          <w:r>
            <w:instrText xml:space="preserve"> PAGEREF _Toc10942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1B6F28C">
          <w:pPr>
            <w:pStyle w:val="12"/>
            <w:tabs>
              <w:tab w:val="right" w:leader="dot" w:pos="8528"/>
              <w:tab w:val="clear" w:pos="9072"/>
            </w:tabs>
          </w:pPr>
          <w:r>
            <w:fldChar w:fldCharType="begin"/>
          </w:r>
          <w:r>
            <w:instrText xml:space="preserve"> HYPERLINK \l "_Toc1697" </w:instrText>
          </w:r>
          <w:r>
            <w:fldChar w:fldCharType="separate"/>
          </w:r>
          <w:r>
            <w:rPr>
              <w:rFonts w:hint="eastAsia"/>
            </w:rPr>
            <w:t>3　数据清洗与预处理</w:t>
          </w:r>
          <w:r>
            <w:tab/>
          </w:r>
          <w:r>
            <w:fldChar w:fldCharType="begin"/>
          </w:r>
          <w:r>
            <w:instrText xml:space="preserve"> PAGEREF _Toc1697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283DE79">
          <w:pPr>
            <w:pStyle w:val="12"/>
            <w:tabs>
              <w:tab w:val="right" w:leader="dot" w:pos="8528"/>
              <w:tab w:val="clear" w:pos="9072"/>
            </w:tabs>
          </w:pPr>
          <w:r>
            <w:fldChar w:fldCharType="begin"/>
          </w:r>
          <w:r>
            <w:instrText xml:space="preserve"> HYPERLINK \l "_Toc2067" </w:instrText>
          </w:r>
          <w:r>
            <w:fldChar w:fldCharType="separate"/>
          </w:r>
          <w:r>
            <w:rPr>
              <w:rFonts w:hint="eastAsia"/>
            </w:rPr>
            <w:t>4　负荷的时序规律</w:t>
          </w:r>
          <w:r>
            <w:tab/>
          </w:r>
          <w:r>
            <w:fldChar w:fldCharType="begin"/>
          </w:r>
          <w:r>
            <w:instrText xml:space="preserve"> PAGEREF _Toc2067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7FA73F0">
          <w:pPr>
            <w:pStyle w:val="12"/>
            <w:tabs>
              <w:tab w:val="right" w:leader="dot" w:pos="8528"/>
              <w:tab w:val="clear" w:pos="9072"/>
            </w:tabs>
          </w:pPr>
          <w:r>
            <w:fldChar w:fldCharType="begin"/>
          </w:r>
          <w:r>
            <w:instrText xml:space="preserve"> HYPERLINK \l "_Toc26779" </w:instrText>
          </w:r>
          <w:r>
            <w:fldChar w:fldCharType="separate"/>
          </w:r>
          <w:r>
            <w:rPr>
              <w:rFonts w:hint="eastAsia"/>
            </w:rPr>
            <w:t>5　天气因素与负荷的关系</w:t>
          </w:r>
          <w:r>
            <w:tab/>
          </w:r>
          <w:r>
            <w:fldChar w:fldCharType="begin"/>
          </w:r>
          <w:r>
            <w:instrText xml:space="preserve"> PAGEREF _Toc26779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0E3EAFEF">
          <w:pPr>
            <w:pStyle w:val="12"/>
            <w:tabs>
              <w:tab w:val="right" w:leader="dot" w:pos="8528"/>
              <w:tab w:val="clear" w:pos="9072"/>
            </w:tabs>
          </w:pPr>
          <w:r>
            <w:fldChar w:fldCharType="begin"/>
          </w:r>
          <w:r>
            <w:instrText xml:space="preserve"> HYPERLINK \l "_Toc27609" </w:instrText>
          </w:r>
          <w:r>
            <w:fldChar w:fldCharType="separate"/>
          </w:r>
          <w:r>
            <w:rPr>
              <w:rFonts w:hint="eastAsia"/>
            </w:rPr>
            <w:t>6　短期负荷预测：模型、消融与误差分析</w:t>
          </w:r>
          <w:r>
            <w:tab/>
          </w:r>
          <w:r>
            <w:fldChar w:fldCharType="begin"/>
          </w:r>
          <w:r>
            <w:instrText xml:space="preserve"> PAGEREF _Toc27609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15F00CF6">
          <w:pPr>
            <w:pStyle w:val="12"/>
            <w:tabs>
              <w:tab w:val="right" w:leader="dot" w:pos="8528"/>
              <w:tab w:val="clear" w:pos="9072"/>
            </w:tabs>
          </w:pPr>
          <w:r>
            <w:fldChar w:fldCharType="begin"/>
          </w:r>
          <w:r>
            <w:instrText xml:space="preserve"> HYPERLINK \l "_Toc14671" </w:instrText>
          </w:r>
          <w:r>
            <w:fldChar w:fldCharType="separate"/>
          </w:r>
          <w:r>
            <w:rPr>
              <w:rFonts w:hint="eastAsia"/>
            </w:rPr>
            <w:t>7　总结与结论</w:t>
          </w:r>
          <w:r>
            <w:tab/>
          </w:r>
          <w:r>
            <w:fldChar w:fldCharType="begin"/>
          </w:r>
          <w:r>
            <w:instrText xml:space="preserve"> PAGEREF _Toc14671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352E087E">
          <w:pPr>
            <w:pStyle w:val="12"/>
            <w:tabs>
              <w:tab w:val="right" w:leader="dot" w:pos="8528"/>
              <w:tab w:val="clear" w:pos="9072"/>
            </w:tabs>
          </w:pPr>
          <w:r>
            <w:fldChar w:fldCharType="begin"/>
          </w:r>
          <w:r>
            <w:instrText xml:space="preserve"> HYPERLINK \l "_Toc14928" </w:instrText>
          </w:r>
          <w:r>
            <w:fldChar w:fldCharType="separate"/>
          </w:r>
          <w:r>
            <w:rPr>
              <w:rFonts w:hint="eastAsia"/>
            </w:rPr>
            <w:t>8　小组成员分工与个人承担</w:t>
          </w:r>
          <w:r>
            <w:tab/>
          </w:r>
          <w:r>
            <w:fldChar w:fldCharType="begin"/>
          </w:r>
          <w:r>
            <w:instrText xml:space="preserve"> PAGEREF _Toc14928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42089C6B">
          <w:pPr>
            <w:pStyle w:val="12"/>
            <w:tabs>
              <w:tab w:val="right" w:leader="dot" w:pos="8528"/>
              <w:tab w:val="clear" w:pos="9072"/>
            </w:tabs>
          </w:pPr>
          <w:r>
            <w:fldChar w:fldCharType="begin"/>
          </w:r>
          <w:r>
            <w:instrText xml:space="preserve"> HYPERLINK \l "_Toc28244" </w:instrText>
          </w:r>
          <w:r>
            <w:fldChar w:fldCharType="separate"/>
          </w:r>
          <w:r>
            <w:rPr>
              <w:rFonts w:hint="eastAsia"/>
            </w:rPr>
            <w:t>9　附录</w:t>
          </w:r>
          <w:r>
            <w:tab/>
          </w:r>
          <w:r>
            <w:fldChar w:fldCharType="begin"/>
          </w:r>
          <w:r>
            <w:instrText xml:space="preserve"> PAGEREF _Toc28244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5F659C1F">
          <w:pPr>
            <w:rPr>
              <w:kern w:val="2"/>
            </w:rPr>
          </w:pPr>
          <w:r>
            <w:rPr>
              <w:kern w:val="2"/>
            </w:rPr>
            <w:fldChar w:fldCharType="end"/>
          </w:r>
        </w:p>
      </w:sdtContent>
    </w:sdt>
    <w:p w14:paraId="582336A3">
      <w:pPr>
        <w:jc w:val="both"/>
        <w:rPr>
          <w:kern w:val="2"/>
        </w:rPr>
      </w:pPr>
    </w:p>
    <w:p w14:paraId="59F40233">
      <w:pPr>
        <w:jc w:val="both"/>
      </w:pPr>
    </w:p>
    <w:p w14:paraId="01054974">
      <w:pPr>
        <w:jc w:val="both"/>
      </w:pPr>
    </w:p>
    <w:p w14:paraId="42DFA256">
      <w:pPr>
        <w:jc w:val="both"/>
      </w:pPr>
    </w:p>
    <w:p w14:paraId="186383C1">
      <w:pPr>
        <w:jc w:val="both"/>
      </w:pPr>
    </w:p>
    <w:p w14:paraId="3CC23F22">
      <w:pPr>
        <w:jc w:val="both"/>
      </w:pPr>
    </w:p>
    <w:p w14:paraId="166C134F">
      <w:pPr>
        <w:snapToGrid w:val="0"/>
        <w:spacing w:line="440" w:lineRule="atLeast"/>
        <w:ind w:left="0" w:leftChars="0" w:firstLine="0" w:firstLineChars="0"/>
        <w:jc w:val="both"/>
        <w:rPr>
          <w:rFonts w:hint="eastAsia" w:ascii="黑体" w:hAnsi="黑体" w:eastAsia="黑体" w:cs="黑体"/>
          <w:b/>
          <w:sz w:val="36"/>
          <w:szCs w:val="36"/>
        </w:rPr>
      </w:pPr>
    </w:p>
    <w:p w14:paraId="0AD1F92F">
      <w:pPr>
        <w:snapToGrid w:val="0"/>
        <w:spacing w:line="440" w:lineRule="atLeast"/>
        <w:ind w:left="0" w:leftChars="0" w:firstLine="0" w:firstLineChars="0"/>
        <w:jc w:val="center"/>
        <w:rPr>
          <w:rFonts w:ascii="黑体" w:hAnsi="黑体" w:eastAsia="黑体" w:cs="黑体"/>
          <w:b/>
          <w:sz w:val="36"/>
          <w:szCs w:val="36"/>
        </w:rPr>
      </w:pPr>
      <w:r>
        <w:rPr>
          <w:rFonts w:hint="eastAsia" w:ascii="黑体" w:hAnsi="黑体" w:eastAsia="黑体" w:cs="黑体"/>
          <w:b/>
          <w:sz w:val="36"/>
          <w:szCs w:val="36"/>
        </w:rPr>
        <w:t>摘    要</w:t>
      </w:r>
    </w:p>
    <w:p w14:paraId="4B0EFBAB">
      <w:pPr>
        <w:jc w:val="both"/>
        <w:rPr>
          <w:rFonts w:hint="eastAsia" w:ascii="宋体" w:hAnsi="宋体" w:cs="宋体"/>
        </w:rPr>
      </w:pPr>
      <w:r>
        <w:rPr>
          <w:rFonts w:hint="eastAsia" w:ascii="Times New Roman" w:hAnsi="Times New Roman" w:eastAsia="宋体" w:cs="Times New Roman"/>
          <w:sz w:val="24"/>
        </w:rPr>
        <w:t>电力负荷的短期预测是电网调度的基础输入。本项目以某城市2017年1月1日至12月30日的电力负荷监测数据为对象（共364天、52,416条记录、10分钟采样、已记录时段内无缺失），包含三个计量区域的负荷与温度、湿度、风速等气象观测。研究按"清洗→探索性分析→建模预测→误差归因"的流程展开：探索性分析发现三个区域共享"凌晨低谷—午间平台—晚间高峰"的日周期结构（峰谷比1.89–2.23），温度是唯一在三区稳定正相关的气象因子；预测任务定义为提前1小时（6个采样步），按时间顺序70%/15%/15% 划分数据（并对子集边界做purge处理），比较历史同期基线、线性回归与梯度提升树三种模型，并以特征消融检验天气信息的增益。</w:t>
      </w:r>
    </w:p>
    <w:p w14:paraId="18D9A00C">
      <w:pPr>
        <w:jc w:val="both"/>
        <w:rPr>
          <w:rFonts w:hint="eastAsia" w:ascii="宋体" w:hAnsi="宋体" w:cs="宋体"/>
        </w:rPr>
      </w:pPr>
      <w:r>
        <w:rPr>
          <w:rFonts w:hint="eastAsia" w:ascii="Times New Roman" w:hAnsi="Times New Roman" w:eastAsia="宋体" w:cs="Times New Roman"/>
          <w:sz w:val="24"/>
        </w:rPr>
        <w:t>测试集结果显示：在最初的特征集下，历史同期基线最优（三区合并MAE/RMSE 1050.68/1643.67），两个学习模型均不敌基线。归因实验表明，原特征集未包含与预测目标时刻对齐的周同期负荷信息（基线用的是y(t−1002)，而学习模型只拿到y(t−1008)，比目标时刻早一小时），这一特征缺失是原始学习模型表现不佳的重要原因。补上这一特征后，线性回归的合并MAE/RMSE降至514.09/767.16（相对基线−51.1%/−53.3%），梯度提升树降至930.62/1258.73（−11.4%/−23.4%），两个学习模型转为全面优于基线。天气特征消融在新特征集上重做：六个组合中三个误差下降，梯度提升树三个区域全部下降（−0.4% 至 −17.9%），线性回归在区域2、3略升（+5.1%、+1.0%）。高峰时段误差仍约为普通时段的2.1倍且系统性低估峰值。基于上述结果，给出了短期调度中优先使用带周同期特征的线性模型、高峰留裕度等建议。</w:t>
      </w:r>
    </w:p>
    <w:p w14:paraId="6FDDA66D">
      <w:pPr>
        <w:jc w:val="both"/>
        <w:rPr>
          <w:rFonts w:hint="eastAsia" w:ascii="宋体" w:hAnsi="宋体" w:cs="宋体"/>
        </w:rPr>
      </w:pPr>
    </w:p>
    <w:p w14:paraId="25469B09">
      <w:pPr>
        <w:jc w:val="both"/>
        <w:rPr>
          <w:color w:val="1F2430"/>
        </w:r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383" w:right="1689" w:bottom="1383" w:left="1689" w:header="851" w:footer="992" w:gutter="0"/>
          <w:pgNumType w:start="1"/>
          <w:cols w:space="720" w:num="1"/>
        </w:sectPr>
      </w:pPr>
      <w:r>
        <w:rPr>
          <w:rFonts w:hint="eastAsia" w:ascii="Times New Roman" w:hAnsi="Times New Roman" w:eastAsia="宋体" w:cs="Times New Roman"/>
          <w:b/>
          <w:sz w:val="24"/>
        </w:rPr>
        <w:t>关键词</w:t>
      </w:r>
      <w:r>
        <w:rPr>
          <w:rFonts w:hint="eastAsia" w:ascii="Times New Roman" w:hAnsi="Times New Roman" w:eastAsia="宋体" w:cs="Times New Roman"/>
          <w:sz w:val="24"/>
        </w:rPr>
        <w:t>：电力负荷预测；时间序列；特征消融；历史同期基线；梯度提升树</w:t>
      </w:r>
    </w:p>
    <w:p w14:paraId="20B6706D">
      <w:pPr>
        <w:pStyle w:val="2"/>
        <w:snapToGrid w:val="0"/>
        <w:spacing w:beforeAutospacing="1" w:line="440" w:lineRule="atLeast"/>
        <w:jc w:val="left"/>
        <w:rPr>
          <w:rFonts w:hint="eastAsia" w:ascii="黑体" w:hAnsi="黑体"/>
          <w:bCs/>
          <w:kern w:val="44"/>
          <w:szCs w:val="28"/>
        </w:rPr>
      </w:pPr>
      <w:bookmarkStart w:id="0" w:name="section-2"/>
      <w:bookmarkStart w:id="1" w:name="_Toc32470"/>
      <w:r>
        <w:rPr>
          <w:rFonts w:hint="eastAsia" w:ascii="Times New Roman" w:hAnsi="Times New Roman" w:eastAsia="黑体" w:cs="Times New Roman"/>
          <w:b/>
          <w:bCs/>
          <w:kern w:val="44"/>
          <w:sz w:val="28"/>
          <w:szCs w:val="28"/>
        </w:rPr>
        <w:t>1　引言</w:t>
      </w:r>
      <w:bookmarkEnd w:id="0"/>
      <w:bookmarkEnd w:id="1"/>
    </w:p>
    <w:p w14:paraId="1203DC5E">
      <w:pPr>
        <w:jc w:val="both"/>
        <w:rPr>
          <w:rFonts w:hint="eastAsia" w:ascii="宋体" w:hAnsi="宋体" w:cs="宋体"/>
        </w:rPr>
      </w:pPr>
      <w:r>
        <w:rPr>
          <w:rFonts w:hint="eastAsia" w:ascii="Times New Roman" w:hAnsi="Times New Roman" w:eastAsia="宋体" w:cs="Times New Roman"/>
          <w:sz w:val="24"/>
        </w:rPr>
        <w:t>电力负荷预测是电网运行调度的基本环节：机组组合、备用容量安排和短期交易决策都依赖未来数小时的负荷估计。负荷受作息、星期、季节和气象条件共同影响，规律性强但也在漂移，短期预测的难点不在于有没有规律可循，而在于用什么特征、什么模型能把这些规律稳定地转化为预测能力。</w:t>
      </w:r>
    </w:p>
    <w:p w14:paraId="3929C2AA">
      <w:pPr>
        <w:jc w:val="both"/>
        <w:rPr>
          <w:rFonts w:hint="eastAsia" w:ascii="宋体" w:hAnsi="宋体" w:cs="宋体"/>
        </w:rPr>
      </w:pPr>
      <w:r>
        <w:rPr>
          <w:rFonts w:hint="eastAsia" w:ascii="Times New Roman" w:hAnsi="Times New Roman" w:eastAsia="宋体" w:cs="Times New Roman"/>
          <w:sz w:val="24"/>
        </w:rPr>
        <w:t>本项目使用课程提供的城市电力负荷监测数据，完成从数据清洗、探索性分析到预测建模的全流程，重点回答三个研究问题：其一，三个计量区域的负荷在日、周、季节尺度上呈现什么结构，彼此有何差异；其二，温度、湿度等气象因素与负荷的统计关联有多强，能否转化为预测增益；其三，在一个日周期极强、且存在水平漂移的序列上，简单的历史同期基线与线性回归、梯度提升树两种学习模型相比孰优孰劣，误差在区域间和时段间如何分布。</w:t>
      </w:r>
    </w:p>
    <w:p w14:paraId="121DB64C">
      <w:pPr>
        <w:jc w:val="both"/>
        <w:rPr>
          <w:rFonts w:hint="eastAsia" w:ascii="宋体" w:hAnsi="宋体" w:cs="宋体"/>
        </w:rPr>
        <w:sectPr>
          <w:footerReference r:id="rId11" w:type="default"/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rFonts w:hint="eastAsia" w:ascii="Times New Roman" w:hAnsi="Times New Roman" w:eastAsia="宋体" w:cs="Times New Roman"/>
          <w:sz w:val="24"/>
        </w:rPr>
        <w:t>对第三个问题我们不预设答案：学习模型未必优于简单基线，天气特征未必带来增益，一切以同一测试集上的对照实验为准。为使结论可信，全部实验遵循统一协议：按时间顺序划分数据以防泄漏，特征只使用预测起点可获得的信息，模型比较与特征消融共用同一样本集，报告中的每个数字都能追溯到实验日志中的实际运行记录。数据来源、字段与清洗结果见第2、3章。</w:t>
      </w:r>
    </w:p>
    <w:p w14:paraId="18E7407A">
      <w:pPr>
        <w:pStyle w:val="2"/>
        <w:snapToGrid w:val="0"/>
        <w:spacing w:beforeAutospacing="1" w:line="440" w:lineRule="atLeast"/>
        <w:jc w:val="left"/>
        <w:rPr>
          <w:rFonts w:hint="eastAsia" w:ascii="黑体" w:hAnsi="黑体"/>
          <w:bCs/>
          <w:kern w:val="44"/>
          <w:szCs w:val="28"/>
        </w:rPr>
      </w:pPr>
      <w:bookmarkStart w:id="2" w:name="section-3"/>
      <w:bookmarkStart w:id="3" w:name="_Toc10942"/>
      <w:r>
        <w:rPr>
          <w:rFonts w:hint="eastAsia" w:ascii="Times New Roman" w:hAnsi="Times New Roman" w:eastAsia="黑体" w:cs="Times New Roman"/>
          <w:b/>
          <w:bCs/>
          <w:kern w:val="44"/>
          <w:sz w:val="28"/>
          <w:szCs w:val="28"/>
        </w:rPr>
        <w:t>2　数据介绍</w:t>
      </w:r>
      <w:bookmarkEnd w:id="2"/>
      <w:bookmarkEnd w:id="3"/>
    </w:p>
    <w:p w14:paraId="7AA14B01">
      <w:pPr>
        <w:jc w:val="both"/>
        <w:rPr>
          <w:rFonts w:hint="eastAsia" w:ascii="宋体" w:hAnsi="宋体" w:cs="宋体"/>
        </w:rPr>
      </w:pPr>
      <w:r>
        <w:rPr>
          <w:rFonts w:hint="eastAsia" w:ascii="Times New Roman" w:hAnsi="Times New Roman" w:eastAsia="宋体" w:cs="Times New Roman"/>
          <w:sz w:val="24"/>
        </w:rPr>
        <w:t>本项目使用课程提供的城市电力负荷监测数据，文件为单个CSV，共52,416条记录、9个字段，覆盖2017年1月1日0时至12月30日23时50分，采样间隔10分钟，已记录时段内无中断（数据止于12月30日，共364天，缺12月31日）。</w:t>
      </w:r>
    </w:p>
    <w:p w14:paraId="18C75888">
      <w:pPr>
        <w:jc w:val="both"/>
        <w:rPr>
          <w:rFonts w:hint="eastAsia" w:ascii="宋体" w:hAnsi="宋体" w:cs="宋体"/>
        </w:rPr>
      </w:pPr>
      <w:r>
        <w:rPr>
          <w:rFonts w:hint="eastAsia" w:ascii="Times New Roman" w:hAnsi="Times New Roman" w:eastAsia="宋体" w:cs="Times New Roman"/>
          <w:sz w:val="24"/>
        </w:rPr>
        <w:t>数据由两类信息组成。一类是三个区域的用电负荷，分别记为区域1、区域2和区域3；另一类是同一时刻的气象观测，包括气温、相对湿度、风速和两项辐射指标（总漫射辐射、漫射辐射）。所有记录共用同一个时间戳，三个区域的负荷与气象变量在时间上严格对齐，这使得三者可以直接比较，也便于构造滞后特征。</w:t>
      </w:r>
    </w:p>
    <w:p w14:paraId="329C13ED">
      <w:pPr>
        <w:jc w:val="both"/>
        <w:rPr>
          <w:rFonts w:hint="eastAsia" w:ascii="宋体" w:hAnsi="宋体" w:cs="宋体"/>
        </w:rPr>
      </w:pPr>
      <w:r>
        <w:rPr>
          <w:rFonts w:hint="eastAsia" w:ascii="Times New Roman" w:hAnsi="Times New Roman" w:eastAsia="宋体" w:cs="Times New Roman"/>
          <w:sz w:val="24"/>
        </w:rPr>
        <w:t>原始数据没有注明负荷与气象变度和百分比；风速、两项辐射量与负荷的单位则无从确认。因此本报告在涉及绝对数值时一律按原始单位陈述，不做单位换算，涉及区域间比较的结论均使用比值或百分比，不受单位影响。字段的完整说明见表1。原始列名中，区域2与区域3的字段名含有连续两个空格，这一细节在第3章的数据清洗中单独处理。</w:t>
      </w:r>
    </w:p>
    <w:p w14:paraId="28B53F9E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表1　数据字段说明</w:t>
      </w:r>
    </w:p>
    <w:tbl>
      <w:tblPr>
        <w:tblStyle w:val="17"/>
        <w:tblW w:w="8896" w:type="dxa"/>
        <w:jc w:val="center"/>
        <w:shd w:val="clear" w:color="1F2430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86"/>
        <w:gridCol w:w="899"/>
        <w:gridCol w:w="1524"/>
        <w:gridCol w:w="899"/>
        <w:gridCol w:w="795"/>
        <w:gridCol w:w="899"/>
        <w:gridCol w:w="899"/>
        <w:gridCol w:w="795"/>
        <w:gridCol w:w="1600"/>
      </w:tblGrid>
      <w:tr w14:paraId="3EAEB1D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631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56660B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序号</w:t>
            </w:r>
          </w:p>
        </w:tc>
        <w:tc>
          <w:tcPr>
            <w:tcW w:w="990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957F13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原始列名</w:t>
            </w:r>
          </w:p>
        </w:tc>
        <w:tc>
          <w:tcPr>
            <w:tcW w:w="1710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38D5E4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清洗后列名</w:t>
            </w:r>
          </w:p>
        </w:tc>
        <w:tc>
          <w:tcPr>
            <w:tcW w:w="990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726B71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类型</w:t>
            </w:r>
          </w:p>
        </w:tc>
        <w:tc>
          <w:tcPr>
            <w:tcW w:w="870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9078D5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单位</w:t>
            </w:r>
          </w:p>
        </w:tc>
        <w:tc>
          <w:tcPr>
            <w:tcW w:w="990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7878B7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最小值</w:t>
            </w:r>
          </w:p>
        </w:tc>
        <w:tc>
          <w:tcPr>
            <w:tcW w:w="990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BBEF8E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最大值</w:t>
            </w:r>
          </w:p>
        </w:tc>
        <w:tc>
          <w:tcPr>
            <w:tcW w:w="870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E1E3B7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均值</w:t>
            </w:r>
          </w:p>
        </w:tc>
        <w:tc>
          <w:tcPr>
            <w:tcW w:w="1798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E9C81C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含义</w:t>
            </w:r>
          </w:p>
        </w:tc>
      </w:tr>
      <w:tr w14:paraId="7D20E3F6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31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E94C83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</w:t>
            </w:r>
          </w:p>
        </w:tc>
        <w:tc>
          <w:tcPr>
            <w:tcW w:w="990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291B66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DateTime</w:t>
            </w:r>
          </w:p>
        </w:tc>
        <w:tc>
          <w:tcPr>
            <w:tcW w:w="1710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0D01C8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timestamp</w:t>
            </w:r>
          </w:p>
        </w:tc>
        <w:tc>
          <w:tcPr>
            <w:tcW w:w="990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0A1473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datetime64</w:t>
            </w:r>
          </w:p>
        </w:tc>
        <w:tc>
          <w:tcPr>
            <w:tcW w:w="870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BF3B7F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—</w:t>
            </w:r>
          </w:p>
        </w:tc>
        <w:tc>
          <w:tcPr>
            <w:tcW w:w="990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5A480F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2017-01-01 00:00</w:t>
            </w:r>
          </w:p>
        </w:tc>
        <w:tc>
          <w:tcPr>
            <w:tcW w:w="990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8B47E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2017-12-30 23:50</w:t>
            </w:r>
          </w:p>
        </w:tc>
        <w:tc>
          <w:tcPr>
            <w:tcW w:w="870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517A2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—</w:t>
            </w:r>
          </w:p>
        </w:tc>
        <w:tc>
          <w:tcPr>
            <w:tcW w:w="1798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C8D85A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时间戳，10分钟采样</w:t>
            </w:r>
          </w:p>
        </w:tc>
      </w:tr>
      <w:tr w14:paraId="79E928B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D64A74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2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F3282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Temperature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58E658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temperature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8986F3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0AEEF8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℃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7E800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3.25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016D05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40.01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C03DA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18.81</w:t>
            </w:r>
          </w:p>
        </w:tc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0AB5B2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气温</w:t>
            </w:r>
          </w:p>
        </w:tc>
      </w:tr>
      <w:tr w14:paraId="6DA8B9A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CB86B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3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FAED2D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Humidity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6985A8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humidity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3946C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5C053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%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41A9F3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11.34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2194A0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94.80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4F88F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68.26</w:t>
            </w:r>
          </w:p>
        </w:tc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455A5F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相对湿度</w:t>
            </w:r>
          </w:p>
        </w:tc>
      </w:tr>
      <w:tr w14:paraId="4990283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E78FB6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4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813B1E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Wind Speed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C5CD6F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wind_speed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66E582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7F58F5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未注明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8499B4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0.0500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096682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6.48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AE5414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1.96</w:t>
            </w:r>
          </w:p>
        </w:tc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DC6EB6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风速</w:t>
            </w:r>
          </w:p>
        </w:tc>
      </w:tr>
      <w:tr w14:paraId="5A49010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648A1F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5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13988F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general diffuse flows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D082DD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general_diffuse_flows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3914C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DDF9FE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未注明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CC62DB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0.0040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F966D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1,163.00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EA320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182.70</w:t>
            </w:r>
          </w:p>
        </w:tc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8ED332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总漫射辐射</w:t>
            </w:r>
          </w:p>
        </w:tc>
      </w:tr>
      <w:tr w14:paraId="70A4386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B9378B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6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94ACB6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diffuse flows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B27418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diffuse_flows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1C9C7A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ABD368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未注明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DA0384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0.0110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C5A469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936.00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413899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75.03</w:t>
            </w:r>
          </w:p>
        </w:tc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250100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漫射辐射</w:t>
            </w:r>
          </w:p>
        </w:tc>
      </w:tr>
      <w:tr w14:paraId="004710F3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15050F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7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700676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Zone 1 Power Consumption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B4B9ED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zone1_power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4DA9DE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7A6B4A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未注明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72ADD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13,895.70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847856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52,204.40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09438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32,344.97</w:t>
            </w:r>
          </w:p>
        </w:tc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713690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区域1负荷</w:t>
            </w:r>
          </w:p>
        </w:tc>
      </w:tr>
      <w:tr w14:paraId="1B103D7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61FD90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8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495B7F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Zone 2Power Consumption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480BBB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zone2_power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F6AA52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F0FE2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未注明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5218E0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8,560.08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90F788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37,408.86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74F20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21,042.51</w:t>
            </w:r>
          </w:p>
        </w:tc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76A7CE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区域2负荷（原列名含连续两个空格）</w:t>
            </w:r>
          </w:p>
        </w:tc>
      </w:tr>
      <w:tr w14:paraId="466612A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31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12B779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9</w:t>
            </w:r>
          </w:p>
        </w:tc>
        <w:tc>
          <w:tcPr>
            <w:tcW w:w="990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159478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Zone 3Power Consumption</w:t>
            </w:r>
          </w:p>
        </w:tc>
        <w:tc>
          <w:tcPr>
            <w:tcW w:w="1710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ED8E9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zone3_power</w:t>
            </w:r>
          </w:p>
        </w:tc>
        <w:tc>
          <w:tcPr>
            <w:tcW w:w="990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833BC0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97FDE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未注明</w:t>
            </w:r>
          </w:p>
        </w:tc>
        <w:tc>
          <w:tcPr>
            <w:tcW w:w="990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F3855F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5,935.17</w:t>
            </w:r>
          </w:p>
        </w:tc>
        <w:tc>
          <w:tcPr>
            <w:tcW w:w="990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503ED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47,598.33</w:t>
            </w:r>
          </w:p>
        </w:tc>
        <w:tc>
          <w:tcPr>
            <w:tcW w:w="870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869F55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17,835.41</w:t>
            </w:r>
          </w:p>
        </w:tc>
        <w:tc>
          <w:tcPr>
            <w:tcW w:w="1798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9B5DB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区域3负荷（原列名含连续两个空格）</w:t>
            </w:r>
          </w:p>
        </w:tc>
      </w:tr>
    </w:tbl>
    <w:p w14:paraId="54E6C28C">
      <w:pPr>
        <w:jc w:val="both"/>
        <w:rPr>
          <w:color w:val="4B5563"/>
        </w:rPr>
        <w:sectPr>
          <w:footerReference r:id="rId12" w:type="default"/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注：统计范围为2017年1月1日至12月30日共364天的52,416条记录。温度与湿度按数值量纲判断为℃和%；风速、两项辐射量与负荷的单位原始数据未注明，本表不做推断。</w:t>
      </w:r>
    </w:p>
    <w:p w14:paraId="33C256F1">
      <w:pPr>
        <w:pStyle w:val="2"/>
        <w:jc w:val="left"/>
      </w:pPr>
      <w:bookmarkStart w:id="4" w:name="section-4"/>
      <w:bookmarkStart w:id="5" w:name="_Toc1697"/>
      <w:r>
        <w:rPr>
          <w:rFonts w:hint="eastAsia" w:ascii="Times New Roman" w:hAnsi="Times New Roman" w:eastAsia="黑体" w:cs="Times New Roman"/>
          <w:b/>
          <w:sz w:val="28"/>
        </w:rPr>
        <w:t>3　数据清洗与预处理</w:t>
      </w:r>
      <w:bookmarkEnd w:id="4"/>
      <w:bookmarkEnd w:id="5"/>
    </w:p>
    <w:p w14:paraId="418E2C79">
      <w:pPr>
        <w:pStyle w:val="3"/>
        <w:spacing w:before="280" w:beforeAutospacing="1" w:after="280" w:afterAutospacing="1"/>
        <w:jc w:val="left"/>
        <w:rPr>
          <w:rFonts w:hint="eastAsia" w:ascii="黑体" w:hAnsi="黑体"/>
          <w:bCs/>
          <w:kern w:val="44"/>
          <w:szCs w:val="24"/>
        </w:rPr>
      </w:pPr>
      <w:bookmarkStart w:id="6" w:name="section-4-1"/>
      <w:r>
        <w:rPr>
          <w:rFonts w:hint="eastAsia" w:ascii="Times New Roman" w:hAnsi="Times New Roman" w:eastAsia="黑体" w:cs="Times New Roman"/>
          <w:b/>
          <w:bCs/>
          <w:kern w:val="44"/>
          <w:sz w:val="24"/>
          <w:szCs w:val="24"/>
        </w:rPr>
        <w:t>3.1　列名</w:t>
      </w:r>
      <w:r>
        <w:rPr>
          <w:rStyle w:val="27"/>
          <w:rFonts w:hint="eastAsia" w:ascii="Times New Roman" w:hAnsi="Times New Roman" w:eastAsia="黑体" w:cs="Times New Roman"/>
          <w:b/>
          <w:sz w:val="24"/>
        </w:rPr>
        <w:t>与类型规整</w:t>
      </w:r>
      <w:bookmarkEnd w:id="6"/>
    </w:p>
    <w:p w14:paraId="064CFE65">
      <w:pPr>
        <w:jc w:val="both"/>
        <w:rPr>
          <w:rFonts w:hint="eastAsia" w:ascii="宋体" w:hAnsi="宋体" w:cs="宋体"/>
        </w:rPr>
      </w:pPr>
      <w:r>
        <w:rPr>
          <w:rFonts w:hint="eastAsia" w:ascii="Times New Roman" w:hAnsi="Times New Roman" w:eastAsia="宋体" w:cs="Times New Roman"/>
          <w:sz w:val="24"/>
        </w:rPr>
        <w:t>原始列名混用了空格、大小写和缩写（如</w:t>
      </w:r>
      <w:r>
        <w:rPr>
          <w:rFonts w:ascii="Times New Roman" w:hAnsi="Times New Roman" w:eastAsia="宋体" w:cs="Times New Roman"/>
          <w:sz w:val="24"/>
        </w:rPr>
        <w:t>Wind Speed、general diffuse flows）</w:t>
      </w:r>
      <w:r>
        <w:rPr>
          <w:rFonts w:hint="eastAsia" w:ascii="Times New Roman" w:hAnsi="Times New Roman" w:eastAsia="宋体" w:cs="Times New Roman"/>
          <w:sz w:val="24"/>
        </w:rPr>
        <w:t>，其中区域2、区域3的列名还带有连续两个空格。清洗时先将连续空白折叠为单个空格、去除首尾空格，再统一映射为小写下划线形式，得到timestamp、temperature、humidity、wind_speed、general_diffuse_flows、diffuse_flows、zone1_power、zone2_power、zone3_power共9个列名。</w:t>
      </w:r>
    </w:p>
    <w:p w14:paraId="52C81366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sz w:val="24"/>
        </w:rPr>
        <w:t>原始时间列形如1/1/2017 0:00，按字符串读入时是object类型。用pandas.to_datetime解析后转为datetime64类型，52,416条记录全部解析成功，没有出现无法识别的格式。其余8个数值字段统一转为float64，转换过程中没有产生新的缺失值。</w:t>
      </w:r>
    </w:p>
    <w:p w14:paraId="609D1E6C">
      <w:pPr>
        <w:pStyle w:val="3"/>
        <w:jc w:val="left"/>
      </w:pPr>
      <w:bookmarkStart w:id="7" w:name="section-4-2"/>
      <w:r>
        <w:rPr>
          <w:rFonts w:hint="eastAsia" w:ascii="Times New Roman" w:hAnsi="Times New Roman" w:eastAsia="黑体" w:cs="Times New Roman"/>
          <w:b/>
          <w:sz w:val="24"/>
        </w:rPr>
        <w:t>3.2　缺失值与重复值</w:t>
      </w:r>
      <w:bookmarkEnd w:id="7"/>
    </w:p>
    <w:p w14:paraId="06A5046F">
      <w:pPr>
        <w:jc w:val="both"/>
        <w:rPr>
          <w:rFonts w:hint="eastAsia" w:ascii="宋体" w:hAnsi="宋体" w:cs="宋体"/>
        </w:rPr>
      </w:pPr>
      <w:r>
        <w:rPr>
          <w:rFonts w:hint="eastAsia" w:ascii="Times New Roman" w:hAnsi="Times New Roman" w:eastAsia="宋体" w:cs="Times New Roman"/>
          <w:sz w:val="24"/>
        </w:rPr>
        <w:t>原始数据不含缺失值，52,416行×9列均完整，因此没有做插值或删除。完全重复的行为0条，重复时间戳为0个，时间序列严格按10分钟等间隔排列，也不存在跨天、跨月的采样中断。这一点在时间序列建模中很重要：如果存在缺测时段，构造t+6的预测目标时会出现目标时刻无观测的情况；本数据没有这个问题，可以直接按固定步长构造样本。</w:t>
      </w:r>
    </w:p>
    <w:p w14:paraId="03A7B8B8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8" w:name="section-4-3"/>
      <w:r>
        <w:rPr>
          <w:rFonts w:hint="eastAsia" w:ascii="Times New Roman" w:hAnsi="Times New Roman" w:eastAsia="黑体" w:cs="Times New Roman"/>
          <w:b/>
          <w:color w:val="1F2430"/>
          <w:sz w:val="24"/>
        </w:rPr>
        <w:t>3.3　异常值</w:t>
      </w:r>
      <w:bookmarkEnd w:id="8"/>
    </w:p>
    <w:p w14:paraId="54662CA1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异常值用IQR规则标记，即超出Q1 − 3×IQR或Q3 + 3×IQR的点。九个字段中共标记1,708条，其中diffuse_flows 1,690条、zone3_power 18条，其余字段在3倍IQR下没有被标记。</w:t>
      </w:r>
    </w:p>
    <w:p w14:paraId="6ECB08C2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对这些点逐类核对后，决定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只标记、不删除、不替换</w:t>
      </w:r>
      <w:r>
        <w:rPr>
          <w:rFonts w:hint="eastAsia" w:ascii="Times New Roman" w:hAnsi="Times New Roman" w:eastAsia="宋体" w:cs="Times New Roman"/>
          <w:color w:val="1F2430"/>
          <w:sz w:val="24"/>
        </w:rPr>
        <w:t>。diffuse_flows的极端点集中在9时至16时以及2月和5月，正是日照最强的时段和月份，反映的是气象变量的真实波动，删除会削掉白天的信息；zone3_power的18个点集中在7月的19时至20时，对应夏季晚高峰，属于业务上需要重点关注的时段，尤其不能删。清洗阶段另有一项判断：负荷出现负值应视为错误，检查结果为0条。标记结果单独写入anomaly_flags.csv，仅用于说明，不作为模型输入。</w:t>
      </w:r>
    </w:p>
    <w:p w14:paraId="7E1BE65F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9" w:name="section-4-4"/>
      <w:r>
        <w:rPr>
          <w:rFonts w:hint="eastAsia" w:ascii="Times New Roman" w:hAnsi="Times New Roman" w:eastAsia="黑体" w:cs="Times New Roman"/>
          <w:b/>
          <w:color w:val="1F2430"/>
          <w:sz w:val="24"/>
        </w:rPr>
        <w:t>3.4　输出接口</w:t>
      </w:r>
      <w:bookmarkEnd w:id="9"/>
    </w:p>
    <w:p w14:paraId="0F61B9EF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清洗后的数据固定输出9列，行按时间升序排列、索引重置，写入data/processed/power_load_clean.csv，列名与类型在docs/data_interface.md中固定下来。后续的特征工程、模型训练和误差分析统一从这个文件读取，避免各人按不同假设重复读取原始数据。清洗结果的质量指标汇总在表2。</w:t>
      </w:r>
    </w:p>
    <w:p w14:paraId="3326BD33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表2　数据质量与清洗情况</w:t>
      </w:r>
    </w:p>
    <w:tbl>
      <w:tblPr>
        <w:tblStyle w:val="17"/>
        <w:tblW w:w="8306" w:type="dxa"/>
        <w:tblInd w:w="140" w:type="dxa"/>
        <w:shd w:val="clear" w:color="1F2430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24"/>
        <w:gridCol w:w="2129"/>
        <w:gridCol w:w="4053"/>
      </w:tblGrid>
      <w:tr w14:paraId="584E309E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124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3509EB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检查项</w:t>
            </w:r>
          </w:p>
        </w:tc>
        <w:tc>
          <w:tcPr>
            <w:tcW w:w="2129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CA65A5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结果</w:t>
            </w:r>
          </w:p>
        </w:tc>
        <w:tc>
          <w:tcPr>
            <w:tcW w:w="4053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AA4CBA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处理方式</w:t>
            </w:r>
          </w:p>
        </w:tc>
      </w:tr>
      <w:tr w14:paraId="3FC8363E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AC0E5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原始记录数</w:t>
            </w:r>
          </w:p>
        </w:tc>
        <w:tc>
          <w:tcPr>
            <w:tcW w:w="2129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AE0900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52,416</w:t>
            </w:r>
          </w:p>
        </w:tc>
        <w:tc>
          <w:tcPr>
            <w:tcW w:w="4053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9C1B18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—</w:t>
            </w:r>
          </w:p>
        </w:tc>
      </w:tr>
      <w:tr w14:paraId="3DB9148B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D5D025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字段数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9F23A9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9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27ECED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—</w:t>
            </w:r>
          </w:p>
        </w:tc>
      </w:tr>
      <w:tr w14:paraId="56A58774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55E72D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时间范围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92522E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2017-01-01 00:00至2017-12-30 23:50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67AEB0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—</w:t>
            </w:r>
          </w:p>
        </w:tc>
      </w:tr>
      <w:tr w14:paraId="204779C4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4A4E1A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时间跨度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A2F09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364天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F3E28F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—</w:t>
            </w:r>
          </w:p>
        </w:tc>
      </w:tr>
      <w:tr w14:paraId="0A438091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172AAB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采样间隔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CCD37D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10分钟（1种）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DA358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无需重采样，保持10分钟粒度</w:t>
            </w:r>
          </w:p>
        </w:tc>
      </w:tr>
      <w:tr w14:paraId="273136C0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A7E0F6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缺失值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6E3699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0个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3187BE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无缺失，未做插值</w:t>
            </w:r>
          </w:p>
        </w:tc>
      </w:tr>
      <w:tr w14:paraId="5A8EB482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0E3C78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完全重复行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327D79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0行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042F13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重复行整行删除</w:t>
            </w:r>
          </w:p>
        </w:tc>
      </w:tr>
      <w:tr w14:paraId="72B1B1F1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AFB971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重复时间戳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69F234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0个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7D79AE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无重复，不需要去重</w:t>
            </w:r>
          </w:p>
        </w:tc>
      </w:tr>
      <w:tr w14:paraId="3644FB6B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04716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负荷负值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801447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0个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96ABAE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无负值，未做截断</w:t>
            </w:r>
          </w:p>
        </w:tc>
      </w:tr>
      <w:tr w14:paraId="37319C65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6DFD1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列名规整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93C85B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2处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7A12D8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Zone 2 / Zone 3列名的连续空格折叠为单空格，再统一为snake_case</w:t>
            </w:r>
          </w:p>
        </w:tc>
      </w:tr>
      <w:tr w14:paraId="749809A1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49A3D0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类型转换失败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1E2339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0个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3A388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全部字段可转为数值，无需人工修正</w:t>
            </w:r>
          </w:p>
        </w:tc>
      </w:tr>
      <w:tr w14:paraId="00EFED14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B65D3A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异常值标记（3×IQR）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2337B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1,708条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1E13F2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只标记到anomaly_flags.csv，不删除、不替换</w:t>
            </w:r>
          </w:p>
        </w:tc>
      </w:tr>
      <w:tr w14:paraId="5A013AD9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66DAA8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输出记录数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DF0FF5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52,416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7426C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行按时间升序，索引重置</w:t>
            </w:r>
          </w:p>
        </w:tc>
      </w:tr>
      <w:tr w14:paraId="69125B62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3B6F65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其中diffuse_flows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2D6A5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1,690条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55F7DA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极端点集中在固定时段，按真实波动保留</w:t>
            </w:r>
          </w:p>
        </w:tc>
      </w:tr>
      <w:tr w14:paraId="10F15531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489BBE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其中zone3_power</w:t>
            </w:r>
          </w:p>
        </w:tc>
        <w:tc>
          <w:tcPr>
            <w:tcW w:w="2129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8B7307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18条</w:t>
            </w:r>
          </w:p>
        </w:tc>
        <w:tc>
          <w:tcPr>
            <w:tcW w:w="4053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C8DDCA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极端点集中在固定时段，按真实波动保留</w:t>
            </w:r>
          </w:p>
        </w:tc>
      </w:tr>
    </w:tbl>
    <w:p w14:paraId="155E053B">
      <w:pPr>
        <w:jc w:val="both"/>
        <w:rPr>
          <w:color w:val="4B5563"/>
        </w:rPr>
        <w:sectPr>
          <w:footerReference r:id="rId13" w:type="default"/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注：异常值为3倍四分位距规则的统计标记，仅用于提示，清洗阶段不做删除或替换；负荷峰值属真实用电行为，保留原值。</w:t>
      </w:r>
    </w:p>
    <w:p w14:paraId="52FB6666">
      <w:pPr>
        <w:pStyle w:val="2"/>
        <w:spacing w:before="360" w:beforeAutospacing="1" w:after="360" w:afterAutospacing="1"/>
        <w:jc w:val="left"/>
        <w:rPr>
          <w:color w:val="1F2430"/>
          <w:kern w:val="44"/>
          <w:sz w:val="44"/>
          <w:szCs w:val="44"/>
        </w:rPr>
      </w:pPr>
      <w:bookmarkStart w:id="10" w:name="section-5"/>
      <w:bookmarkStart w:id="11" w:name="_Toc2067"/>
      <w:r>
        <w:rPr>
          <w:rFonts w:hint="eastAsia" w:ascii="Times New Roman" w:hAnsi="Times New Roman" w:eastAsia="黑体" w:cs="Times New Roman"/>
          <w:b/>
          <w:color w:val="1F2430"/>
          <w:sz w:val="28"/>
        </w:rPr>
        <w:t>4　负荷的时序规律</w:t>
      </w:r>
      <w:bookmarkEnd w:id="10"/>
      <w:bookmarkEnd w:id="11"/>
    </w:p>
    <w:p w14:paraId="11943937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12" w:name="section-5-1"/>
      <w:r>
        <w:rPr>
          <w:rFonts w:hint="eastAsia" w:ascii="Times New Roman" w:hAnsi="Times New Roman" w:eastAsia="黑体" w:cs="Times New Roman"/>
          <w:b/>
          <w:color w:val="1F2430"/>
          <w:sz w:val="24"/>
        </w:rPr>
        <w:t>4.1　年内走势</w:t>
      </w:r>
      <w:bookmarkEnd w:id="12"/>
    </w:p>
    <w:p w14:paraId="7E63A481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三个区域的负荷水平差距明显。年内日均值分别为32,345、21,043和17,835，区域1约为区域3的1.8倍，且这一量级关系在年内稳定（图1）。季节形态则三个区各不相同：区域1最平缓，最高月比最低月高约两成半；区域2在7、8月形成夏季峰，11、12月又出现一个高于春季的次高峰；区域3起伏最剧烈，7月达到28,200，12月降至11,000，最高月是最低月的2.6倍。按季节平均，区域3夏季负荷是冬季的1.59倍，区域1和区域2分别只有1.17和1.12倍。</w:t>
      </w:r>
    </w:p>
    <w:p w14:paraId="0136A7CA">
      <w:pPr>
        <w:jc w:val="both"/>
        <w:rPr>
          <w:rFonts w:hint="eastAsia" w:ascii="Times New Roman" w:hAnsi="Times New Roman" w:eastAsia="宋体" w:cs="Times New Roman"/>
          <w:color w:val="1F2430"/>
          <w:sz w:val="24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区域3从9月到12月的连续下滑需要谨慎对待：其中既有季节性成分，也可能包含全年负荷水平的整体下移，本数据只有一个年度周期，两种成分无法分离，因此按观测值陈述，不做季节性归因。负荷水平的年内下移是可以确认的：区域1在训练期的日均值为33,065，测试期为29,056。这一事实直接关系到第6章的数据划分方式。</w:t>
      </w:r>
    </w:p>
    <w:p w14:paraId="6B1ADE94">
      <w:pPr>
        <w:ind w:left="0" w:leftChars="0" w:firstLine="0" w:firstLineChars="0"/>
        <w:jc w:val="center"/>
        <w:rPr>
          <w:color w:val="1F2430"/>
        </w:rPr>
      </w:pPr>
      <w:r>
        <w:rPr>
          <w:rFonts w:ascii="Times New Roman" w:hAnsi="Times New Roman" w:eastAsia="宋体" w:cs="Times New Roman"/>
          <w:sz w:val="24"/>
        </w:rPr>
        <w:drawing>
          <wp:inline distT="0" distB="0" distL="0" distR="0">
            <wp:extent cx="5274310" cy="1979295"/>
            <wp:effectExtent l="0" t="0" r="8890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9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9BE9E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图1　三个区域日均负荷的全年走势</w:t>
      </w:r>
    </w:p>
    <w:p w14:paraId="3C7267C6">
      <w:pPr>
        <w:jc w:val="both"/>
        <w:rPr>
          <w:color w:val="4B5563"/>
        </w:r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2017年1月1日至12月30日，52,416条10分钟观测按日取均值；浅色线为日均值，粗线为7日滑动平均；阴影区间为6—8月。</w:t>
      </w:r>
    </w:p>
    <w:p w14:paraId="0C03EF80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13" w:name="section-5-2"/>
      <w:r>
        <w:rPr>
          <w:rFonts w:hint="eastAsia" w:ascii="Times New Roman" w:hAnsi="Times New Roman" w:eastAsia="黑体" w:cs="Times New Roman"/>
          <w:b/>
          <w:color w:val="1F2430"/>
          <w:sz w:val="24"/>
        </w:rPr>
        <w:t>4.2　日内规律</w:t>
      </w:r>
      <w:bookmarkEnd w:id="13"/>
    </w:p>
    <w:p w14:paraId="0E07B4E7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三个区域的峰谷时刻高度一致，谷值出现在6至7时，峰值出现在20时。区域1和区域2的峰谷比为1.89，区域3为2.23（图2）。曲线呈"凌晨低谷、午间平台、晚间高峰"的三段结构，并非典型双峰。</w:t>
      </w:r>
    </w:p>
    <w:p w14:paraId="58B3CC9F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工作日与周末的差距主要落在白天：区域1晚高峰时段工作日与周末仅差2.8%，全天差距3.6%；区域2差别更明显（6.2% 与8.2%）；区域3几乎没有区别。峰值时刻的日间稳定性很高：三个区分别有98.9%、97.5%、99.2% 的日子全天最高负荷落在18至21时。日峰值本身的波动则差别明显：变异系数区域1为7.4%、区域2为12.5%、区域3高达27.7%——这一差别解释了第6章分区域误差的分布：区域3难预测，主因不在模型，而在目标序列自身的波动幅度。</w:t>
      </w:r>
    </w:p>
    <w:p w14:paraId="04BDCD47">
      <w:pPr>
        <w:ind w:left="0" w:leftChars="0" w:firstLine="0" w:firstLineChars="0"/>
        <w:jc w:val="center"/>
        <w:rPr>
          <w:color w:val="1F2430"/>
        </w:rPr>
      </w:pPr>
      <w:r>
        <w:rPr>
          <w:rFonts w:ascii="Times New Roman" w:hAnsi="Times New Roman" w:eastAsia="宋体" w:cs="Times New Roman"/>
          <w:sz w:val="24"/>
        </w:rPr>
        <w:drawing>
          <wp:inline distT="0" distB="0" distL="0" distR="0">
            <wp:extent cx="5302885" cy="1636395"/>
            <wp:effectExtent l="0" t="0" r="5715" b="190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2885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8C449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图2　日内负荷曲线：工作日与周末对比</w:t>
      </w:r>
    </w:p>
    <w:p w14:paraId="340ECD6E">
      <w:pPr>
        <w:jc w:val="both"/>
        <w:rPr>
          <w:color w:val="4B5563"/>
        </w:r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已记录时段内观测按小时取均值，实线为工作日，虚线为周末；三个子图的纵轴范围各自独立，不宜直接比较幅度。</w:t>
      </w:r>
    </w:p>
    <w:p w14:paraId="36EBD58C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14" w:name="section-5-3"/>
      <w:r>
        <w:rPr>
          <w:rFonts w:hint="eastAsia" w:ascii="Times New Roman" w:hAnsi="Times New Roman" w:eastAsia="黑体" w:cs="Times New Roman"/>
          <w:b/>
          <w:color w:val="1F2430"/>
          <w:sz w:val="24"/>
        </w:rPr>
        <w:t>4.3　周内规律</w:t>
      </w:r>
      <w:bookmarkEnd w:id="14"/>
    </w:p>
    <w:p w14:paraId="106C2003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区域1和区域2的周内走势一致：周一至周四持平，周五开始走弱，周日最低，工作日与周末的比值分别为1.04和1.09。区域3的走向相反，周五反而是全周最低，工作日与周末比值0.99，实际不存在星期效应（图3）。这一差异决定了星期特征对区域3的贡献有限。</w:t>
      </w:r>
    </w:p>
    <w:p w14:paraId="1F14BB1B">
      <w:pPr>
        <w:ind w:left="0" w:leftChars="0" w:firstLine="0" w:firstLineChars="0"/>
        <w:jc w:val="center"/>
        <w:rPr>
          <w:color w:val="1F2430"/>
        </w:rPr>
      </w:pPr>
      <w:r>
        <w:rPr>
          <w:rFonts w:ascii="Times New Roman" w:hAnsi="Times New Roman" w:eastAsia="宋体" w:cs="Times New Roman"/>
          <w:sz w:val="24"/>
        </w:rPr>
        <w:drawing>
          <wp:inline distT="0" distB="0" distL="0" distR="0">
            <wp:extent cx="5347335" cy="1583690"/>
            <wp:effectExtent l="0" t="0" r="12065" b="38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7335" cy="158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AE22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图3　周内各天的平均负荷</w:t>
      </w:r>
    </w:p>
    <w:p w14:paraId="26D73874">
      <w:pPr>
        <w:jc w:val="both"/>
        <w:rPr>
          <w:color w:val="4B5563"/>
        </w:r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已记录时段内观测按星期取均值；三个子图纵轴范围独立，跨区域比较请参见第4.5节汇总表。</w:t>
      </w:r>
    </w:p>
    <w:p w14:paraId="299D7569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15" w:name="section-5-4"/>
      <w:r>
        <w:rPr>
          <w:rFonts w:hint="eastAsia" w:ascii="Times New Roman" w:hAnsi="Times New Roman" w:eastAsia="黑体" w:cs="Times New Roman"/>
          <w:b/>
          <w:color w:val="1F2430"/>
          <w:sz w:val="24"/>
        </w:rPr>
        <w:t>4.4　季节规律</w:t>
      </w:r>
      <w:bookmarkEnd w:id="15"/>
    </w:p>
    <w:p w14:paraId="18AE0AA0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按月统计的箱线图显示，中位数的月度走势与日均值一致，但箱体高度在夏季明显变大，说明夏季不仅负荷水平高，日内波动和日间差异也都大于冬季（图4）。各区极值月份：区域1、2最高月在8月，区域3在7月；最低月区域1、3分别为11、12月，区域2的低谷却出现在4月——该区域冬季负荷并不低，真正的低谷在春季。</w:t>
      </w:r>
    </w:p>
    <w:p w14:paraId="67DA488E">
      <w:pPr>
        <w:ind w:left="0" w:leftChars="0" w:firstLine="0" w:firstLineChars="0"/>
        <w:jc w:val="center"/>
        <w:rPr>
          <w:color w:val="1F2430"/>
        </w:rPr>
      </w:pPr>
      <w:r>
        <w:rPr>
          <w:rFonts w:ascii="Times New Roman" w:hAnsi="Times New Roman" w:eastAsia="宋体" w:cs="Times New Roman"/>
          <w:sz w:val="24"/>
        </w:rPr>
        <w:drawing>
          <wp:inline distT="0" distB="0" distL="0" distR="0">
            <wp:extent cx="5274310" cy="1634490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4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E64C6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图4　按月份的负荷分布</w:t>
      </w:r>
    </w:p>
    <w:p w14:paraId="750CDD10">
      <w:pPr>
        <w:jc w:val="both"/>
        <w:rPr>
          <w:color w:val="4B5563"/>
        </w:r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已记录时段内10分钟观测按月份绘制的箱线图，箱体为四分位区间，横线为中位数，须线延伸至1.5倍四分位距，离群点已隐去；三个子图纵轴范围独立。</w:t>
      </w:r>
    </w:p>
    <w:p w14:paraId="0989A68D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16" w:name="section-5-5"/>
      <w:r>
        <w:rPr>
          <w:rFonts w:hint="eastAsia" w:ascii="Times New Roman" w:hAnsi="Times New Roman" w:eastAsia="黑体" w:cs="Times New Roman"/>
          <w:b/>
          <w:color w:val="1F2430"/>
          <w:sz w:val="24"/>
        </w:rPr>
        <w:t>4.5　分区对比</w:t>
      </w:r>
      <w:bookmarkEnd w:id="16"/>
    </w:p>
    <w:tbl>
      <w:tblPr>
        <w:tblStyle w:val="17"/>
        <w:tblW w:w="8306" w:type="dxa"/>
        <w:tblInd w:w="140" w:type="dxa"/>
        <w:shd w:val="clear" w:color="1F2430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11"/>
        <w:gridCol w:w="1965"/>
        <w:gridCol w:w="1965"/>
        <w:gridCol w:w="1965"/>
      </w:tblGrid>
      <w:tr w14:paraId="60ED9E0C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411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C72CE5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指标</w:t>
            </w:r>
          </w:p>
        </w:tc>
        <w:tc>
          <w:tcPr>
            <w:tcW w:w="1965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11ED1C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区域1</w:t>
            </w:r>
          </w:p>
        </w:tc>
        <w:tc>
          <w:tcPr>
            <w:tcW w:w="1965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C2338C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区域2</w:t>
            </w:r>
          </w:p>
        </w:tc>
        <w:tc>
          <w:tcPr>
            <w:tcW w:w="1965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40684A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区域3</w:t>
            </w:r>
          </w:p>
        </w:tc>
      </w:tr>
      <w:tr w14:paraId="05A0C99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411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D510EC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年内日均</w:t>
            </w:r>
          </w:p>
        </w:tc>
        <w:tc>
          <w:tcPr>
            <w:tcW w:w="1965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F6EA0E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32,345</w:t>
            </w:r>
          </w:p>
        </w:tc>
        <w:tc>
          <w:tcPr>
            <w:tcW w:w="1965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7DD707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21,043</w:t>
            </w:r>
          </w:p>
        </w:tc>
        <w:tc>
          <w:tcPr>
            <w:tcW w:w="1965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AF0D5E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17,835</w:t>
            </w:r>
          </w:p>
        </w:tc>
      </w:tr>
      <w:tr w14:paraId="3B2D924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622B7B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峰时 / 谷时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2AB2B3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20时 / 6时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164C88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20时 / 6时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82A62A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20时 / 7时</w:t>
            </w:r>
          </w:p>
        </w:tc>
      </w:tr>
      <w:tr w14:paraId="47C16F9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512207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峰谷比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9352E3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1.89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DFC154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1.89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089ED0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2.23</w:t>
            </w:r>
          </w:p>
        </w:tc>
      </w:tr>
      <w:tr w14:paraId="53ACAA3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E318D9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周末相对工作日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3D159F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−3.6%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7357F7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−8.2%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028B74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+1.2%</w:t>
            </w:r>
          </w:p>
        </w:tc>
      </w:tr>
      <w:tr w14:paraId="25B4D85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411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0A1DD4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夏冬比</w:t>
            </w:r>
          </w:p>
        </w:tc>
        <w:tc>
          <w:tcPr>
            <w:tcW w:w="1965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270370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1.17</w:t>
            </w:r>
          </w:p>
        </w:tc>
        <w:tc>
          <w:tcPr>
            <w:tcW w:w="1965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BBCD15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1.12</w:t>
            </w:r>
          </w:p>
        </w:tc>
        <w:tc>
          <w:tcPr>
            <w:tcW w:w="1965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B77FF7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1.59</w:t>
            </w:r>
          </w:p>
        </w:tc>
      </w:tr>
    </w:tbl>
    <w:p w14:paraId="25DC1829">
      <w:pPr>
        <w:jc w:val="both"/>
        <w:rPr>
          <w:color w:val="1F2430"/>
        </w:rPr>
        <w:sectPr>
          <w:footerReference r:id="rId14" w:type="default"/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rFonts w:hint="eastAsia" w:ascii="Times New Roman" w:hAnsi="Times New Roman" w:eastAsia="宋体" w:cs="Times New Roman"/>
          <w:color w:val="1F2430"/>
          <w:sz w:val="24"/>
        </w:rPr>
        <w:t>三个区共享同一套时间结构，差别集中在幅度上：区域1量级最大、曲线最平稳；区域2星期效应最强且冬季有次高峰；区域3量级最小，季节性和日内波动都最强。建模时应当区别对待，而不是对三个区套用同一组特征。</w:t>
      </w:r>
    </w:p>
    <w:p w14:paraId="0797AA39">
      <w:pPr>
        <w:pStyle w:val="2"/>
        <w:spacing w:before="360" w:beforeAutospacing="1" w:after="360" w:afterAutospacing="1"/>
        <w:jc w:val="left"/>
        <w:rPr>
          <w:color w:val="1F2430"/>
          <w:kern w:val="44"/>
          <w:sz w:val="44"/>
          <w:szCs w:val="44"/>
        </w:rPr>
      </w:pPr>
      <w:bookmarkStart w:id="17" w:name="_Toc26779"/>
      <w:bookmarkStart w:id="18" w:name="section-6"/>
      <w:r>
        <w:rPr>
          <w:rFonts w:hint="eastAsia" w:ascii="Times New Roman" w:hAnsi="Times New Roman" w:eastAsia="黑体" w:cs="Times New Roman"/>
          <w:b/>
          <w:color w:val="1F2430"/>
          <w:sz w:val="28"/>
        </w:rPr>
        <w:t>5　天气因素与负荷的关系</w:t>
      </w:r>
      <w:bookmarkEnd w:id="17"/>
      <w:bookmarkEnd w:id="18"/>
    </w:p>
    <w:p w14:paraId="606A1191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19" w:name="section-6-1"/>
      <w:r>
        <w:rPr>
          <w:rFonts w:hint="eastAsia" w:ascii="Times New Roman" w:hAnsi="Times New Roman" w:eastAsia="黑体" w:cs="Times New Roman"/>
          <w:b/>
          <w:color w:val="1F2430"/>
          <w:sz w:val="24"/>
        </w:rPr>
        <w:t>5.1　相关系数</w:t>
      </w:r>
      <w:bookmarkEnd w:id="19"/>
    </w:p>
    <w:p w14:paraId="6030BEBE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三个区域的负荷与五个气象因子的相关系数见图5与下表（括号外Pearson，括号内Spearman）。</w:t>
      </w:r>
    </w:p>
    <w:tbl>
      <w:tblPr>
        <w:tblStyle w:val="17"/>
        <w:tblW w:w="8306" w:type="dxa"/>
        <w:tblInd w:w="140" w:type="dxa"/>
        <w:shd w:val="clear" w:color="1F2430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4"/>
        <w:gridCol w:w="2224"/>
        <w:gridCol w:w="2224"/>
        <w:gridCol w:w="2224"/>
      </w:tblGrid>
      <w:tr w14:paraId="4D8C60A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34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125B69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因子</w:t>
            </w:r>
          </w:p>
        </w:tc>
        <w:tc>
          <w:tcPr>
            <w:tcW w:w="2224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49A38F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区域1</w:t>
            </w:r>
          </w:p>
        </w:tc>
        <w:tc>
          <w:tcPr>
            <w:tcW w:w="2224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148BAE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区域2</w:t>
            </w:r>
          </w:p>
        </w:tc>
        <w:tc>
          <w:tcPr>
            <w:tcW w:w="2224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3F46D0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区域3</w:t>
            </w:r>
          </w:p>
        </w:tc>
      </w:tr>
      <w:tr w14:paraId="304718C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34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65686C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温度</w:t>
            </w:r>
          </w:p>
        </w:tc>
        <w:tc>
          <w:tcPr>
            <w:tcW w:w="2224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63CB14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+0.44（+0.43）</w:t>
            </w:r>
          </w:p>
        </w:tc>
        <w:tc>
          <w:tcPr>
            <w:tcW w:w="2224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72A1EB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+0.38（+0.38）</w:t>
            </w:r>
          </w:p>
        </w:tc>
        <w:tc>
          <w:tcPr>
            <w:tcW w:w="2224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BAA48A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+0.49（+0.44）</w:t>
            </w:r>
          </w:p>
        </w:tc>
      </w:tr>
      <w:tr w14:paraId="5ACF596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3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8D56B1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湿度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438F14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−0.29（−0.30）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D4D6C0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−0.29（−0.31）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3F2731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−0.23（−0.21）</w:t>
            </w:r>
          </w:p>
        </w:tc>
      </w:tr>
      <w:tr w14:paraId="1C8A322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3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A64DD0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风速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040CA4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+0.17（+0.11）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65AE84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+0.15（+0.09）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E4EDF8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+0.28（+0.08）</w:t>
            </w:r>
          </w:p>
        </w:tc>
      </w:tr>
      <w:tr w14:paraId="18F638F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3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B249E5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总漫射辐射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C9C695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+0.19（+0.26）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D42DA6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+0.16（+0.24）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E82C3E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+0.06（+0.08）</w:t>
            </w:r>
          </w:p>
        </w:tc>
      </w:tr>
      <w:tr w14:paraId="1837F06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34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F3370A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漫射辐射</w:t>
            </w:r>
          </w:p>
        </w:tc>
        <w:tc>
          <w:tcPr>
            <w:tcW w:w="2224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934B07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+0.08（+0.12）</w:t>
            </w:r>
          </w:p>
        </w:tc>
        <w:tc>
          <w:tcPr>
            <w:tcW w:w="2224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B247EC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+0.04（+0.10）</w:t>
            </w:r>
          </w:p>
        </w:tc>
        <w:tc>
          <w:tcPr>
            <w:tcW w:w="2224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7E16A7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−0.04（−0.02）</w:t>
            </w:r>
          </w:p>
        </w:tc>
      </w:tr>
    </w:tbl>
    <w:p w14:paraId="350EF424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温度是唯一在三区都稳定为正的因子。风速和总漫射辐射的两种系数差距较大（如区域3风速Pearson 0.28、Spearman仅0.08），说明其数值主要由少数极端时段支撑，放进线性模型并不可靠。三个区域负荷之间的相关系数在0.75至0.84之间，说明三区受共同因素驱动。</w:t>
      </w:r>
    </w:p>
    <w:p w14:paraId="19B8D68F">
      <w:pPr>
        <w:jc w:val="both"/>
        <w:rPr>
          <w:color w:val="1F2430"/>
        </w:rPr>
      </w:pPr>
      <w:r>
        <w:rPr>
          <w:rFonts w:ascii="Times New Roman" w:hAnsi="Times New Roman" w:eastAsia="宋体" w:cs="Times New Roman"/>
          <w:sz w:val="24"/>
        </w:rPr>
        <w:drawing>
          <wp:inline distT="0" distB="0" distL="0" distR="0">
            <wp:extent cx="4907915" cy="4319905"/>
            <wp:effectExtent l="0" t="0" r="6985" b="1079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0791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BD861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图5　天气因子与各区域负荷的相关系数</w:t>
      </w:r>
    </w:p>
    <w:p w14:paraId="5878F66D">
      <w:pPr>
        <w:jc w:val="both"/>
        <w:rPr>
          <w:color w:val="4B5563"/>
        </w:r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已记录时段内52,416条观测计算的Pearson相关系数；色标固定为</w:t>
      </w:r>
      <w:r>
        <w:rPr>
          <w:rFonts w:hint="eastAsia" w:ascii="Times New Roman" w:hAnsi="Times New Roman" w:eastAsia="宋体" w:cs="Times New Roman"/>
          <w:color w:val="4B5563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−1至1，对角线为变量自身相关，数值恒为1。</w:t>
      </w:r>
    </w:p>
    <w:p w14:paraId="339290BC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20" w:name="section-6-2"/>
      <w:r>
        <w:rPr>
          <w:rFonts w:hint="eastAsia" w:ascii="Times New Roman" w:hAnsi="Times New Roman" w:eastAsia="黑体" w:cs="Times New Roman"/>
          <w:b/>
          <w:color w:val="1F2430"/>
          <w:sz w:val="24"/>
        </w:rPr>
        <w:t>5.2　温度与负荷的分段特征</w:t>
      </w:r>
      <w:bookmarkEnd w:id="20"/>
    </w:p>
    <w:p w14:paraId="18C74DAC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分箱均值显示（图6）：6 ℃ 至33 ℃ 区间负荷随温度单调上升，33 ℃ 以上进入平台。温度从6.5 ℃ 升到33.5 ℃ 时，区域1、2的分箱均值各上升69%，区域3上升158%，与它夏冬比1.59、峰谷比2.23的结论一致。数据中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没有观察到典型的U形</w:t>
      </w:r>
      <w:r>
        <w:rPr>
          <w:rFonts w:hint="eastAsia" w:ascii="Times New Roman" w:hAnsi="Times New Roman" w:eastAsia="宋体" w:cs="Times New Roman"/>
          <w:color w:val="1F2430"/>
          <w:sz w:val="24"/>
        </w:rPr>
        <w:t>：3 ℃ 至5 ℃ 的负荷并不高于20 ℃ 附近，说明这三个区域的用电对低温不敏感，温度特征在冬季的作用有限。</w:t>
      </w:r>
    </w:p>
    <w:p w14:paraId="30FB7D00">
      <w:pPr>
        <w:ind w:left="0" w:leftChars="0" w:firstLine="0" w:firstLineChars="0"/>
        <w:jc w:val="center"/>
        <w:rPr>
          <w:color w:val="1F2430"/>
        </w:rPr>
      </w:pPr>
      <w:r>
        <w:rPr>
          <w:rFonts w:ascii="Times New Roman" w:hAnsi="Times New Roman" w:eastAsia="宋体" w:cs="Times New Roman"/>
          <w:sz w:val="24"/>
        </w:rPr>
        <w:drawing>
          <wp:inline distT="0" distB="0" distL="0" distR="0">
            <wp:extent cx="5274310" cy="1706245"/>
            <wp:effectExtent l="0" t="0" r="8890" b="825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747B6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图6　温度与负荷的关系</w:t>
      </w:r>
    </w:p>
    <w:p w14:paraId="3B86DB5F">
      <w:pPr>
        <w:jc w:val="both"/>
        <w:rPr>
          <w:color w:val="4B5563"/>
        </w:r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灰点为从已记录时段观测中随机抽样的8,000条记录，折线为按1 ℃</w:t>
      </w:r>
      <w:r>
        <w:rPr>
          <w:rFonts w:hint="eastAsia" w:ascii="Times New Roman" w:hAnsi="Times New Roman" w:eastAsia="宋体" w:cs="Times New Roman"/>
          <w:color w:val="4B5563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分箱后的负荷均值，仅保留样本量不少于50的区间；三个子图纵轴范围独立。</w:t>
      </w:r>
    </w:p>
    <w:p w14:paraId="3F9AA593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21" w:name="section-6-3"/>
      <w:r>
        <w:rPr>
          <w:rFonts w:hint="eastAsia" w:ascii="Times New Roman" w:hAnsi="Times New Roman" w:eastAsia="黑体" w:cs="Times New Roman"/>
          <w:b/>
          <w:color w:val="1F2430"/>
          <w:sz w:val="24"/>
        </w:rPr>
        <w:t>5.3　与消融结果的呼应</w:t>
      </w:r>
      <w:bookmarkEnd w:id="21"/>
    </w:p>
    <w:p w14:paraId="2ACEDEFB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第6章的消融实验显示，在原始特征集上，线性回归加入天气特征后区域3的测试集RMSE下降34.6%，是三个区里降幅最大的；区域2只下降4.1%。这一排序与本节的相关性排序一致：温度相关性最高的区域，天气特征带来的收益也最大。两条独立证据互相印证。需要说明的是，这一增益是在模型尚未获得目标对齐周同期特征时测得的；补上该特征后天气的边际增益明显缩小（详见6.5），本节的结论应理解为"温度与负荷的统计关联确实存在"，而非"天气特征在任何特征集下都有同等增益"。</w:t>
      </w:r>
    </w:p>
    <w:p w14:paraId="5D4D1035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22" w:name="section-6-4"/>
      <w:r>
        <w:rPr>
          <w:rFonts w:hint="eastAsia" w:ascii="Times New Roman" w:hAnsi="Times New Roman" w:eastAsia="黑体" w:cs="Times New Roman"/>
          <w:b/>
          <w:color w:val="1F2430"/>
          <w:sz w:val="24"/>
        </w:rPr>
        <w:t>5.4　局限</w:t>
      </w:r>
      <w:bookmarkEnd w:id="22"/>
    </w:p>
    <w:p w14:paraId="7073B6F7">
      <w:pPr>
        <w:jc w:val="both"/>
        <w:rPr>
          <w:color w:val="1F2430"/>
        </w:rPr>
        <w:sectPr>
          <w:footerReference r:id="rId15" w:type="default"/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rFonts w:hint="eastAsia" w:ascii="Times New Roman" w:hAnsi="Times New Roman" w:eastAsia="宋体" w:cs="Times New Roman"/>
          <w:color w:val="1F2430"/>
          <w:sz w:val="24"/>
        </w:rPr>
        <w:t>以上只描述统计共变，不构成因果判断。未对节假日建模，未区分昼夜，相关系数未做去趋势处理（年内负荷下移会使系数略微偏低）。</w:t>
      </w:r>
    </w:p>
    <w:p w14:paraId="223F0949">
      <w:pPr>
        <w:pStyle w:val="2"/>
        <w:spacing w:before="360" w:beforeAutospacing="1" w:after="360" w:afterAutospacing="1"/>
        <w:jc w:val="left"/>
        <w:rPr>
          <w:color w:val="1F2430"/>
          <w:kern w:val="44"/>
          <w:sz w:val="44"/>
          <w:szCs w:val="44"/>
        </w:rPr>
      </w:pPr>
      <w:bookmarkStart w:id="23" w:name="section-7"/>
      <w:bookmarkStart w:id="24" w:name="_Toc27609"/>
      <w:r>
        <w:rPr>
          <w:rFonts w:hint="eastAsia" w:ascii="Times New Roman" w:hAnsi="Times New Roman" w:eastAsia="黑体" w:cs="Times New Roman"/>
          <w:b/>
          <w:color w:val="1F2430"/>
          <w:sz w:val="28"/>
        </w:rPr>
        <w:t>6　短期负荷预测：模型、消融与误差分析</w:t>
      </w:r>
      <w:bookmarkEnd w:id="23"/>
      <w:bookmarkEnd w:id="24"/>
    </w:p>
    <w:p w14:paraId="6753EA31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25" w:name="section-7-1"/>
      <w:r>
        <w:rPr>
          <w:rFonts w:hint="eastAsia" w:ascii="Times New Roman" w:hAnsi="Times New Roman" w:eastAsia="黑体" w:cs="Times New Roman"/>
          <w:b/>
          <w:color w:val="1F2430"/>
          <w:sz w:val="24"/>
        </w:rPr>
        <w:t>6.1　预测任务与实验协议</w:t>
      </w:r>
      <w:bookmarkEnd w:id="25"/>
    </w:p>
    <w:p w14:paraId="194C4E3E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预测任务定义为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提前1小时</w:t>
      </w:r>
      <w:r>
        <w:rPr>
          <w:rFonts w:hint="eastAsia" w:ascii="Times New Roman" w:hAnsi="Times New Roman" w:eastAsia="宋体" w:cs="Times New Roman"/>
          <w:color w:val="1F2430"/>
          <w:sz w:val="24"/>
        </w:rPr>
        <w:t>预测：对预测起点t，目标是其后第6个时间步（t+6）的负荷。三个区域分别建样本、分别训练、分别评价。数据按预测起点的时间顺序划分为训练/验证/测试三部分，比例70%/15%/15%，实际边界为：训练集至2017-09-14 19:40（35,975个起点），验证集至11-07 08:40（7,704个），测试集至12-30 22:50（7,711个），三区域共用同一套切分。</w:t>
      </w:r>
    </w:p>
    <w:p w14:paraId="1F625E57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边界purge。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目标在起点之后一小时，如果只按起点切分，子集末尾若干起点的标签时刻会落到下一个子集的起点区间内——训练集末尾的标签会被验证集"看到"，验证集末尾同理。为此训练集与验证集末尾各剔除6个起点（共12个样本不进入任何子集）。剔除后：训练末起点的目标时刻（09-14 20:40）早于验证集首起点（09-14 20:50），验证末起点的目标时刻（11-07 09:40）早于测试集首起点（11-07 09:50），任一子集的标签区间与下一子集的起点区间不再重叠。该断言已写入verify_against_plan() 与自动化检查。测试集区间不受影响，历史同期基线的指标与剔除前完全一致。</w:t>
      </w:r>
    </w:p>
    <w:p w14:paraId="1BCA03D4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防泄漏规则：所有特征只使用预测起点t及更早的观测；滚动统计一律回溯窗口；标准化等拟合型预处理只在训练集上拟合；验证集用于选型选参，测试集只评一次。天气特征取起点时刻的同步观测（协议约定，实际部署应替换为天气预报）。</w:t>
      </w:r>
    </w:p>
    <w:p w14:paraId="300195C9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26" w:name="section-7-2"/>
      <w:r>
        <w:rPr>
          <w:rFonts w:hint="eastAsia" w:ascii="Times New Roman" w:hAnsi="Times New Roman" w:eastAsia="黑体" w:cs="Times New Roman"/>
          <w:b/>
          <w:color w:val="1F2430"/>
          <w:sz w:val="24"/>
        </w:rPr>
        <w:t>6.2　特征与模型</w:t>
      </w:r>
      <w:bookmarkEnd w:id="26"/>
    </w:p>
    <w:p w14:paraId="47DC1B95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特征分三组。历史负荷组：当前负荷、1小时前、24小时前同期、7天前同期（load_lag_0/6/144/1008）；时间组：小时、星期、月份及其周期编码；天气组：起点时刻的温度、湿度、风速与两项辐射。历史同期基线不消费特征，直接取目标时刻的上一周同期值y(t+6−1008)。</w:t>
      </w:r>
    </w:p>
    <w:p w14:paraId="621AFB9E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这里埋着一个容易被忽略的口径差异：基线取的是y(t−1002)，即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目标时刻</w:t>
      </w:r>
      <w:r>
        <w:rPr>
          <w:rFonts w:hint="eastAsia" w:ascii="Times New Roman" w:hAnsi="Times New Roman" w:eastAsia="宋体" w:cs="Times New Roman"/>
          <w:color w:val="1F2430"/>
          <w:sz w:val="24"/>
        </w:rPr>
        <w:t>往前一周；而特征组里的load_lag_1008是起点往前一周，比目标时刻再早一小时。两个学习模型因此没有直接拿到基线所使用的那条记录。6.4节专门检验这一点，并在6.5节之后改用修正后的特征集。</w:t>
      </w:r>
    </w:p>
    <w:p w14:paraId="4033CA18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三个模型：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历史同期基线</w:t>
      </w:r>
      <w:r>
        <w:rPr>
          <w:rFonts w:hint="eastAsia" w:ascii="Times New Roman" w:hAnsi="Times New Roman" w:eastAsia="宋体" w:cs="Times New Roman"/>
          <w:color w:val="1F2430"/>
          <w:sz w:val="24"/>
        </w:rPr>
        <w:t>（无训练、无超参）；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线性回归</w:t>
      </w:r>
      <w:r>
        <w:rPr>
          <w:rFonts w:hint="eastAsia" w:ascii="Times New Roman" w:hAnsi="Times New Roman" w:eastAsia="宋体" w:cs="Times New Roman"/>
          <w:color w:val="1F2430"/>
          <w:sz w:val="24"/>
        </w:rPr>
        <w:t>（标准化 + 最小二乘，无超参）；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梯度提升树</w:t>
      </w:r>
      <w:r>
        <w:rPr>
          <w:rFonts w:hint="eastAsia" w:ascii="Times New Roman" w:hAnsi="Times New Roman" w:eastAsia="宋体" w:cs="Times New Roman"/>
          <w:color w:val="1F2430"/>
          <w:sz w:val="24"/>
        </w:rPr>
        <w:t>（scikit-learn HistGradientBoostingRegressor，在验证集上对小规模参数网格选优，随机种子42）。评价指标为MAE / RMSE / MSE，按（模型 × 区域）在测试集上分别计算，并给出三区合并口径。</w:t>
      </w:r>
    </w:p>
    <w:p w14:paraId="1DDCD190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版本一致性。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梯度提升树的数值结果会随scikit-learn版本发生微小漂移。全组统一锁定scikit-learn==1.6.1后，消融实验中"含天气"组的指标与主实验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逐值一致</w:t>
      </w:r>
      <w:r>
        <w:rPr>
          <w:rFonts w:hint="eastAsia" w:ascii="Times New Roman" w:hAnsi="Times New Roman" w:eastAsia="宋体" w:cs="Times New Roman"/>
          <w:color w:val="1F2430"/>
          <w:sz w:val="24"/>
        </w:rPr>
        <w:t>（线性回归本就确定性可复现）；此前记录的0.3%–3.1% 偏差系版本不同所致，已随本次重跑消除。</w:t>
      </w:r>
    </w:p>
    <w:p w14:paraId="3B6048CB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27" w:name="section-7-3"/>
      <w:r>
        <w:rPr>
          <w:rFonts w:hint="eastAsia" w:ascii="Times New Roman" w:hAnsi="Times New Roman" w:eastAsia="黑体" w:cs="Times New Roman"/>
          <w:b/>
          <w:color w:val="1F2430"/>
          <w:sz w:val="24"/>
        </w:rPr>
        <w:t>6.3　模型比较（表3、图7）</w:t>
      </w:r>
      <w:bookmarkEnd w:id="27"/>
    </w:p>
    <w:p w14:paraId="77D57886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表3　三个模型在测试集上的对比（原特征集）</w:t>
      </w:r>
    </w:p>
    <w:p w14:paraId="537D9248">
      <w:pPr>
        <w:jc w:val="both"/>
        <w:rPr>
          <w:color w:val="4B5563"/>
        </w:r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注：测试集为2017-11-07 09:50至2017-12-30 22:50，每区域7,711个样本；加粗为同区域最优；MSE按逐点预测误差平方的均值计算，RMSE为其平方根，各指标均由未舍入结果计算后再显示舍入。</w:t>
      </w:r>
    </w:p>
    <w:tbl>
      <w:tblPr>
        <w:tblStyle w:val="17"/>
        <w:tblW w:w="8306" w:type="dxa"/>
        <w:tblInd w:w="140" w:type="dxa"/>
        <w:shd w:val="clear" w:color="1F2430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52"/>
        <w:gridCol w:w="1600"/>
        <w:gridCol w:w="1600"/>
        <w:gridCol w:w="1600"/>
        <w:gridCol w:w="1600"/>
        <w:gridCol w:w="1254"/>
      </w:tblGrid>
      <w:tr w14:paraId="07DC4E6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61B9B0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模型</w:t>
            </w:r>
          </w:p>
        </w:tc>
        <w:tc>
          <w:tcPr>
            <w:tcW w:w="1531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1D4D23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Z1 MAE/RMSE</w:t>
            </w:r>
          </w:p>
        </w:tc>
        <w:tc>
          <w:tcPr>
            <w:tcW w:w="1531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24F409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Z2 MAE/RMSE</w:t>
            </w:r>
          </w:p>
        </w:tc>
        <w:tc>
          <w:tcPr>
            <w:tcW w:w="1531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B2B936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Z3 MAE/RMSE</w:t>
            </w:r>
          </w:p>
        </w:tc>
        <w:tc>
          <w:tcPr>
            <w:tcW w:w="1457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783271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合并MAE/RMSE</w:t>
            </w:r>
          </w:p>
        </w:tc>
        <w:tc>
          <w:tcPr>
            <w:tcW w:w="1289" w:type="dxa"/>
            <w:tcBorders>
              <w:top w:val="single" w:color="000000" w:themeColor="dark1" w:sz="12" w:space="0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34137C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合并MSE</w:t>
            </w:r>
          </w:p>
        </w:tc>
      </w:tr>
      <w:tr w14:paraId="77E4B9B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B84412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历史同期基线</w:t>
            </w:r>
          </w:p>
        </w:tc>
        <w:tc>
          <w:tcPr>
            <w:tcW w:w="1531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18360A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831.04/ 1151.45</w:t>
            </w:r>
          </w:p>
        </w:tc>
        <w:tc>
          <w:tcPr>
            <w:tcW w:w="1531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DDECC2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966.29/ 1366.37</w:t>
            </w:r>
          </w:p>
        </w:tc>
        <w:tc>
          <w:tcPr>
            <w:tcW w:w="1531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D0A120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1354.70/ 2216.34</w:t>
            </w:r>
          </w:p>
        </w:tc>
        <w:tc>
          <w:tcPr>
            <w:tcW w:w="1457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C20984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1050.68/ 1643.67</w:t>
            </w:r>
          </w:p>
        </w:tc>
        <w:tc>
          <w:tcPr>
            <w:tcW w:w="1289" w:type="dxa"/>
            <w:tcBorders>
              <w:top w:val="single" w:color="000000" w:themeColor="dark1" w:sz="4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F3CBF7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2,701,655</w:t>
            </w:r>
          </w:p>
        </w:tc>
      </w:tr>
      <w:tr w14:paraId="44D2B9C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B58C68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线性回归</w:t>
            </w: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D82D0C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2143.03/ 2512.61</w:t>
            </w: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451933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1016.45/ 1550.16</w:t>
            </w: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E48C7A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1</w:t>
            </w: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321.49/ 1666.97</w:t>
            </w:r>
          </w:p>
        </w:tc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EDDAB8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1493.66/ 1957.47</w:t>
            </w:r>
          </w:p>
        </w:tc>
        <w:tc>
          <w:tcPr>
            <w:tcW w:w="128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EC99BD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3,831,677</w:t>
            </w:r>
          </w:p>
        </w:tc>
      </w:tr>
      <w:tr w14:paraId="0734B3E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66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2E0A7E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梯度提升树</w:t>
            </w:r>
          </w:p>
        </w:tc>
        <w:tc>
          <w:tcPr>
            <w:tcW w:w="1531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555FA2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1596.96/ 2255.25</w:t>
            </w:r>
          </w:p>
        </w:tc>
        <w:tc>
          <w:tcPr>
            <w:tcW w:w="1531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42BE36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1091.57/ 1728.73</w:t>
            </w:r>
          </w:p>
        </w:tc>
        <w:tc>
          <w:tcPr>
            <w:tcW w:w="1531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882144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1840.15/ 2233.54</w:t>
            </w:r>
          </w:p>
        </w:tc>
        <w:tc>
          <w:tcPr>
            <w:tcW w:w="1457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710D16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1509.56/ 2086.73</w:t>
            </w:r>
          </w:p>
        </w:tc>
        <w:tc>
          <w:tcPr>
            <w:tcW w:w="1289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0FE79A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4,354,460</w:t>
            </w:r>
          </w:p>
        </w:tc>
      </w:tr>
    </w:tbl>
    <w:p w14:paraId="0BE72853">
      <w:pPr>
        <w:ind w:left="0" w:leftChars="0" w:firstLine="0" w:firstLineChars="0"/>
        <w:jc w:val="center"/>
        <w:rPr>
          <w:color w:val="1F2430"/>
        </w:rPr>
      </w:pPr>
      <w:r>
        <w:rPr>
          <w:rFonts w:ascii="Times New Roman" w:hAnsi="Times New Roman" w:eastAsia="宋体" w:cs="Times New Roman"/>
          <w:sz w:val="24"/>
        </w:rPr>
        <w:drawing>
          <wp:inline distT="0" distB="0" distL="0" distR="0">
            <wp:extent cx="5466080" cy="3036570"/>
            <wp:effectExtent l="0" t="0" r="7620" b="1143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6608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2A57C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图7　测试集片段：真实负荷与预测负荷对比</w:t>
      </w:r>
    </w:p>
    <w:p w14:paraId="06935BC5">
      <w:pPr>
        <w:jc w:val="both"/>
        <w:rPr>
          <w:color w:val="4B5563"/>
        </w:r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2017年12月14日至12月17日的局部片段，三行分别为三个模型、三列为三个区域；完整测试区间的指标见表3。</w:t>
      </w:r>
    </w:p>
    <w:p w14:paraId="5E344040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MSE根据测试集逐点预测误差的平方计算，RMSE为MSE的平方根。表中指标分别由未舍入的原始结果计算后再进行显示舍入；逐区MSE见outputs/metrics/report_table3.csv。三个指标各有侧重：MAE反映平均绝对偏差，RMSE与MSE对大误差更敏感（平方项放大极端值），三者排序一致时结论更稳健。</w:t>
      </w:r>
    </w:p>
    <w:p w14:paraId="1591AD1F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十二个（模型 × 区域 × 指标）组合中，仅线性回归在区域3的MAE与RMSE同时优于基线（−2.45% 与 −24.79%），其余十项基线占优。基线占优的原因有二：其一，日周期极稳定（97% 以上的日子峰值落在18–21时），"上周同一时刻"本身就是很强的预测量；其二，测试期负荷水平较训练期下移（区域1日均33,065→29,056，区域3 20,052→11,949），学习模型外推训练期水平产生系统性偏差，而基线锚定上周同期值，天然免疫这种漂移。</w:t>
      </w:r>
    </w:p>
    <w:p w14:paraId="10AB37E3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但这还不能下结论说"学习模型不适合这个任务"。因为两个学习模型手里的周特征与基线并不同源（见6.2）：基线看的是目标时刻的上一周，它们看的是起点的上一周。下一节专门检验这一点。</w:t>
      </w:r>
    </w:p>
    <w:p w14:paraId="138BA6BB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28" w:name="section-7-4"/>
      <w:r>
        <w:rPr>
          <w:rFonts w:hint="eastAsia" w:ascii="Times New Roman" w:hAnsi="Times New Roman" w:eastAsia="黑体" w:cs="Times New Roman"/>
          <w:b/>
          <w:color w:val="1F2430"/>
          <w:sz w:val="24"/>
        </w:rPr>
        <w:t>6.4　归因实验：补上目标时刻对齐的周同期特征</w:t>
      </w:r>
      <w:bookmarkEnd w:id="28"/>
    </w:p>
    <w:p w14:paraId="6F880E4D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在特征集中新增一项load_lag_target_week = y(t−1002)，即历史同期基线所用的那条记录。该值在预测起点时已经是历史观测（t−1002远早于t），不构成未来信息；原有的load_lag_1008保留，样本、切分、模型配置、评价指标全部不变，因此差异只能归因到这一项特征。</w:t>
      </w:r>
    </w:p>
    <w:p w14:paraId="51998CEB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表4　归因实验：补上目标对齐周同期特征后的测试集指标</w:t>
      </w:r>
    </w:p>
    <w:p w14:paraId="0ABFF169">
      <w:pPr>
        <w:jc w:val="both"/>
        <w:rPr>
          <w:color w:val="4B5563"/>
        </w:r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注：样本、切分、模型配置与评价指标与主实验完全一致，唯一差别是新增一项load_lag_target_week = y(t−1002)；MSE为三区合并口径。</w:t>
      </w:r>
    </w:p>
    <w:tbl>
      <w:tblPr>
        <w:tblStyle w:val="17"/>
        <w:tblW w:w="8306" w:type="dxa"/>
        <w:tblInd w:w="140" w:type="dxa"/>
        <w:shd w:val="clear" w:color="1F2430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60"/>
        <w:gridCol w:w="1600"/>
        <w:gridCol w:w="1600"/>
        <w:gridCol w:w="1600"/>
        <w:gridCol w:w="1600"/>
        <w:gridCol w:w="1240"/>
      </w:tblGrid>
      <w:tr w14:paraId="13B56C9A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92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9CFB0D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模型</w:t>
            </w:r>
          </w:p>
        </w:tc>
        <w:tc>
          <w:tcPr>
            <w:tcW w:w="1421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57D427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Z1 MAE/RMSE</w:t>
            </w:r>
          </w:p>
        </w:tc>
        <w:tc>
          <w:tcPr>
            <w:tcW w:w="1421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729903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Z2 MAE/RMSE</w:t>
            </w:r>
          </w:p>
        </w:tc>
        <w:tc>
          <w:tcPr>
            <w:tcW w:w="1436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64D9F2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Z3 MAE/RMSE</w:t>
            </w:r>
          </w:p>
        </w:tc>
        <w:tc>
          <w:tcPr>
            <w:tcW w:w="1436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0A16F2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合并MAE/RMSE</w:t>
            </w:r>
          </w:p>
        </w:tc>
        <w:tc>
          <w:tcPr>
            <w:tcW w:w="1299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1F0951">
            <w:pPr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合并MSE</w:t>
            </w:r>
          </w:p>
        </w:tc>
      </w:tr>
      <w:tr w14:paraId="16DA3E8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92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14134F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历史同期基线</w:t>
            </w:r>
          </w:p>
        </w:tc>
        <w:tc>
          <w:tcPr>
            <w:tcW w:w="1421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357C7D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831.04/ 1151.45</w:t>
            </w:r>
          </w:p>
        </w:tc>
        <w:tc>
          <w:tcPr>
            <w:tcW w:w="1421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F5A97D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966.29/ 1366.37</w:t>
            </w:r>
          </w:p>
        </w:tc>
        <w:tc>
          <w:tcPr>
            <w:tcW w:w="1436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7417B3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1354.70/ 2216.34</w:t>
            </w:r>
          </w:p>
        </w:tc>
        <w:tc>
          <w:tcPr>
            <w:tcW w:w="1436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BDE819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1050.68/ 1643.67</w:t>
            </w:r>
          </w:p>
        </w:tc>
        <w:tc>
          <w:tcPr>
            <w:tcW w:w="1299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7DD828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2,701,655</w:t>
            </w:r>
          </w:p>
        </w:tc>
      </w:tr>
      <w:tr w14:paraId="24D9BC6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92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9DFCF6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线性回归（+ 周同期）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FE587C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547.15/ 777.86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957532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513.58/ 729.94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BDEB70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481.52/ 792.29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FDED4C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514.09/ 767.16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854CA2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588,534</w:t>
            </w:r>
          </w:p>
        </w:tc>
      </w:tr>
      <w:tr w14:paraId="048EFD4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92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1D247D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梯度提升树（+ 周同期）</w:t>
            </w:r>
          </w:p>
        </w:tc>
        <w:tc>
          <w:tcPr>
            <w:tcW w:w="1421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0DB94A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925.93/ 1201.90</w:t>
            </w:r>
          </w:p>
        </w:tc>
        <w:tc>
          <w:tcPr>
            <w:tcW w:w="1421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89F23E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762.60/ 1118.37</w:t>
            </w:r>
          </w:p>
        </w:tc>
        <w:tc>
          <w:tcPr>
            <w:tcW w:w="1436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1F34BA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1</w:t>
            </w: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103.33/ 1434.54</w:t>
            </w:r>
          </w:p>
        </w:tc>
        <w:tc>
          <w:tcPr>
            <w:tcW w:w="1436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369550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930.62/ 1258.73</w:t>
            </w:r>
          </w:p>
        </w:tc>
        <w:tc>
          <w:tcPr>
            <w:tcW w:w="1299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0B24C8">
            <w:pPr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1,584,408</w:t>
            </w:r>
          </w:p>
        </w:tc>
      </w:tr>
    </w:tbl>
    <w:p w14:paraId="7C97407D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括号内的相对变化均为相对历史同期基线；MSE为合并口径。</w:t>
      </w:r>
    </w:p>
    <w:p w14:paraId="51920859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结果远超预期：加入该特征后，线性回归在三区的测试集RMSE相对原特征集下降52.5%–69.0%，相对基线下降32.4%–64.3%，合并口径MAE/RMSE由1493.66/1957.47降至514.09/767.16（−51.1%/−53.3%）；梯度提升树相对基线除区域1略高（+4.4%）外，区域2、3分别下降18.2% 和35.3%，合并口径 −11.4%/−23.4%。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两个学习模型转为全面优于基线</w:t>
      </w:r>
      <w:r>
        <w:rPr>
          <w:rFonts w:hint="eastAsia" w:ascii="Times New Roman" w:hAnsi="Times New Roman" w:eastAsia="宋体" w:cs="Times New Roman"/>
          <w:color w:val="1F2430"/>
          <w:sz w:val="24"/>
        </w:rPr>
        <w:t>。</w:t>
      </w:r>
    </w:p>
    <w:p w14:paraId="6A5731CB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这说明6.3的结论需要修正：此前"学习模型不敌基线"并不是模型不合适，而是特征集没有把最重要的周期性信息交给模型——基线之所以强，恰恰因为它直接复制了目标时刻的上一周同期值。修正特征口径后，学习模型既能利用这条信息，又能用天气、小时等其他特征做修正，因此超过了只会照抄的基线。这一结果也提示：在日周周期极强的数据上做模型比较时，必须先确认基线和学习模型拿到的信息是否同源，否则容易得出"简单基线不可战胜"的误判。</w:t>
      </w:r>
    </w:p>
    <w:p w14:paraId="2E1E356E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29" w:name="section-7-5"/>
      <w:r>
        <w:rPr>
          <w:rFonts w:hint="eastAsia" w:ascii="Times New Roman" w:hAnsi="Times New Roman" w:eastAsia="黑体" w:cs="Times New Roman"/>
          <w:b/>
          <w:color w:val="1F2430"/>
          <w:sz w:val="24"/>
        </w:rPr>
        <w:t>6.5　天气特征消融（表5、图9）</w:t>
      </w:r>
      <w:bookmarkEnd w:id="29"/>
    </w:p>
    <w:p w14:paraId="57F47A07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由于6.4已确认应改用含目标对齐周特征的特征集，消融随之在新特征集上重做：A组 = 历史（含周同期）+ 时间特征，B组 = A组 + 天气特征，除天气开关外样本、切分、模型、参数完全一致。</w:t>
      </w:r>
    </w:p>
    <w:p w14:paraId="58FA39CE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表5　天气特征消融结果（含周同期特征的新特征集）</w:t>
      </w:r>
    </w:p>
    <w:p w14:paraId="128876D2">
      <w:pPr>
        <w:jc w:val="both"/>
        <w:rPr>
          <w:color w:val="4B5563"/>
        </w:r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注：数值为含天气特征组（B组）相对不含天气特征组（A组）的测试集RMSE变化，负值表示误差下降；加粗的三个组合误差反而上升，为如实报告。</w:t>
      </w:r>
    </w:p>
    <w:tbl>
      <w:tblPr>
        <w:tblStyle w:val="17"/>
        <w:tblW w:w="8306" w:type="dxa"/>
        <w:tblInd w:w="140" w:type="dxa"/>
        <w:shd w:val="clear" w:color="1F2430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1"/>
        <w:gridCol w:w="1800"/>
        <w:gridCol w:w="4355"/>
      </w:tblGrid>
      <w:tr w14:paraId="129D16F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151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4307BF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模型</w:t>
            </w:r>
          </w:p>
        </w:tc>
        <w:tc>
          <w:tcPr>
            <w:tcW w:w="1800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8CD95D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区域</w:t>
            </w:r>
          </w:p>
        </w:tc>
        <w:tc>
          <w:tcPr>
            <w:tcW w:w="4355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7BC0B7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测试集RMSE变化</w:t>
            </w:r>
          </w:p>
        </w:tc>
      </w:tr>
      <w:tr w14:paraId="62CC398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51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866CC0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线性回归</w:t>
            </w:r>
          </w:p>
        </w:tc>
        <w:tc>
          <w:tcPr>
            <w:tcW w:w="1800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06E0F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Z1/Z2/Z3</w:t>
            </w:r>
          </w:p>
        </w:tc>
        <w:tc>
          <w:tcPr>
            <w:tcW w:w="4355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F1F837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−10.99%/+5.08%/ +0.98%</w:t>
            </w:r>
          </w:p>
        </w:tc>
      </w:tr>
      <w:tr w14:paraId="6132354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51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C90C26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梯度提升树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E3E88A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Z1/Z2/Z3</w:t>
            </w:r>
          </w:p>
        </w:tc>
        <w:tc>
          <w:tcPr>
            <w:tcW w:w="4355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5CF510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−17.85%/−5.94%/ −0.43%</w:t>
            </w:r>
          </w:p>
        </w:tc>
      </w:tr>
    </w:tbl>
    <w:p w14:paraId="5E322BFF">
      <w:pPr>
        <w:ind w:left="0" w:leftChars="0" w:firstLine="0" w:firstLineChars="0"/>
        <w:jc w:val="center"/>
        <w:rPr>
          <w:color w:val="1F2430"/>
        </w:rPr>
      </w:pPr>
      <w:r>
        <w:rPr>
          <w:rFonts w:ascii="Times New Roman" w:hAnsi="Times New Roman" w:eastAsia="宋体" w:cs="Times New Roman"/>
          <w:sz w:val="24"/>
        </w:rPr>
        <w:drawing>
          <wp:inline distT="0" distB="0" distL="0" distR="0">
            <wp:extent cx="5274310" cy="2013585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EBB9D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图9（a）　天气特征消融：原特征集下的测试集RMSE对照</w:t>
      </w:r>
    </w:p>
    <w:p w14:paraId="2700580B">
      <w:pPr>
        <w:jc w:val="both"/>
        <w:rPr>
          <w:color w:val="4B5563"/>
        </w:r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六个（模型</w:t>
      </w:r>
      <w:r>
        <w:rPr>
          <w:rFonts w:hint="eastAsia" w:ascii="Times New Roman" w:hAnsi="Times New Roman" w:eastAsia="宋体" w:cs="Times New Roman"/>
          <w:color w:val="4B5563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×</w:t>
      </w:r>
      <w:r>
        <w:rPr>
          <w:rFonts w:hint="eastAsia" w:ascii="Times New Roman" w:hAnsi="Times New Roman" w:eastAsia="宋体" w:cs="Times New Roman"/>
          <w:color w:val="4B5563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区域）组合的测试集RMSE，柱高越低越好；深色为含天气特征组，浅色为不含天气特征组。</w:t>
      </w:r>
    </w:p>
    <w:p w14:paraId="533E67F3">
      <w:pPr>
        <w:ind w:left="0" w:leftChars="0" w:firstLine="0" w:firstLineChars="0"/>
        <w:jc w:val="center"/>
        <w:rPr>
          <w:color w:val="1F2430"/>
        </w:rPr>
      </w:pPr>
      <w:r>
        <w:rPr>
          <w:rFonts w:ascii="Times New Roman" w:hAnsi="Times New Roman" w:eastAsia="宋体" w:cs="Times New Roman"/>
          <w:sz w:val="24"/>
        </w:rPr>
        <w:drawing>
          <wp:inline distT="0" distB="0" distL="0" distR="0">
            <wp:extent cx="5274310" cy="2013585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6B9D5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图9（b）　天气特征消融：含周同期特征的新特征集下的测试集RMSE对照</w:t>
      </w:r>
    </w:p>
    <w:p w14:paraId="14B3F114">
      <w:pPr>
        <w:jc w:val="both"/>
        <w:rPr>
          <w:color w:val="4B5563"/>
        </w:r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与（a）同一消融在新增load_lag_target_week后重跑的结果；两图纵轴刻度不同，比较幅度请见表5。</w:t>
      </w:r>
    </w:p>
    <w:p w14:paraId="563457CB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作为对照，在原特征集（不含周同期）上同一消融的结果是：线性回归−23.30%/−4.24%/−34.56%，梯度提升树−23.18%/−10.54%/−5.22%，六个组合中五个下降。</w:t>
      </w:r>
    </w:p>
    <w:p w14:paraId="3118E42F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两组结果放在一起看，结论要谨慎：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天气特征的增益依赖于模型已经掌握了多少周期性信息</w:t>
      </w:r>
      <w:r>
        <w:rPr>
          <w:rFonts w:hint="eastAsia" w:ascii="Times New Roman" w:hAnsi="Times New Roman" w:eastAsia="宋体" w:cs="Times New Roman"/>
          <w:color w:val="1F2430"/>
          <w:sz w:val="24"/>
        </w:rPr>
        <w:t>。在原本的模型上，天气特征填补了缺失的周期信息，因而显得很有用（最多−34.6%）；一旦把周同期特征直接交给模型，天气带来的边际增益就大幅缩小，六个组合中三个下降（梯度提升树三个区域全部下降，−0.4% 至 −17.9%），线性回归在区域2、3反而略升（+5.1%、+1.0%）。因此本报告的结论是：天气特征确实有增益，但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在周同期特征已存在的前提下增益有限，且因区域和模型而异</w:t>
      </w:r>
      <w:r>
        <w:rPr>
          <w:rFonts w:hint="eastAsia" w:ascii="Times New Roman" w:hAnsi="Times New Roman" w:eastAsia="宋体" w:cs="Times New Roman"/>
          <w:color w:val="1F2430"/>
          <w:sz w:val="24"/>
        </w:rPr>
        <w:t>，不宜概括为"天气特征显著改善预测"。天气仅用预测起点的同步观测，实际部署时应替换为天气预报，届时增益预计进一步打折。</w:t>
      </w:r>
    </w:p>
    <w:p w14:paraId="22F6A5F5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30" w:name="section-7-6"/>
      <w:r>
        <w:rPr>
          <w:rFonts w:hint="eastAsia" w:ascii="Times New Roman" w:hAnsi="Times New Roman" w:eastAsia="黑体" w:cs="Times New Roman"/>
          <w:b/>
          <w:color w:val="1F2430"/>
          <w:sz w:val="24"/>
        </w:rPr>
        <w:t>6.6　分区域与高峰时段误差分析（图8）</w:t>
      </w:r>
      <w:bookmarkEnd w:id="30"/>
    </w:p>
    <w:p w14:paraId="6B497B66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以下分析基于6.4之后的推荐模型（含周同期特征）。消除量级差异后按nRMSE比较：线性回归为2.68%/3.10%/6.63%，梯度提升树为4.14%/4.75%/12.01%，历史同期基线为3.96%/5.81%/18.55%。区域3对三个模型都最难，与第4章的发现一致（日峰值变异系数27.7%）；线性回归在三区都是最优，且把区域3的相对误差从基线的18.55% 压到6.63%。</w:t>
      </w:r>
    </w:p>
    <w:p w14:paraId="7D0FD842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系统性偏差（bias = 预测 − 实际）方向不一：线性回归为+86/−223/−173，梯度提升树为+522/−271/+549，基线为−17/−109/+108。加入周同期特征后，此前学习模型在区域1、3的严重高估（+1020/+1670）已大幅收敛。</w:t>
      </w:r>
    </w:p>
    <w:p w14:paraId="63E864DE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高峰时段分析（阈值取训练集样本目标负荷y(t+6)的90%分位数，计算区间为训练集目标时间范围2017-01-08 01:00至2017-09-14 20:40，不含仅作历史特征来源的前7天记录，也不含验证集与测试集的任何时刻；测试样本目标负荷不低于阈值者计入高峰时段，低于阈值者计入普通时段）：区域2高峰时段梯度提升树RMSE为1736，是普通时段（826）的2.1倍，且偏差由−100转为−799——模型在高峰时段系统性低估峰值，这是对电网调度最不安全的误差方向，这一结论在特征修正后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依然成立</w:t>
      </w:r>
      <w:r>
        <w:rPr>
          <w:rFonts w:hint="eastAsia" w:ascii="Times New Roman" w:hAnsi="Times New Roman" w:eastAsia="宋体" w:cs="Times New Roman"/>
          <w:color w:val="1F2430"/>
          <w:sz w:val="24"/>
        </w:rPr>
        <w:t>。区域1测试期高峰样本仅9条、区域3为0条（测试期负荷整体下移），这两个区域的高峰表现无法从本次数据确认。</w:t>
      </w:r>
    </w:p>
    <w:p w14:paraId="65729374">
      <w:pPr>
        <w:ind w:left="0" w:leftChars="0" w:firstLine="0" w:firstLineChars="0"/>
        <w:jc w:val="center"/>
        <w:rPr>
          <w:color w:val="1F2430"/>
        </w:rPr>
      </w:pPr>
      <w:r>
        <w:rPr>
          <w:rFonts w:ascii="Times New Roman" w:hAnsi="Times New Roman" w:eastAsia="宋体" w:cs="Times New Roman"/>
          <w:sz w:val="24"/>
        </w:rPr>
        <w:drawing>
          <wp:inline distT="0" distB="0" distL="0" distR="0">
            <wp:extent cx="5274310" cy="1622425"/>
            <wp:effectExtent l="0" t="0" r="8890" b="317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FBE2D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图8（a）　分小时预测误差（测试集）</w:t>
      </w:r>
    </w:p>
    <w:p w14:paraId="607FB9E9">
      <w:pPr>
        <w:jc w:val="both"/>
        <w:rPr>
          <w:color w:val="4B5563"/>
        </w:r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按目标时刻的小时统计MAE，三个区域各一子图；基于含周同期特征的推荐模型。</w:t>
      </w:r>
    </w:p>
    <w:p w14:paraId="1F0BF956">
      <w:pPr>
        <w:ind w:left="0" w:leftChars="0" w:firstLine="0" w:firstLineChars="0"/>
        <w:jc w:val="center"/>
        <w:rPr>
          <w:color w:val="1F2430"/>
        </w:rPr>
      </w:pPr>
      <w:r>
        <w:rPr>
          <w:rFonts w:ascii="Times New Roman" w:hAnsi="Times New Roman" w:eastAsia="宋体" w:cs="Times New Roman"/>
          <w:sz w:val="24"/>
        </w:rPr>
        <w:drawing>
          <wp:inline distT="0" distB="0" distL="0" distR="0">
            <wp:extent cx="5274310" cy="1622425"/>
            <wp:effectExtent l="0" t="0" r="8890" b="317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91BFB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图8（b）　残差分布（梯度提升树）</w:t>
      </w:r>
    </w:p>
    <w:p w14:paraId="40632774">
      <w:pPr>
        <w:jc w:val="both"/>
        <w:rPr>
          <w:color w:val="4B5563"/>
        </w:r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残差 = 预测</w:t>
      </w:r>
      <w:r>
        <w:rPr>
          <w:rFonts w:hint="eastAsia" w:ascii="Times New Roman" w:hAnsi="Times New Roman" w:eastAsia="宋体" w:cs="Times New Roman"/>
          <w:color w:val="4B5563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−</w:t>
      </w:r>
      <w:r>
        <w:rPr>
          <w:rFonts w:hint="eastAsia" w:ascii="Times New Roman" w:hAnsi="Times New Roman" w:eastAsia="宋体" w:cs="Times New Roman"/>
          <w:color w:val="4B5563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实际，横轴为残差，纵轴为频数；三个区域各一子图。</w:t>
      </w:r>
    </w:p>
    <w:p w14:paraId="36ED5A9E">
      <w:pPr>
        <w:ind w:left="0" w:leftChars="0" w:firstLine="0" w:firstLineChars="0"/>
        <w:jc w:val="center"/>
        <w:rPr>
          <w:color w:val="1F2430"/>
        </w:rPr>
      </w:pPr>
      <w:r>
        <w:rPr>
          <w:rFonts w:ascii="Times New Roman" w:hAnsi="Times New Roman" w:eastAsia="宋体" w:cs="Times New Roman"/>
          <w:sz w:val="24"/>
        </w:rPr>
        <w:drawing>
          <wp:inline distT="0" distB="0" distL="0" distR="0">
            <wp:extent cx="5274310" cy="3835400"/>
            <wp:effectExtent l="0" t="0" r="889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35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A3232">
      <w:pPr>
        <w:jc w:val="center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1"/>
        </w:rPr>
        <w:t>图8（c）　残差随时间变化（梯度提升树，日平均）</w:t>
      </w:r>
    </w:p>
    <w:p w14:paraId="642476FD">
      <w:pPr>
        <w:jc w:val="both"/>
        <w:rPr>
          <w:color w:val="4B5563"/>
        </w:rPr>
        <w:sectPr>
          <w:footerReference r:id="rId16" w:type="default"/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rFonts w:hint="eastAsia" w:ascii="Times New Roman" w:hAnsi="Times New Roman" w:eastAsia="宋体" w:cs="Times New Roman"/>
          <w:b w:val="0"/>
          <w:color w:val="4B5563"/>
          <w:sz w:val="18"/>
        </w:rPr>
        <w:t>测试集残差按日取均值后按日期排列，用于检查误差是否随时间漂移。</w:t>
      </w:r>
    </w:p>
    <w:p w14:paraId="65F5A50B">
      <w:pPr>
        <w:pStyle w:val="2"/>
        <w:spacing w:before="360" w:beforeAutospacing="1" w:after="360" w:afterAutospacing="1"/>
        <w:jc w:val="left"/>
        <w:rPr>
          <w:color w:val="1F2430"/>
          <w:kern w:val="44"/>
          <w:sz w:val="44"/>
          <w:szCs w:val="44"/>
        </w:rPr>
      </w:pPr>
      <w:bookmarkStart w:id="31" w:name="section-8"/>
      <w:bookmarkStart w:id="32" w:name="_Toc14671"/>
      <w:r>
        <w:rPr>
          <w:rFonts w:hint="eastAsia" w:ascii="Times New Roman" w:hAnsi="Times New Roman" w:eastAsia="黑体" w:cs="Times New Roman"/>
          <w:b/>
          <w:color w:val="1F2430"/>
          <w:sz w:val="28"/>
        </w:rPr>
        <w:t>7　总结与结论</w:t>
      </w:r>
      <w:bookmarkEnd w:id="31"/>
      <w:bookmarkEnd w:id="32"/>
    </w:p>
    <w:p w14:paraId="1BC98EBC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33" w:name="section-8-1"/>
      <w:r>
        <w:rPr>
          <w:rFonts w:hint="eastAsia" w:ascii="Times New Roman" w:hAnsi="Times New Roman" w:eastAsia="黑体" w:cs="Times New Roman"/>
          <w:b/>
          <w:color w:val="1F2430"/>
          <w:sz w:val="24"/>
        </w:rPr>
        <w:t>7.1　主要发现</w:t>
      </w:r>
      <w:bookmarkEnd w:id="33"/>
    </w:p>
    <w:p w14:paraId="1E757FD1">
      <w:pPr>
        <w:jc w:val="both"/>
        <w:rPr>
          <w:b/>
          <w:color w:val="1F2430"/>
        </w:rPr>
      </w:pPr>
      <w:r>
        <w:rPr>
          <w:rFonts w:ascii="Times New Roman" w:hAnsi="Times New Roman" w:eastAsia="宋体" w:cs="Times New Roman"/>
          <w:color w:val="1F2430"/>
          <w:sz w:val="24"/>
        </w:rPr>
        <w:t xml:space="preserve">1. 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"学习模型不敌基线"是特征口径问题，不是模型问题。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在原始特征集下基线最优（合并MAE/RMSE 1050.68/1643.67），但基线用的y(t−1002) 与学习模型手里的y(t−1008) 并不同源。补上目标时刻对齐的周同期特征后，线性回归降至514.09/767.16（−51.1%/−53.3%）、梯度提升树降至930.62/1258.73（−11.4%/−23.4%），两个学习模型全面反超基线。这是本项目最重要的一条结论：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做模型比较前必须先确认基线和学习模型拿到的信息是否同源。</w:t>
      </w:r>
    </w:p>
    <w:p w14:paraId="1CB52D46">
      <w:pPr>
        <w:jc w:val="both"/>
        <w:rPr>
          <w:color w:val="1F2430"/>
        </w:rPr>
      </w:pPr>
      <w:r>
        <w:rPr>
          <w:rFonts w:ascii="Times New Roman" w:hAnsi="Times New Roman" w:eastAsia="宋体" w:cs="Times New Roman"/>
          <w:color w:val="1F2430"/>
          <w:sz w:val="24"/>
        </w:rPr>
        <w:t xml:space="preserve">2. 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三个区域的预测难度差异主要来自数据本身。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改进后区域3的nRMSE仍最高（线性回归6.63%，基线18.55%），与其日峰值变异系数27.7% 一致；区域间比较必须使用相对指标。</w:t>
      </w:r>
    </w:p>
    <w:p w14:paraId="6D96A0AE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3. 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天气特征的增益依赖模型已掌握多少周期信息。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原特征集上5/6组合下降（最多 −34.6%），补上周同期特征后仅3/6下降（梯度提升树三区全降 −0.4% 至 −17.9%，线性回归在区域2、3略升）。不宜概括为"天气特征显著改善预测"。</w:t>
      </w:r>
    </w:p>
    <w:p w14:paraId="469F33A3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4. 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高峰时段更难预测且方向不利。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区域2高峰误差为普通时段2.1倍，且系统性低估峰值（bias由 −100转为 −799），这一结论在特征修正后依然成立；区域1、3因样本不足无法确认。</w:t>
      </w:r>
    </w:p>
    <w:p w14:paraId="648CDAF1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34" w:name="section-8-2"/>
      <w:r>
        <w:rPr>
          <w:rFonts w:hint="eastAsia" w:ascii="Times New Roman" w:hAnsi="Times New Roman" w:eastAsia="黑体" w:cs="Times New Roman"/>
          <w:b/>
          <w:color w:val="1F2430"/>
          <w:sz w:val="24"/>
        </w:rPr>
        <w:t>7.2　对电网调度的建议</w:t>
      </w:r>
      <w:bookmarkEnd w:id="34"/>
    </w:p>
    <w:p w14:paraId="0AB82A84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小时级调度优先使用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带目标对齐周同期特征的线性回归</w:t>
      </w:r>
      <w:r>
        <w:rPr>
          <w:rFonts w:hint="eastAsia" w:ascii="Times New Roman" w:hAnsi="Times New Roman" w:eastAsia="宋体" w:cs="Times New Roman"/>
          <w:color w:val="1F2430"/>
          <w:sz w:val="24"/>
        </w:rPr>
        <w:t>：测试集三区合并MAE/RMSE最低，且三区nRMSE均为三者最小； - 历史同期基线可作为无训练、无维护成本的兜底方案，但精度比改进后的线性模型低一半以上； - 高峰时段（按训练集九十分位阈值划分，实测集中在17–22时）模型倾向低估，调度裕度应向高估方向留，尤其区域2； - 区域3波动最大、预测最难，建议单独监控并保留更大备用容量； - 引入天气预报替换同步观测时收益有限，建议先把周同期特征与实时负荷接入做扎实，再评估天气投入。</w:t>
      </w:r>
    </w:p>
    <w:p w14:paraId="5643D10F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35" w:name="section-8-3"/>
      <w:r>
        <w:rPr>
          <w:rFonts w:hint="eastAsia" w:ascii="Times New Roman" w:hAnsi="Times New Roman" w:eastAsia="黑体" w:cs="Times New Roman"/>
          <w:b/>
          <w:color w:val="1F2430"/>
          <w:sz w:val="24"/>
        </w:rPr>
        <w:t>7.3　局限</w:t>
      </w:r>
      <w:bookmarkEnd w:id="35"/>
    </w:p>
    <w:p w14:paraId="02B814C1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本数据仅覆盖一个城市、一年（364天，缺12月31日），以下结论不能外推：跨城市、跨年度的一般规律；跨年度季节性断言（区域3的9–12月下滑含趋势成分，无法与季节性分离）；采暖季模型有效性（未观察到低温U形回升）；节假日与极端天气下的表现（样本极少）。全部对比仅报数值与相对变化，未做显著性检验，不使用"显著"一类措辞。</w:t>
      </w:r>
    </w:p>
    <w:p w14:paraId="6B00DD98">
      <w:pPr>
        <w:jc w:val="both"/>
        <w:rPr>
          <w:color w:val="1F2430"/>
        </w:rPr>
        <w:sectPr>
          <w:footerReference r:id="rId17" w:type="default"/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rFonts w:hint="eastAsia" w:ascii="Times New Roman" w:hAnsi="Times New Roman" w:eastAsia="宋体" w:cs="Times New Roman"/>
          <w:color w:val="1F2430"/>
          <w:sz w:val="24"/>
        </w:rPr>
        <w:t>另有两点方法上的限定需要说明。其一，6.4的大幅改善高度依赖日周周期的稳定性（97% 以上的日子峰值落在18–21时），在作息规律较弱或负荷波动更剧烈的场景下，周同期特征的增益预计会小于本数据的观测值。其二，y(t−1002) 与天气特征一样，取的是预测起点时的</w:t>
      </w:r>
      <w:r>
        <w:rPr>
          <w:rFonts w:hint="eastAsia" w:ascii="Times New Roman" w:hAnsi="Times New Roman" w:eastAsia="宋体" w:cs="Times New Roman"/>
          <w:b/>
          <w:color w:val="1F2430"/>
          <w:sz w:val="24"/>
        </w:rPr>
        <w:t>历史</w:t>
      </w:r>
      <w:r>
        <w:rPr>
          <w:rFonts w:hint="eastAsia" w:ascii="Times New Roman" w:hAnsi="Times New Roman" w:eastAsia="宋体" w:cs="Times New Roman"/>
          <w:color w:val="1F2430"/>
          <w:sz w:val="24"/>
        </w:rPr>
        <w:t>观测，不构成未来信息；实际部署时它与基线所需的数据完全相同，因此不额外增加获取成本，但如果当日存在检修、节假日等已知的日程突变，两个模型都会失效，需要另行加入日程特征。每条结论的证据与图表对应关系见docs/results_conclusions.md的对照表。</w:t>
      </w:r>
    </w:p>
    <w:p w14:paraId="1B41F3E1">
      <w:pPr>
        <w:pStyle w:val="2"/>
        <w:spacing w:before="360" w:beforeAutospacing="1" w:after="360" w:afterAutospacing="1"/>
        <w:jc w:val="left"/>
        <w:rPr>
          <w:color w:val="1F2430"/>
          <w:kern w:val="44"/>
          <w:sz w:val="44"/>
          <w:szCs w:val="44"/>
        </w:rPr>
      </w:pPr>
      <w:bookmarkStart w:id="36" w:name="section-9"/>
      <w:bookmarkStart w:id="37" w:name="_Toc14928"/>
      <w:r>
        <w:rPr>
          <w:rFonts w:hint="eastAsia" w:ascii="Times New Roman" w:hAnsi="Times New Roman" w:eastAsia="黑体" w:cs="Times New Roman"/>
          <w:b/>
          <w:color w:val="1F2430"/>
          <w:sz w:val="28"/>
        </w:rPr>
        <w:t>8　小组成员分工与个人承担</w:t>
      </w:r>
      <w:bookmarkEnd w:id="36"/>
      <w:bookmarkEnd w:id="37"/>
    </w:p>
    <w:p w14:paraId="4C35B942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38" w:name="section-9-1"/>
      <w:r>
        <w:rPr>
          <w:rFonts w:hint="eastAsia" w:ascii="Times New Roman" w:hAnsi="Times New Roman" w:eastAsia="黑体" w:cs="Times New Roman"/>
          <w:b/>
          <w:color w:val="1F2430"/>
          <w:sz w:val="24"/>
        </w:rPr>
        <w:t>8.1　分工表</w:t>
      </w:r>
      <w:bookmarkEnd w:id="38"/>
    </w:p>
    <w:tbl>
      <w:tblPr>
        <w:tblStyle w:val="17"/>
        <w:tblW w:w="8306" w:type="dxa"/>
        <w:tblInd w:w="140" w:type="dxa"/>
        <w:shd w:val="clear" w:color="1F2430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01"/>
        <w:gridCol w:w="1240"/>
        <w:gridCol w:w="2154"/>
        <w:gridCol w:w="4011"/>
      </w:tblGrid>
      <w:tr w14:paraId="07E0E735">
        <w:tblPrEx>
          <w:shd w:val="clear" w:color="1F2430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04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10ED7F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成员</w:t>
            </w:r>
          </w:p>
        </w:tc>
        <w:tc>
          <w:tcPr>
            <w:tcW w:w="1206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73F6C7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学号</w:t>
            </w:r>
          </w:p>
        </w:tc>
        <w:tc>
          <w:tcPr>
            <w:tcW w:w="2163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CF21BB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承担章节/模块</w:t>
            </w:r>
          </w:p>
        </w:tc>
        <w:tc>
          <w:tcPr>
            <w:tcW w:w="4033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4E0349">
            <w:pPr>
              <w:spacing w:line="240" w:lineRule="auto"/>
              <w:ind w:firstLine="0" w:firstLineChars="0"/>
              <w:jc w:val="center"/>
              <w:rPr>
                <w:b/>
                <w:bCs/>
                <w:color w:val="000000" w:themeColor="dark1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color w:val="000000" w:themeColor="dark1"/>
                <w:sz w:val="24"/>
                <w14:textFill>
                  <w14:solidFill>
                    <w14:schemeClr w14:val="dk1"/>
                  </w14:solidFill>
                </w14:textFill>
              </w:rPr>
              <w:t>具体工作内容</w:t>
            </w:r>
          </w:p>
        </w:tc>
      </w:tr>
      <w:tr w14:paraId="6C5D613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04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128E14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郑宜桥</w:t>
            </w:r>
          </w:p>
        </w:tc>
        <w:tc>
          <w:tcPr>
            <w:tcW w:w="1206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E18D74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25121628</w:t>
            </w:r>
          </w:p>
        </w:tc>
        <w:tc>
          <w:tcPr>
            <w:tcW w:w="2163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FC5C1B">
            <w:pPr>
              <w:spacing w:line="240" w:lineRule="auto"/>
              <w:ind w:firstLine="0" w:firstLineChars="0"/>
              <w:jc w:val="left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第2、3、4、5章；数据模块</w:t>
            </w:r>
          </w:p>
        </w:tc>
        <w:tc>
          <w:tcPr>
            <w:tcW w:w="4033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663DCC">
            <w:pPr>
              <w:spacing w:line="240" w:lineRule="auto"/>
              <w:ind w:firstLine="0" w:firstLineChars="0"/>
              <w:jc w:val="left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数据审计、清洗与接口定义、日/周/季节规律分析、天气与负荷关系分析、表1与表2</w:t>
            </w:r>
          </w:p>
        </w:tc>
      </w:tr>
      <w:tr w14:paraId="35EAF88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0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68992F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况子昱</w:t>
            </w:r>
          </w:p>
        </w:tc>
        <w:tc>
          <w:tcPr>
            <w:tcW w:w="1206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C97E1C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25121631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F7D070">
            <w:pPr>
              <w:spacing w:line="240" w:lineRule="auto"/>
              <w:ind w:firstLine="0" w:firstLineChars="0"/>
              <w:jc w:val="left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第6章；模型模块</w:t>
            </w:r>
          </w:p>
        </w:tc>
        <w:tc>
          <w:tcPr>
            <w:tcW w:w="403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04317A">
            <w:pPr>
              <w:spacing w:line="240" w:lineRule="auto"/>
              <w:ind w:firstLine="0" w:firstLineChars="0"/>
              <w:jc w:val="left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预测协议、时间切分与特征、基线与梯度提升模型、模型比较与交付检查</w:t>
            </w:r>
          </w:p>
        </w:tc>
      </w:tr>
      <w:tr w14:paraId="204A254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04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4D1967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徐启翔</w:t>
            </w:r>
          </w:p>
        </w:tc>
        <w:tc>
          <w:tcPr>
            <w:tcW w:w="1206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D44D66">
            <w:pPr>
              <w:spacing w:line="240" w:lineRule="auto"/>
              <w:ind w:firstLine="0" w:firstLineChars="0"/>
              <w:jc w:val="center"/>
              <w:rPr>
                <w:color w:val="08090C"/>
              </w:rPr>
            </w:pPr>
            <w:r>
              <w:rPr>
                <w:rFonts w:ascii="Times New Roman" w:hAnsi="Times New Roman" w:eastAsia="宋体" w:cs="Times New Roman"/>
                <w:color w:val="08090C"/>
                <w:sz w:val="24"/>
              </w:rPr>
              <w:t>25121632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AA18C0">
            <w:pPr>
              <w:spacing w:line="240" w:lineRule="auto"/>
              <w:ind w:firstLine="0" w:firstLineChars="0"/>
              <w:jc w:val="left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摘要、第1、7章；消融与误差分析</w:t>
            </w:r>
          </w:p>
        </w:tc>
        <w:tc>
          <w:tcPr>
            <w:tcW w:w="4033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84374C">
            <w:pPr>
              <w:spacing w:line="240" w:lineRule="auto"/>
              <w:ind w:firstLine="0" w:firstLineChars="0"/>
              <w:jc w:val="left"/>
              <w:rPr>
                <w:color w:val="08090C"/>
              </w:rPr>
            </w:pPr>
            <w:r>
              <w:rPr>
                <w:rFonts w:hint="eastAsia" w:ascii="Times New Roman" w:hAnsi="Times New Roman" w:eastAsia="宋体" w:cs="Times New Roman"/>
                <w:color w:val="08090C"/>
                <w:sz w:val="24"/>
              </w:rPr>
              <w:t>报告框架与整合、天气特征消融、分区域与高峰时段误差分析、汇报材料</w:t>
            </w:r>
          </w:p>
        </w:tc>
      </w:tr>
    </w:tbl>
    <w:p w14:paraId="5784868E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39" w:name="section-9-2"/>
      <w:r>
        <w:rPr>
          <w:rFonts w:hint="eastAsia" w:ascii="Times New Roman" w:hAnsi="Times New Roman" w:eastAsia="黑体" w:cs="Times New Roman"/>
          <w:b/>
          <w:color w:val="1F2430"/>
          <w:sz w:val="24"/>
        </w:rPr>
        <w:t>8.2　个人承担说明</w:t>
      </w:r>
      <w:bookmarkEnd w:id="39"/>
    </w:p>
    <w:p w14:paraId="122AE229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郑宜桥（成员A）</w:t>
      </w:r>
    </w:p>
    <w:p w14:paraId="1232F9F1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承担部分。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第2章数据介绍、第3章数据清洗与预处理、第4章负荷时序规律、第5章天气与负荷关系，以及对应的代码：数据审计、清洗模块、时序分析、天气分析、报告表格生成。代码提交对应仓库中的A1至A4与表格、报告两次提交。</w:t>
      </w:r>
    </w:p>
    <w:p w14:paraId="48AB4B1F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分析思路。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动手前先把数据摸清楚，再决定怎么处理。原始数据给到时只有字段名，没有说明文档，时间特性、量级范围、字段之间是否对齐都不确定。如果跳过审计直接写清洗规则，很容易按经验拍脑袋，比如想当然地补缺失值、按固定阈值裁掉高峰。所以我把顺序定为：先出一份质量报告，把行数、时间范围、采样间隔、缺失重复、各字段分布都摊开；再依据报告确定清洗规则；清洗结果定型后才做分析。分析也按同一逻辑推进，先看时间维度上的规律，再看气象因素，因为时间规律是负荷自身最稳定的结构，不先确定它，讨论天气影响就没有基准。</w:t>
      </w:r>
    </w:p>
    <w:p w14:paraId="6E6DC36B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方法与步骤。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审计阶段逐项检查了字段类型与缺失、时间戳解析与重复、采样间隔是否一致、负荷与气象字段的极值与分布，并用四分位距标出极端点。清洗阶段统一列名为小写下划线形式，把时间列解析为标准时间类型，数值列强制转换并记录失败数，完全重复行删除，同一时间戳对应不同数值的情况默认报错而不是静默取值。异常点单独写入一个标记文件，主数据保持原值。分析阶段按小时、星期、月份分组求均值，画日内曲线、周内柱状图、月度箱线图；天气部分计算Pearson与Spearman两种相关系数，并对温度按1 ℃ 分箱求负荷均值。报告中的表格由脚本从数据直接生成，不手工填写。</w:t>
      </w:r>
    </w:p>
    <w:p w14:paraId="03EED3F0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遇到的问题与解决。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有三个。</w:t>
      </w:r>
    </w:p>
    <w:p w14:paraId="7C455F99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一是列名里藏了连续两个空格。区域2和区域3的字段名中间是两个空格，写代码时按字符串取列一直报错，肉眼又看不出来。后来改成先把所有列名规范化（折叠连续空白、去首尾空格、转小写），再用映射表对应到统一列名，问题才解决。这件事让我在清洗模块里加了一道检查：规整后如果出现重名列就直接报错，避免静默覆盖。</w:t>
      </w:r>
    </w:p>
    <w:p w14:paraId="0C716061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二是异常值该不该删。按四分位距标记出1,708个极端点，其中漫射辐射一项占了1,690个。最初的直觉是删掉，但把这些点按小时和月份汇总后发现，它们集中在上午9点到下午4点、以及2月和5月，正是日照最强的时段。漫射辐射本身受太阳高度角控制，用全年分布去衡量，晴天正午的数据自然被判为离群。这类点是物理规律，不是录入错误。另一批极端点在区域3的7月19时至20时，对应夏季晚高峰，更是不能删。最后决定只标记不删除，把判断依据写进报告第3章。</w:t>
      </w:r>
    </w:p>
    <w:p w14:paraId="748B1D03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三是三个区域量级差得太多。区域1的日均负荷是区域3的1.8倍，画在同一张图里，区域3的曲线形状被压平，看不出细节。分开画又带来新问题：三个子图的纵轴范围不一样，读者容易误以为可以直接比较幅度。最后的处理是子图各自独立纵轴、保留形状差异，同时在报告里单独做一张分区特征汇总表，把峰谷比、周末效应、夏冬比等比值列出来，跨区域比较一律走这张表，图注里也写明纵轴不统一。</w:t>
      </w:r>
    </w:p>
    <w:p w14:paraId="17E4E9A3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不足。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原始数据没有标注负荷与气象变量的单位，报告里所有跨区域比较只能使用比值，绝对量级的讨论无法展开。另外，区域3从9月到12月的连续下滑，既可能是季节性，也可能是全年负荷水平的整体下移。数据只有一个年度周期，这两类成分在现有数据上分不开，我在报告中如实写明“无法分离”，没有做季节性归因。如果后续能拿到多年数据，用同月对比或去趋势处理可以进一步区分。</w:t>
      </w:r>
    </w:p>
    <w:p w14:paraId="43E3DB45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况子昱（成员B）</w:t>
      </w:r>
    </w:p>
    <w:p w14:paraId="175FC3BB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承担部分。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第6章的预测协议与模型模块：时间切分、特征构造、历史同期基线、线性回归与梯度提升树、统一比较入口，以及配套的自动化检查。代码对应B1至B6六次提交。</w:t>
      </w:r>
    </w:p>
    <w:p w14:paraId="4FE4925B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分析思路。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预测任务最怕的不是模型差，而是把未来的信息喂给了模型，得出一个好看但没用的数字。所以动手写模型之前，先把协议定下来：目标定在起点之后1小时，数据按时间顺序切，特征只能取起点及更早的观测，验证集用来选参数、测试集只在最后评一次。协议写进文档后，后续每一步都拿它对照，包括后来成员C的消融和误差分析也复用同一套切分和特征接口，不另起炉灶。</w:t>
      </w:r>
    </w:p>
    <w:p w14:paraId="0ECF9A75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方法与步骤。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先按70%/15%/15% 按时间切出训练、验证、测试三段，边界固定在2017-09-14 20:40与11-07 09:40；再实现特征构造的开关，历史负荷、时间编码、天气三组可分别开关，供后面消融使用；然后依次实现基线、线性回归、梯度提升树，统一训练与预测接口，最后用一个入口脚本重跑三模型并输出比较表与图7。检查部分写成可执行的测试：三模型测试区间是否完全一致、特征索引是否越界、预测文件字段是否合规、指标能否从预测文件复算出来。</w:t>
      </w:r>
    </w:p>
    <w:p w14:paraId="4D653579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遇到的问题与解决。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有三个。</w:t>
      </w:r>
    </w:p>
    <w:p w14:paraId="3EC13AEC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一是基线的索引差一位。历史同期基线看似简单，但目标时刻是t+6，"上一周同期"应该是y(t+6−1008) 也就是y(t−1002)，不是y(t−1008)。写错一位就变成了错开一小时的比较，指标会虚高。最后是靠测试逐值比对清洗数据才确认下来的。</w:t>
      </w:r>
    </w:p>
    <w:p w14:paraId="15FE5304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二是梯度提升树跑得太慢。经典实现单区域训练要40到108秒，参数网格一铺开就不可接受了。换成同一库的直方图版本后降到0.5到3.5秒，快了约30倍，算法族没有变，这一决策按协议里的备选条款执行并记进了实验日志。</w:t>
      </w:r>
    </w:p>
    <w:p w14:paraId="58C38DC7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三是交付前发现成员C机器上的梯度提升树结果与本机对不上，相对差异在0.3% 到3.1% 之间。逐层排查后排除了数据、切分和参数，确认是scikit-learn版本不同导致的数值微差，线性回归和其他结构性指标全部逐值一致。这件事没有掩盖，写进了交付报告，并建议全组锁定版本。</w:t>
      </w:r>
    </w:p>
    <w:p w14:paraId="6122F683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不足。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数据没有天气预报字段，起点的天气只能用同步观测代替，这是所有天气特征结论的前提，报告里必须写明。另外候选扩展特征（半小时滞后、24小时滚动均值等）已经实现但默认关闭，没有进入主实验。</w:t>
      </w:r>
    </w:p>
    <w:p w14:paraId="1557FD06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徐启翔（成员C）</w:t>
      </w:r>
    </w:p>
    <w:p w14:paraId="6B928533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承担部分。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摘要、第1章引言、第7章结论，第6.4节的归因实验、第6.5节的天气特征消融、第6.6节的分区域与高峰时段误差分析，以及报告框架、实验记录规范和最后的整合定稿。代码对应 `src/ablation.py`、`src/error_analysis.py` 与 `src/probe_target_week.py`，提交为C1至C5。</w:t>
      </w:r>
    </w:p>
    <w:p w14:paraId="6F0CF44E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分析思路。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三个人各写各的，最后要并到一份报告里，最怕的是口径对不上。所以第一件事不是跑实验，而是先把框架和记录规范立下来：章节怎么分、图表编号怎么排、每次实验要登记哪些字段。这样后面每个人产出的数字都能追溯到某一条日志记录，整合时不需要再猜。做消融和误差分析时同样先定规则再动手：消融只改一个开关，其余完全不动；误差分析不另建测试集，直接读成员B已经生成的预测文件；高峰阈值只在训练集上取，不在测试集上挑。</w:t>
      </w:r>
    </w:p>
    <w:p w14:paraId="5F053B10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方法与步骤。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>C1阶段先读课程模板确认章节要求，据此排出章节分工表和图表清单，并建立实验日志模板。C2阶段做天气消融：沿用成员B的特征接口，只切换天气开关，两个模型分别跑含天气与不含天气两组，梯度提升树直接读取已选定的配置以保证可比。C3阶段做误差分析：先按区域算总体指标和相对指标，再按小时、星期、月份拆解，最后单独看高峰时段，阈值取训练集样本目标负荷的九十分位。C4阶段把结论一条条对应到具体证据和图表上，写不出来的就不写。C5阶段把各章并成完整稿并统一数字口径。</w:t>
      </w:r>
    </w:p>
    <w:p w14:paraId="66B7AFD9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遇到的问题与解决。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有四个。</w:t>
      </w:r>
    </w:p>
    <w:p w14:paraId="2FE20C46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一是消融结果与主实验对不上。梯度提升树带天气那一组的指标和成员B的主实验有0.3% 到3.1% 的相对差异。查下来是我本机scikit-learn版本与成员B的1.6.1不同，直方图实现有数值微差。线性回归、样本区间、样本量全部逐值一致，说明不是流程问题。处理方式是先在实验日志里注明版本差异并如实写进结论，随后全组在 `requirements.txt` 中锁定 `scikit-learn==1.6.1` 并重跑，偏差已消除，消融带天气组与主实验逐值一致。</w:t>
      </w:r>
    </w:p>
    <w:p w14:paraId="0DFD9740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二是高峰时段样本量不够。阈值按训练集样本目标负荷的九十分位取（计算区间为训练集目标时间范围，不含前7天的特征历史段），结果到了测试期，区域1只剩9条高峰样本，区域3一条都没有，原因是测试期负荷整体下移。这两个区域的高峰表现确实无法从本次数据确认，我没有拿区域2的数字去外推，而是在报告里明确写成"无法确认"。</w:t>
      </w:r>
    </w:p>
    <w:p w14:paraId="54A0201B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三是图里的减号显示成方框。残差分布图的坐标轴标签用了Unicode减号，黑体字库不支持，导出后是一个个小方块。换成ASCII减号后重新生成了三张图。</w:t>
      </w:r>
    </w:p>
    <w:p w14:paraId="1DFC8BF2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四是自己写错了一处结论。第6.3节初稿写"只有线性回归在区域3的RMSE优于基线"，核对 `improvement_vs_naive.csv` 后发现MAE同样占优（−2.69%），改成"两项指标同时占优"。这类错如果不逐列核对源文件是发现不了的，所以整合阶段我把报告里每个数字都回查了一遍原始结果文件。</w:t>
      </w:r>
    </w:p>
    <w:p w14:paraId="7C91781C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不足。</w:t>
      </w:r>
      <w:r>
        <w:rPr>
          <w:rFonts w:hint="eastAsia" w:ascii="Times New Roman" w:hAnsi="Times New Roman" w:eastAsia="宋体" w:cs="Times New Roman"/>
          <w:color w:val="1F2430"/>
          <w:sz w:val="24"/>
        </w:rPr>
        <w:t xml:space="preserve"> 版本统一后消融与误差分析都在新特征集上重做了一遍，但仍有两处留白：高峰时段结论只有区域2有足够样本支撑，区域1和区域3留白；误差分析只做到分层描述，没有进一步建模归因，误差与温度、负荷水平之间的定量关系还可以再做。另外时间特征目前取预测起点的小时、星期、月份，若改取目标时刻的对应值是否更合适，本次没有试验。</w:t>
      </w:r>
    </w:p>
    <w:p w14:paraId="73B9C906">
      <w:pPr>
        <w:jc w:val="both"/>
        <w:rPr>
          <w:color w:val="1F2430"/>
        </w:rPr>
        <w:sectPr>
          <w:footerReference r:id="rId18" w:type="default"/>
          <w:pgSz w:w="11906" w:h="16838"/>
          <w:pgMar w:top="1383" w:right="1689" w:bottom="1383" w:left="1689" w:header="851" w:footer="992" w:gutter="0"/>
          <w:cols w:space="720" w:num="1"/>
        </w:sectPr>
      </w:pPr>
      <w:r>
        <w:rPr>
          <w:rFonts w:ascii="Times New Roman" w:hAnsi="Times New Roman" w:eastAsia="宋体" w:cs="Times New Roman"/>
          <w:color w:val="1F2430"/>
          <w:sz w:val="24"/>
        </w:rPr>
        <w:t>---</w:t>
      </w:r>
    </w:p>
    <w:p w14:paraId="3961D8F3">
      <w:pPr>
        <w:pStyle w:val="2"/>
        <w:spacing w:before="360" w:beforeAutospacing="1" w:after="360" w:afterAutospacing="1"/>
        <w:jc w:val="left"/>
        <w:rPr>
          <w:color w:val="1F2430"/>
          <w:kern w:val="44"/>
          <w:sz w:val="44"/>
          <w:szCs w:val="44"/>
        </w:rPr>
      </w:pPr>
      <w:bookmarkStart w:id="40" w:name="section-10"/>
      <w:bookmarkStart w:id="41" w:name="_Toc28244"/>
      <w:r>
        <w:rPr>
          <w:rFonts w:hint="eastAsia" w:ascii="Times New Roman" w:hAnsi="Times New Roman" w:eastAsia="黑体" w:cs="Times New Roman"/>
          <w:b/>
          <w:color w:val="1F2430"/>
          <w:sz w:val="28"/>
        </w:rPr>
        <w:t>9　附录</w:t>
      </w:r>
      <w:bookmarkEnd w:id="40"/>
      <w:bookmarkEnd w:id="41"/>
    </w:p>
    <w:p w14:paraId="79CCC029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42" w:name="section-10-1"/>
      <w:r>
        <w:rPr>
          <w:rFonts w:hint="eastAsia" w:ascii="Times New Roman" w:hAnsi="Times New Roman" w:eastAsia="黑体" w:cs="Times New Roman"/>
          <w:b/>
          <w:color w:val="1F2430"/>
          <w:sz w:val="24"/>
        </w:rPr>
        <w:t>附录A　代码仓库</w:t>
      </w:r>
      <w:bookmarkEnd w:id="42"/>
    </w:p>
    <w:p w14:paraId="3EF4D596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GitHub仓库：https://github.com/77xiang/python_data_processing</w:t>
      </w:r>
    </w:p>
    <w:p w14:paraId="51B2BC86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代码结构：src/data_cleaning.py（清洗）→ src/features.py、src/splits.py（特征与切分）→ src/models.py、src/evaluate.py、src/compare.py（模型与比较）→ src/ablation.py（消融）→ src/error_analysis.py（误差分析）→ src/probe_target_week.py（归因实验）；分析图表分别由src/eda.py、src/weather_analysis.py生成。</w:t>
      </w:r>
    </w:p>
    <w:p w14:paraId="50F74322">
      <w:pPr>
        <w:pStyle w:val="3"/>
        <w:spacing w:before="280" w:beforeAutospacing="1" w:after="280" w:afterAutospacing="1"/>
        <w:jc w:val="left"/>
        <w:rPr>
          <w:color w:val="1F2430"/>
          <w:szCs w:val="32"/>
        </w:rPr>
      </w:pPr>
      <w:bookmarkStart w:id="43" w:name="section-10-2"/>
      <w:r>
        <w:rPr>
          <w:rFonts w:hint="eastAsia" w:ascii="Times New Roman" w:hAnsi="Times New Roman" w:eastAsia="黑体" w:cs="Times New Roman"/>
          <w:b/>
          <w:color w:val="1F2430"/>
          <w:sz w:val="24"/>
        </w:rPr>
        <w:t>附录B　复现说明</w:t>
      </w:r>
      <w:bookmarkEnd w:id="43"/>
    </w:p>
    <w:p w14:paraId="38D7631E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1. 将原始数据放至data/raw/题4_城市电力负荷.csv（原始数据不入库）；2. 依赖见requirements.txt，其中scikit-learn==1.6.1必须锁定（梯度提升树数值随版本漂移，实测1.6.1与1.9.1之间相差0.3%–3.1%）；3. python src/compare.py完整重跑三模型并生成表3、图7；4. python src/probe_target_week.py复现表4（目标对齐周特征对照）并写出改进模型的测试集预测；5. python src/ablation.py --target-week复现表5（新特征集上的天气消融），python src/ablation.py复现原特征集消融；6. python src/error_analysis.py --tag _tw复现图8与误差分析（默认无 --tag时分析原模型）；7. 自动化检查：tests/（切分与特征索引含purge检查、模型对齐、交付核对共20项）。</w:t>
      </w:r>
    </w:p>
    <w:p w14:paraId="006076FD">
      <w:pPr>
        <w:pStyle w:val="3"/>
        <w:spacing w:before="280" w:beforeAutospacing="1" w:after="280" w:afterAutospacing="1"/>
        <w:jc w:val="left"/>
        <w:rPr>
          <w:rFonts w:hint="eastAsia" w:ascii="Times New Roman" w:hAnsi="Times New Roman" w:eastAsia="黑体" w:cs="Times New Roman"/>
          <w:b/>
          <w:color w:val="1F2430"/>
          <w:sz w:val="24"/>
        </w:rPr>
      </w:pPr>
      <w:bookmarkStart w:id="44" w:name="section-10-3"/>
      <w:r>
        <w:rPr>
          <w:rFonts w:hint="eastAsia" w:ascii="Times New Roman" w:hAnsi="Times New Roman" w:eastAsia="黑体" w:cs="Times New Roman"/>
          <w:b/>
          <w:color w:val="1F2430"/>
          <w:sz w:val="24"/>
        </w:rPr>
        <w:t>附录C　主要代码片段</w:t>
      </w:r>
      <w:bookmarkEnd w:id="44"/>
    </w:p>
    <w:p w14:paraId="03A04F85">
      <w:pPr>
        <w:jc w:val="both"/>
        <w:rPr>
          <w:color w:val="1F2430"/>
        </w:rPr>
      </w:pPr>
      <w:r>
        <w:rPr>
          <w:rFonts w:hint="eastAsia" w:ascii="Times New Roman" w:hAnsi="Times New Roman" w:eastAsia="宋体" w:cs="Times New Roman"/>
          <w:color w:val="1F2430"/>
          <w:sz w:val="24"/>
        </w:rPr>
        <w:t>以下为与本文结论直接相关的三段核心代码，完整实现见仓库对应文件。</w:t>
      </w:r>
    </w:p>
    <w:p w14:paraId="0AFB3A3A">
      <w:pPr>
        <w:numPr>
          <w:ilvl w:val="0"/>
          <w:numId w:val="1"/>
        </w:numPr>
        <w:jc w:val="both"/>
        <w:rPr>
          <w:rFonts w:hint="eastAsia" w:ascii="Times New Roman" w:hAnsi="Times New Roman" w:eastAsia="宋体" w:cs="Times New Roman"/>
          <w:color w:val="1F2430"/>
          <w:sz w:val="24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历史同期基线</w:t>
      </w:r>
      <w:r>
        <w:rPr>
          <w:rFonts w:hint="eastAsia" w:ascii="Times New Roman" w:hAnsi="Times New Roman" w:eastAsia="宋体" w:cs="Times New Roman"/>
          <w:color w:val="1F2430"/>
          <w:sz w:val="24"/>
        </w:rPr>
        <w:t>（src/models.py）：直接取目标时刻的上一周同期值，NAIVE_LAG = 1008 − 6 = 1002。</w:t>
      </w:r>
    </w:p>
    <w:tbl>
      <w:tblPr>
        <w:tblW w:w="0" w:type="auto"/>
        <w:tblInd w:w="15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B37FCB" w14:paraId="20EF2100" w14:textId="77777777">
        <w:tc>
          <w:tcPr>
            <w:tcW w:w="8306" w:type="dxa"/>
            <w:tcBorders>
              <w:top w:val="single" w:sz="6" w:space="0" w:color="E2E6EC"/>
              <w:left w:val="single" w:sz="6" w:space="0" w:color="E2E6EC"/>
              <w:bottom w:val="single" w:sz="6" w:space="0" w:color="E2E6EC"/>
              <w:right w:val="single" w:sz="6" w:space="0" w:color="E2E6EC"/>
            </w:tcBorders>
            <w:shd w:val="clear" w:color="auto" w:fill="F5F7FA"/>
            <w:vAlign w:val="center"/>
          </w:tcPr>
          <w:p w14:paraId="728CDC5F" w14:textId="77777777" w:rsidR="00B37FCB" w:rsidRDefault="00233623">
            <w:pPr>
              <w:ind w:firstLine="400"/>
              <w:rPr>
                <w:color w:val="1F2430"/>
              </w:rPr>
            </w:pPr>
            <w:r>
              <w:rPr>
                <w:rFonts w:ascii="Courier New" w:eastAsia="Courier New" w:hAnsi="Courier New" w:cs="Courier New" w:hint="eastAsia"/>
                <w:color w:val="1F2430"/>
                <w:sz w:val="20"/>
              </w:rPr>
              <w:t xml:space="preserve">def seasonal_naive_predict(load, origins):    """load: 负荷序列；origins: 预测起点行索引（协议保证 ≥ 1008）。"""    origins = np.asarray(origins, dtype=int)    if (origins - NAIVE_LAG).min() &lt; </w:t>
            </w:r>
            <w:r>
              <w:rPr>
                <w:rFonts w:ascii="Courier New" w:eastAsia="Courier New" w:hAnsi="Courier New" w:cs="Courier New" w:hint="eastAsia"/>
                <w:color w:val="1F2430"/>
                <w:sz w:val="20"/>
              </w:rPr>
              <w:lastRenderedPageBreak/>
              <w:t>0:        raise ValueError("存在起点不足7天历史的样本，无法取上一周同期值")    return load[origins - NAIVE_LAG]  # ŷ(t+6) = y(t+6−1008) = y(t−1002)</w:t>
            </w:r>
          </w:p>
        </w:tc>
      </w:tr>
    </w:tbl>
    <w:p w14:paraId="77ADAC72">
      <w:pPr>
        <w:numPr>
          <w:numId w:val="0"/>
        </w:numPr>
        <w:jc w:val="both"/>
        <w:rPr>
          <w:rFonts w:hint="eastAsia" w:ascii="Times New Roman" w:hAnsi="Times New Roman" w:eastAsia="宋体" w:cs="Times New Roman"/>
          <w:color w:val="1F2430"/>
          <w:sz w:val="24"/>
        </w:rPr>
      </w:pPr>
    </w:p>
    <w:p w14:paraId="3BFDDE64">
      <w:pPr>
        <w:numPr>
          <w:ilvl w:val="0"/>
          <w:numId w:val="1"/>
        </w:numPr>
        <w:ind w:left="0" w:leftChars="0" w:firstLine="482" w:firstLineChars="200"/>
        <w:jc w:val="both"/>
        <w:rPr>
          <w:rFonts w:hint="eastAsia" w:ascii="Times New Roman" w:hAnsi="Times New Roman" w:eastAsia="宋体" w:cs="Times New Roman"/>
          <w:color w:val="1F2430"/>
          <w:sz w:val="24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特征构造</w:t>
      </w:r>
      <w:r>
        <w:rPr>
          <w:rFonts w:hint="eastAsia" w:ascii="Times New Roman" w:hAnsi="Times New Roman" w:eastAsia="宋体" w:cs="Times New Roman"/>
          <w:color w:val="1F2430"/>
          <w:sz w:val="24"/>
        </w:rPr>
        <w:t>（src/features.py的build_zone_samples）：滞后特征只回溯起点及更早的观测；目标对齐周同期特征由include_target_week开关控制，天气特征由include_weather开关控制，供消融切换。</w:t>
      </w:r>
    </w:p>
    <w:tbl>
      <w:tblPr>
        <w:tblW w:w="0" w:type="auto"/>
        <w:tblInd w:w="15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B37FCB" w14:paraId="21C8BA4B" w14:textId="77777777">
        <w:tc>
          <w:tcPr>
            <w:tcW w:w="8306" w:type="dxa"/>
            <w:tcBorders>
              <w:top w:val="single" w:sz="6" w:space="0" w:color="E2E6EC"/>
              <w:left w:val="single" w:sz="6" w:space="0" w:color="E2E6EC"/>
              <w:bottom w:val="single" w:sz="6" w:space="0" w:color="E2E6EC"/>
              <w:right w:val="single" w:sz="6" w:space="0" w:color="E2E6EC"/>
            </w:tcBorders>
            <w:shd w:val="clear" w:color="auto" w:fill="F5F7FA"/>
            <w:vAlign w:val="center"/>
          </w:tcPr>
          <w:p w14:paraId="57DF04D1" w14:textId="77777777" w:rsidR="00B37FCB" w:rsidRDefault="00233623">
            <w:pPr>
              <w:ind w:firstLine="420"/>
              <w:rPr>
                <w:color w:val="1F2430"/>
              </w:rPr>
            </w:pPr>
            <w:r>
              <w:rPr>
                <w:rFonts w:hint="eastAsia" w:ascii="Times New Roman" w:hAnsi="Times New Roman" w:eastAsia="宋体" w:cs="Times New Roman"/>
                <w:color w:val="1F2430"/>
                <w:sz w:val="21"/>
              </w:rPr>
              <w:t xml:space="preserve"># </w:t>
            </w:r>
            <w:r>
              <w:rPr>
                <w:rFonts w:hint="eastAsia" w:ascii="Times New Roman" w:hAnsi="Times New Roman" w:eastAsia="宋体" w:cs="Times New Roman"/>
                <w:color w:val="1F2430"/>
                <w:sz w:val="21"/>
              </w:rPr>
              <w:t>历史负荷滞后特征（相对起点</w:t>
            </w:r>
            <w:r>
              <w:rPr>
                <w:rFonts w:hint="eastAsia" w:ascii="Times New Roman" w:hAnsi="Times New Roman" w:eastAsia="宋体" w:cs="Times New Roman"/>
                <w:color w:val="1F2430"/>
                <w:sz w:val="21"/>
              </w:rPr>
              <w:t>t</w:t>
            </w:r>
            <w:r>
              <w:rPr>
                <w:rFonts w:hint="eastAsia" w:ascii="Times New Roman" w:hAnsi="Times New Roman" w:eastAsia="宋体" w:cs="Times New Roman"/>
                <w:color w:val="1F2430"/>
                <w:sz w:val="21"/>
              </w:rPr>
              <w:t>回溯，全部</w:t>
            </w:r>
            <w:r>
              <w:rPr>
                <w:rFonts w:hint="eastAsia" w:ascii="Times New Roman" w:hAnsi="Times New Roman" w:eastAsia="宋体" w:cs="Times New Roman"/>
                <w:color w:val="1F2430"/>
                <w:sz w:val="21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1F2430"/>
                <w:sz w:val="21"/>
              </w:rPr>
              <w:t>≤</w:t>
            </w:r>
            <w:r>
              <w:rPr>
                <w:rFonts w:hint="eastAsia" w:ascii="Times New Roman" w:hAnsi="Times New Roman" w:eastAsia="宋体" w:cs="Times New Roman"/>
                <w:color w:val="1F2430"/>
                <w:sz w:val="21"/>
              </w:rPr>
              <w:t xml:space="preserve"> t</w:t>
            </w:r>
            <w:r>
              <w:rPr>
                <w:rFonts w:hint="eastAsia" w:ascii="Times New Roman" w:hAnsi="Times New Roman" w:eastAsia="宋体" w:cs="Times New Roman"/>
                <w:color w:val="1F2430"/>
                <w:sz w:val="21"/>
              </w:rPr>
              <w:t>）</w:t>
            </w:r>
            <w:r>
              <w:rPr>
                <w:rFonts w:hint="eastAsia" w:ascii="Times New Roman" w:hAnsi="Times New Roman" w:eastAsia="宋体" w:cs="Times New Roman"/>
                <w:color w:val="1F2430"/>
                <w:sz w:val="21"/>
              </w:rPr>
              <w:t xml:space="preserve">for name, k in HISTORY_LAGS.items():       # load_lag_0/6/144/1008    X[name] = load[origins - k]# </w:t>
            </w:r>
            <w:r>
              <w:rPr>
                <w:rFonts w:hint="eastAsia" w:ascii="Times New Roman" w:hAnsi="Times New Roman" w:eastAsia="宋体" w:cs="Times New Roman"/>
                <w:color w:val="1F2430"/>
                <w:sz w:val="21"/>
              </w:rPr>
              <w:t>目标时刻对齐的上周同期：</w:t>
            </w:r>
            <w:r>
              <w:rPr>
                <w:rFonts w:hint="eastAsia" w:ascii="Times New Roman" w:hAnsi="Times New Roman" w:eastAsia="宋体" w:cs="Times New Roman"/>
                <w:color w:val="1F2430"/>
                <w:sz w:val="21"/>
              </w:rPr>
              <w:t>y(t+6</w:t>
            </w:r>
            <w:r>
              <w:rPr>
                <w:rFonts w:hint="eastAsia" w:ascii="Times New Roman" w:hAnsi="Times New Roman" w:eastAsia="宋体" w:cs="Times New Roman"/>
                <w:color w:val="1F2430"/>
                <w:sz w:val="21"/>
              </w:rPr>
              <w:t>−</w:t>
            </w:r>
            <w:r>
              <w:rPr>
                <w:rFonts w:hint="eastAsia" w:ascii="Times New Roman" w:hAnsi="Times New Roman" w:eastAsia="宋体" w:cs="Times New Roman"/>
                <w:color w:val="1F2430"/>
                <w:sz w:val="21"/>
              </w:rPr>
              <w:t>1008) = y(t</w:t>
            </w:r>
            <w:r>
              <w:rPr>
                <w:rFonts w:hint="eastAsia" w:ascii="Times New Roman" w:hAnsi="Times New Roman" w:eastAsia="宋体" w:cs="Times New Roman"/>
                <w:color w:val="1F2430"/>
                <w:sz w:val="21"/>
              </w:rPr>
              <w:t>−</w:t>
            </w:r>
            <w:r>
              <w:rPr>
                <w:rFonts w:hint="eastAsia" w:ascii="Times New Roman" w:hAnsi="Times New Roman" w:eastAsia="宋体" w:cs="Times New Roman"/>
                <w:color w:val="1F2430"/>
                <w:sz w:val="21"/>
              </w:rPr>
              <w:t>1002)</w:t>
            </w:r>
            <w:r>
              <w:rPr>
                <w:rFonts w:hint="eastAsia" w:ascii="Times New Roman" w:hAnsi="Times New Roman" w:eastAsia="宋体" w:cs="Times New Roman"/>
                <w:color w:val="1F2430"/>
                <w:sz w:val="21"/>
              </w:rPr>
              <w:t>，与历史同期基线同源</w:t>
            </w:r>
            <w:r>
              <w:rPr>
                <w:rFonts w:hint="eastAsia" w:ascii="Times New Roman" w:hAnsi="Times New Roman" w:eastAsia="宋体" w:cs="Times New Roman"/>
                <w:color w:val="1F2430"/>
                <w:sz w:val="21"/>
              </w:rPr>
              <w:t xml:space="preserve">if include_target_week:    X[TARGET_WEEK_LAG_NAME] = load[origins - TARGET_WEEK_LAG]# </w:t>
            </w:r>
            <w:r>
              <w:rPr>
                <w:rFonts w:hint="eastAsia" w:ascii="Times New Roman" w:hAnsi="Times New Roman" w:eastAsia="宋体" w:cs="Times New Roman"/>
                <w:color w:val="1F2430"/>
                <w:sz w:val="21"/>
              </w:rPr>
              <w:t>天气特征：</w:t>
            </w:r>
            <w:r>
              <w:rPr>
                <w:rFonts w:hint="eastAsia" w:ascii="Times New Roman" w:hAnsi="Times New Roman" w:eastAsia="宋体" w:cs="Times New Roman"/>
                <w:color w:val="1F2430"/>
                <w:sz w:val="21"/>
              </w:rPr>
              <w:t>t</w:t>
            </w:r>
            <w:r>
              <w:rPr>
                <w:rFonts w:hint="eastAsia" w:ascii="Times New Roman" w:hAnsi="Times New Roman" w:eastAsia="宋体" w:cs="Times New Roman"/>
                <w:color w:val="1F2430"/>
                <w:sz w:val="21"/>
              </w:rPr>
              <w:t>时刻同步观测（可用性假设见协议</w:t>
            </w:r>
            <w:r>
              <w:rPr>
                <w:rFonts w:hint="eastAsia" w:ascii="Times New Roman" w:hAnsi="Times New Roman" w:eastAsia="宋体" w:cs="Times New Roman"/>
                <w:color w:val="1F2430"/>
                <w:sz w:val="21"/>
              </w:rPr>
              <w:t>3.3</w:t>
            </w:r>
            <w:r>
              <w:rPr>
                <w:rFonts w:hint="eastAsia" w:ascii="Times New Roman" w:hAnsi="Times New Roman" w:eastAsia="宋体" w:cs="Times New Roman"/>
                <w:color w:val="1F2430"/>
                <w:sz w:val="21"/>
              </w:rPr>
              <w:t>）</w:t>
            </w:r>
            <w:r>
              <w:rPr>
                <w:rFonts w:hint="eastAsia" w:ascii="Times New Roman" w:hAnsi="Times New Roman" w:eastAsia="宋体" w:cs="Times New Roman"/>
                <w:color w:val="1F2430"/>
                <w:sz w:val="21"/>
              </w:rPr>
              <w:t>if include_weather:    for col in WEATHER_COLUMNS:        X[col] = df[col].to_numpy(dtype=float)[origins]</w:t>
            </w:r>
          </w:p>
        </w:tc>
      </w:tr>
    </w:tbl>
    <w:p w14:paraId="23B11ECF">
      <w:pPr>
        <w:ind w:left="0" w:leftChars="0" w:firstLine="0" w:firstLineChars="0"/>
        <w:jc w:val="both"/>
        <w:rPr>
          <w:rFonts w:hint="eastAsia" w:ascii="Times New Roman" w:hAnsi="Times New Roman" w:eastAsia="宋体" w:cs="Times New Roman"/>
          <w:b/>
          <w:color w:val="1F2430"/>
          <w:sz w:val="24"/>
        </w:rPr>
      </w:pPr>
    </w:p>
    <w:p w14:paraId="72121214">
      <w:pPr>
        <w:numPr>
          <w:ilvl w:val="0"/>
          <w:numId w:val="1"/>
        </w:numPr>
        <w:ind w:left="0" w:leftChars="0" w:firstLine="482" w:firstLineChars="200"/>
        <w:jc w:val="both"/>
        <w:rPr>
          <w:rFonts w:hint="eastAsia" w:ascii="Times New Roman" w:hAnsi="Times New Roman" w:eastAsia="宋体" w:cs="Times New Roman"/>
          <w:color w:val="1F2430"/>
          <w:sz w:val="24"/>
        </w:rPr>
      </w:pPr>
      <w:r>
        <w:rPr>
          <w:rFonts w:hint="eastAsia" w:ascii="Times New Roman" w:hAnsi="Times New Roman" w:eastAsia="宋体" w:cs="Times New Roman"/>
          <w:b/>
          <w:color w:val="1F2430"/>
          <w:sz w:val="24"/>
        </w:rPr>
        <w:t>梯度提升树训练</w:t>
      </w:r>
      <w:r>
        <w:rPr>
          <w:rFonts w:hint="eastAsia" w:ascii="Times New Roman" w:hAnsi="Times New Roman" w:eastAsia="宋体" w:cs="Times New Roman"/>
          <w:color w:val="1F2430"/>
          <w:sz w:val="24"/>
        </w:rPr>
        <w:t>（src/models.py）：关闭内部早停（迭代数由验证集网格决定），固定种子保证可复现。</w:t>
      </w:r>
    </w:p>
    <w:tbl>
      <w:tblPr>
        <w:tblW w:w="0" w:type="auto"/>
        <w:tblInd w:w="15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B37FCB" w14:paraId="29FC6236" w14:textId="77777777">
        <w:tc>
          <w:tcPr>
            <w:tcW w:w="8306" w:type="dxa"/>
            <w:tcBorders>
              <w:top w:val="single" w:sz="6" w:space="0" w:color="E2E6EC"/>
              <w:left w:val="single" w:sz="6" w:space="0" w:color="E2E6EC"/>
              <w:bottom w:val="single" w:sz="6" w:space="0" w:color="E2E6EC"/>
              <w:right w:val="single" w:sz="6" w:space="0" w:color="E2E6EC"/>
            </w:tcBorders>
            <w:shd w:val="clear" w:color="auto" w:fill="F5F7FA"/>
            <w:vAlign w:val="center"/>
          </w:tcPr>
          <w:p w14:paraId="7EE81F0E" w14:textId="77777777" w:rsidR="00B37FCB" w:rsidRDefault="00233623">
            <w:pPr>
              <w:ind w:firstLine="400"/>
              <w:rPr>
                <w:color w:val="1F2430"/>
              </w:rPr>
            </w:pPr>
            <w:r>
              <w:rPr>
                <w:rFonts w:ascii="Courier New" w:eastAsia="Courier New" w:hAnsi="Courier New" w:cs="Courier New"/>
                <w:color w:val="1F2430"/>
                <w:sz w:val="20"/>
              </w:rPr>
              <w:t>def train_gradient_boosting(X_train, y_train, *, seed=GBT_SEED,  # 42                            max_iter=200, learning_rate=0.1, max_depth=None):    return HistGradientBoostingRegressor(        max_iter=max_iter, learning_rate=learning_rate, max_depth=max_depth,        early_stopping=False, random_state=seed,    ).fit(X_train, y_train)</w:t>
            </w:r>
          </w:p>
        </w:tc>
      </w:tr>
    </w:tbl>
    <w:p w14:paraId="06BA8541">
      <w:pPr>
        <w:numPr>
          <w:numId w:val="0"/>
        </w:numPr>
        <w:ind w:leftChars="200"/>
        <w:jc w:val="both"/>
        <w:rPr>
          <w:rFonts w:hint="eastAsia" w:ascii="Times New Roman" w:hAnsi="Times New Roman" w:eastAsia="宋体" w:cs="Times New Roman"/>
          <w:color w:val="1F2430"/>
          <w:sz w:val="24"/>
        </w:rPr>
      </w:pPr>
    </w:p>
    <w:sectPr>
      <w:footerReference r:id="rId19" w:type="default"/>
      <w:pgSz w:w="12240" w:h="15840"/>
      <w:pgMar w:top="1383" w:right="1689" w:bottom="1383" w:left="1689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3F4B95">
    <w:pPr>
      <w:ind w:firstLine="360"/>
      <w:jc w:val="center"/>
    </w:pPr>
    <w:r>
      <w:rPr>
        <w:rFonts w:hint="eastAsia" w:ascii="Times New Roman" w:hAnsi="Times New Roman" w:eastAsia="宋体" w:cs="Times New Roman"/>
        <w:color w:val="888888"/>
        <w:sz w:val="18"/>
      </w:rPr>
      <w:t>第</w:t>
    </w:r>
    <w:r>
      <w:rPr>
        <w:rFonts w:ascii="Times New Roman" w:hAnsi="Times New Roman" w:eastAsia="宋体" w:cs="Times New Roman"/>
      </w:rPr>
      <w:fldChar w:fldCharType="begin"/>
    </w:r>
    <w:r>
      <w:rPr>
        <w:rFonts w:ascii="Times New Roman" w:hAnsi="Times New Roman" w:eastAsia="宋体" w:cs="Times New Roman"/>
      </w:rPr>
      <w:instrText xml:space="preserve"> PAGE </w:instrText>
    </w:r>
    <w:r>
      <w:rPr>
        <w:rFonts w:ascii="Times New Roman" w:hAnsi="Times New Roman" w:eastAsia="宋体" w:cs="Times New Roman"/>
      </w:rPr>
      <w:fldChar w:fldCharType="separate"/>
    </w:r>
    <w:r>
      <w:rPr>
        <w:rFonts w:ascii="Times New Roman" w:hAnsi="Times New Roman" w:eastAsia="宋体" w:cs="Times New Roman"/>
        <w:color w:val="888888"/>
        <w:sz w:val="18"/>
      </w:rPr>
      <w:t>1</w:t>
    </w:r>
    <w:r>
      <w:rPr>
        <w:rFonts w:ascii="Times New Roman" w:hAnsi="Times New Roman" w:eastAsia="宋体" w:cs="Times New Roman"/>
      </w:rPr>
      <w:fldChar w:fldCharType="end"/>
    </w:r>
    <w:r>
      <w:rPr>
        <w:rFonts w:hint="eastAsia" w:ascii="Times New Roman" w:hAnsi="Times New Roman" w:eastAsia="宋体" w:cs="Times New Roman"/>
        <w:color w:val="888888"/>
        <w:sz w:val="18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6B31CE">
    <w:pPr>
      <w:pStyle w:val="10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A40B79">
    <w:pPr>
      <w:pStyle w:val="10"/>
      <w:ind w:firstLine="360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33BF7F">
    <w:pPr>
      <w:ind w:firstLine="360"/>
      <w:jc w:val="center"/>
    </w:pPr>
    <w:r>
      <w:rPr>
        <w:rFonts w:hint="eastAsia" w:ascii="Times New Roman" w:hAnsi="Times New Roman" w:eastAsia="宋体" w:cs="Times New Roman"/>
        <w:color w:val="888888"/>
        <w:sz w:val="18"/>
      </w:rPr>
      <w:t>第</w:t>
    </w:r>
    <w:r>
      <w:rPr>
        <w:rFonts w:ascii="Times New Roman" w:hAnsi="Times New Roman" w:eastAsia="宋体" w:cs="Times New Roman"/>
      </w:rPr>
      <w:fldChar w:fldCharType="begin"/>
    </w:r>
    <w:r>
      <w:rPr>
        <w:rFonts w:ascii="Times New Roman" w:hAnsi="Times New Roman" w:eastAsia="宋体" w:cs="Times New Roman"/>
      </w:rPr>
      <w:instrText xml:space="preserve"> PAGE </w:instrText>
    </w:r>
    <w:r>
      <w:rPr>
        <w:rFonts w:ascii="Times New Roman" w:hAnsi="Times New Roman" w:eastAsia="宋体" w:cs="Times New Roman"/>
      </w:rPr>
      <w:fldChar w:fldCharType="separate"/>
    </w:r>
    <w:r>
      <w:rPr>
        <w:rFonts w:ascii="Times New Roman" w:hAnsi="Times New Roman" w:eastAsia="宋体" w:cs="Times New Roman"/>
        <w:color w:val="888888"/>
        <w:sz w:val="18"/>
      </w:rPr>
      <w:t>1</w:t>
    </w:r>
    <w:r>
      <w:rPr>
        <w:rFonts w:ascii="Times New Roman" w:hAnsi="Times New Roman" w:eastAsia="宋体" w:cs="Times New Roman"/>
      </w:rPr>
      <w:fldChar w:fldCharType="end"/>
    </w:r>
    <w:r>
      <w:rPr>
        <w:rFonts w:hint="eastAsia" w:ascii="Times New Roman" w:hAnsi="Times New Roman" w:eastAsia="宋体" w:cs="Times New Roman"/>
        <w:color w:val="888888"/>
        <w:sz w:val="18"/>
      </w:rPr>
      <w:t>页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12EE01">
    <w:pPr>
      <w:ind w:firstLine="360"/>
      <w:jc w:val="center"/>
    </w:pPr>
    <w:r>
      <w:rPr>
        <w:rFonts w:hint="eastAsia" w:ascii="Times New Roman" w:hAnsi="Times New Roman" w:eastAsia="宋体" w:cs="Times New Roman"/>
        <w:color w:val="888888"/>
        <w:sz w:val="18"/>
      </w:rPr>
      <w:t>第</w:t>
    </w:r>
    <w:r>
      <w:rPr>
        <w:rFonts w:ascii="Times New Roman" w:hAnsi="Times New Roman" w:eastAsia="宋体" w:cs="Times New Roman"/>
      </w:rPr>
      <w:fldChar w:fldCharType="begin"/>
    </w:r>
    <w:r>
      <w:rPr>
        <w:rFonts w:ascii="Times New Roman" w:hAnsi="Times New Roman" w:eastAsia="宋体" w:cs="Times New Roman"/>
      </w:rPr>
      <w:instrText xml:space="preserve"> PAGE </w:instrText>
    </w:r>
    <w:r>
      <w:rPr>
        <w:rFonts w:ascii="Times New Roman" w:hAnsi="Times New Roman" w:eastAsia="宋体" w:cs="Times New Roman"/>
      </w:rPr>
      <w:fldChar w:fldCharType="separate"/>
    </w:r>
    <w:r>
      <w:rPr>
        <w:rFonts w:ascii="Times New Roman" w:hAnsi="Times New Roman" w:eastAsia="宋体" w:cs="Times New Roman"/>
        <w:color w:val="888888"/>
        <w:sz w:val="18"/>
      </w:rPr>
      <w:t>1</w:t>
    </w:r>
    <w:r>
      <w:rPr>
        <w:rFonts w:ascii="Times New Roman" w:hAnsi="Times New Roman" w:eastAsia="宋体" w:cs="Times New Roman"/>
      </w:rPr>
      <w:fldChar w:fldCharType="end"/>
    </w:r>
    <w:r>
      <w:rPr>
        <w:rFonts w:hint="eastAsia" w:ascii="Times New Roman" w:hAnsi="Times New Roman" w:eastAsia="宋体" w:cs="Times New Roman"/>
        <w:color w:val="888888"/>
        <w:sz w:val="18"/>
      </w:rPr>
      <w:t>页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E0FB45">
    <w:pPr>
      <w:ind w:firstLine="360"/>
      <w:jc w:val="center"/>
    </w:pPr>
    <w:r>
      <w:rPr>
        <w:rFonts w:hint="eastAsia" w:ascii="Times New Roman" w:hAnsi="Times New Roman" w:eastAsia="宋体" w:cs="Times New Roman"/>
        <w:color w:val="888888"/>
        <w:sz w:val="18"/>
      </w:rPr>
      <w:t>第</w:t>
    </w:r>
    <w:r>
      <w:rPr>
        <w:rFonts w:ascii="Times New Roman" w:hAnsi="Times New Roman" w:eastAsia="宋体" w:cs="Times New Roman"/>
      </w:rPr>
      <w:fldChar w:fldCharType="begin"/>
    </w:r>
    <w:r>
      <w:rPr>
        <w:rFonts w:ascii="Times New Roman" w:hAnsi="Times New Roman" w:eastAsia="宋体" w:cs="Times New Roman"/>
      </w:rPr>
      <w:instrText xml:space="preserve"> PAGE </w:instrText>
    </w:r>
    <w:r>
      <w:rPr>
        <w:rFonts w:ascii="Times New Roman" w:hAnsi="Times New Roman" w:eastAsia="宋体" w:cs="Times New Roman"/>
      </w:rPr>
      <w:fldChar w:fldCharType="separate"/>
    </w:r>
    <w:r>
      <w:rPr>
        <w:rFonts w:ascii="Times New Roman" w:hAnsi="Times New Roman" w:eastAsia="宋体" w:cs="Times New Roman"/>
        <w:color w:val="888888"/>
        <w:sz w:val="18"/>
      </w:rPr>
      <w:t>1</w:t>
    </w:r>
    <w:r>
      <w:rPr>
        <w:rFonts w:ascii="Times New Roman" w:hAnsi="Times New Roman" w:eastAsia="宋体" w:cs="Times New Roman"/>
      </w:rPr>
      <w:fldChar w:fldCharType="end"/>
    </w:r>
    <w:r>
      <w:rPr>
        <w:rFonts w:hint="eastAsia" w:ascii="Times New Roman" w:hAnsi="Times New Roman" w:eastAsia="宋体" w:cs="Times New Roman"/>
        <w:color w:val="888888"/>
        <w:sz w:val="18"/>
      </w:rPr>
      <w:t>页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03F7BC">
    <w:pPr>
      <w:ind w:firstLine="360"/>
      <w:jc w:val="center"/>
    </w:pPr>
    <w:r>
      <w:rPr>
        <w:rFonts w:hint="eastAsia" w:ascii="Times New Roman" w:hAnsi="Times New Roman" w:eastAsia="宋体" w:cs="Times New Roman"/>
        <w:color w:val="888888"/>
        <w:sz w:val="18"/>
      </w:rPr>
      <w:t>第</w:t>
    </w:r>
    <w:r>
      <w:rPr>
        <w:rFonts w:ascii="Times New Roman" w:hAnsi="Times New Roman" w:eastAsia="宋体" w:cs="Times New Roman"/>
      </w:rPr>
      <w:fldChar w:fldCharType="begin"/>
    </w:r>
    <w:r>
      <w:rPr>
        <w:rFonts w:ascii="Times New Roman" w:hAnsi="Times New Roman" w:eastAsia="宋体" w:cs="Times New Roman"/>
      </w:rPr>
      <w:instrText xml:space="preserve"> PAGE </w:instrText>
    </w:r>
    <w:r>
      <w:rPr>
        <w:rFonts w:ascii="Times New Roman" w:hAnsi="Times New Roman" w:eastAsia="宋体" w:cs="Times New Roman"/>
      </w:rPr>
      <w:fldChar w:fldCharType="separate"/>
    </w:r>
    <w:r>
      <w:rPr>
        <w:rFonts w:ascii="Times New Roman" w:hAnsi="Times New Roman" w:eastAsia="宋体" w:cs="Times New Roman"/>
        <w:color w:val="888888"/>
        <w:sz w:val="18"/>
      </w:rPr>
      <w:t>1</w:t>
    </w:r>
    <w:r>
      <w:rPr>
        <w:rFonts w:ascii="Times New Roman" w:hAnsi="Times New Roman" w:eastAsia="宋体" w:cs="Times New Roman"/>
      </w:rPr>
      <w:fldChar w:fldCharType="end"/>
    </w:r>
    <w:r>
      <w:rPr>
        <w:rFonts w:hint="eastAsia" w:ascii="Times New Roman" w:hAnsi="Times New Roman" w:eastAsia="宋体" w:cs="Times New Roman"/>
        <w:color w:val="888888"/>
        <w:sz w:val="18"/>
      </w:rPr>
      <w:t>页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C5CADF">
    <w:pPr>
      <w:ind w:firstLine="360"/>
      <w:jc w:val="center"/>
    </w:pPr>
    <w:r>
      <w:rPr>
        <w:rFonts w:hint="eastAsia" w:ascii="Times New Roman" w:hAnsi="Times New Roman" w:eastAsia="宋体" w:cs="Times New Roman"/>
        <w:color w:val="888888"/>
        <w:sz w:val="18"/>
      </w:rPr>
      <w:t>第</w:t>
    </w:r>
    <w:r>
      <w:rPr>
        <w:rFonts w:ascii="Times New Roman" w:hAnsi="Times New Roman" w:eastAsia="宋体" w:cs="Times New Roman"/>
      </w:rPr>
      <w:fldChar w:fldCharType="begin"/>
    </w:r>
    <w:r>
      <w:rPr>
        <w:rFonts w:ascii="Times New Roman" w:hAnsi="Times New Roman" w:eastAsia="宋体" w:cs="Times New Roman"/>
      </w:rPr>
      <w:instrText xml:space="preserve"> PAGE </w:instrText>
    </w:r>
    <w:r>
      <w:rPr>
        <w:rFonts w:ascii="Times New Roman" w:hAnsi="Times New Roman" w:eastAsia="宋体" w:cs="Times New Roman"/>
      </w:rPr>
      <w:fldChar w:fldCharType="separate"/>
    </w:r>
    <w:r>
      <w:rPr>
        <w:rFonts w:ascii="Times New Roman" w:hAnsi="Times New Roman" w:eastAsia="宋体" w:cs="Times New Roman"/>
        <w:color w:val="888888"/>
        <w:sz w:val="18"/>
      </w:rPr>
      <w:t>1</w:t>
    </w:r>
    <w:r>
      <w:rPr>
        <w:rFonts w:ascii="Times New Roman" w:hAnsi="Times New Roman" w:eastAsia="宋体" w:cs="Times New Roman"/>
      </w:rPr>
      <w:fldChar w:fldCharType="end"/>
    </w:r>
    <w:r>
      <w:rPr>
        <w:rFonts w:hint="eastAsia" w:ascii="Times New Roman" w:hAnsi="Times New Roman" w:eastAsia="宋体" w:cs="Times New Roman"/>
        <w:color w:val="888888"/>
        <w:sz w:val="18"/>
      </w:rPr>
      <w:t>页</w:t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4AAADF">
    <w:pPr>
      <w:ind w:firstLine="360"/>
      <w:jc w:val="center"/>
    </w:pPr>
    <w:r>
      <w:rPr>
        <w:rFonts w:hint="eastAsia" w:ascii="Times New Roman" w:hAnsi="Times New Roman" w:eastAsia="宋体" w:cs="Times New Roman"/>
        <w:color w:val="888888"/>
        <w:sz w:val="18"/>
      </w:rPr>
      <w:t>第</w:t>
    </w:r>
    <w:r>
      <w:rPr>
        <w:rFonts w:ascii="Times New Roman" w:hAnsi="Times New Roman" w:eastAsia="宋体" w:cs="Times New Roman"/>
      </w:rPr>
      <w:fldChar w:fldCharType="begin"/>
    </w:r>
    <w:r>
      <w:rPr>
        <w:rFonts w:ascii="Times New Roman" w:hAnsi="Times New Roman" w:eastAsia="宋体" w:cs="Times New Roman"/>
      </w:rPr>
      <w:instrText xml:space="preserve"> PAGE </w:instrText>
    </w:r>
    <w:r>
      <w:rPr>
        <w:rFonts w:ascii="Times New Roman" w:hAnsi="Times New Roman" w:eastAsia="宋体" w:cs="Times New Roman"/>
      </w:rPr>
      <w:fldChar w:fldCharType="separate"/>
    </w:r>
    <w:r>
      <w:rPr>
        <w:rFonts w:ascii="Times New Roman" w:hAnsi="Times New Roman" w:eastAsia="宋体" w:cs="Times New Roman"/>
        <w:color w:val="888888"/>
        <w:sz w:val="18"/>
      </w:rPr>
      <w:t>1</w:t>
    </w:r>
    <w:r>
      <w:rPr>
        <w:rFonts w:ascii="Times New Roman" w:hAnsi="Times New Roman" w:eastAsia="宋体" w:cs="Times New Roman"/>
      </w:rPr>
      <w:fldChar w:fldCharType="end"/>
    </w:r>
    <w:r>
      <w:rPr>
        <w:rFonts w:hint="eastAsia" w:ascii="Times New Roman" w:hAnsi="Times New Roman" w:eastAsia="宋体" w:cs="Times New Roman"/>
        <w:color w:val="888888"/>
        <w:sz w:val="18"/>
      </w:rPr>
      <w:t>页</w:t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83C9E7">
    <w:pPr>
      <w:ind w:firstLine="360"/>
      <w:jc w:val="center"/>
    </w:pPr>
    <w:r>
      <w:rPr>
        <w:rFonts w:hint="eastAsia" w:ascii="Times New Roman" w:hAnsi="Times New Roman" w:eastAsia="宋体" w:cs="Times New Roman"/>
        <w:color w:val="888888"/>
        <w:sz w:val="18"/>
      </w:rPr>
      <w:t>第</w:t>
    </w:r>
    <w:r>
      <w:rPr>
        <w:rFonts w:ascii="Times New Roman" w:hAnsi="Times New Roman" w:eastAsia="宋体" w:cs="Times New Roman"/>
      </w:rPr>
      <w:fldChar w:fldCharType="begin"/>
    </w:r>
    <w:r>
      <w:rPr>
        <w:rFonts w:ascii="Times New Roman" w:hAnsi="Times New Roman" w:eastAsia="宋体" w:cs="Times New Roman"/>
      </w:rPr>
      <w:instrText xml:space="preserve"> PAGE </w:instrText>
    </w:r>
    <w:r>
      <w:rPr>
        <w:rFonts w:ascii="Times New Roman" w:hAnsi="Times New Roman" w:eastAsia="宋体" w:cs="Times New Roman"/>
      </w:rPr>
      <w:fldChar w:fldCharType="separate"/>
    </w:r>
    <w:r>
      <w:rPr>
        <w:rFonts w:ascii="Times New Roman" w:hAnsi="Times New Roman" w:eastAsia="宋体" w:cs="Times New Roman"/>
        <w:color w:val="888888"/>
        <w:sz w:val="18"/>
      </w:rPr>
      <w:t>1</w:t>
    </w:r>
    <w:r>
      <w:rPr>
        <w:rFonts w:ascii="Times New Roman" w:hAnsi="Times New Roman" w:eastAsia="宋体" w:cs="Times New Roman"/>
      </w:rPr>
      <w:fldChar w:fldCharType="end"/>
    </w:r>
    <w:r>
      <w:rPr>
        <w:rFonts w:hint="eastAsia" w:ascii="Times New Roman" w:hAnsi="Times New Roman" w:eastAsia="宋体" w:cs="Times New Roman"/>
        <w:color w:val="888888"/>
        <w:sz w:val="18"/>
      </w:rPr>
      <w:t>页</w:t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5C7D46">
    <w:pPr>
      <w:ind w:firstLine="360"/>
      <w:jc w:val="center"/>
    </w:pPr>
    <w:r>
      <w:rPr>
        <w:rFonts w:hint="eastAsia" w:ascii="Times New Roman" w:hAnsi="Times New Roman" w:eastAsia="宋体" w:cs="Times New Roman"/>
        <w:color w:val="888888"/>
        <w:sz w:val="18"/>
      </w:rPr>
      <w:t>第</w:t>
    </w:r>
    <w:r>
      <w:rPr>
        <w:rFonts w:ascii="Times New Roman" w:hAnsi="Times New Roman" w:eastAsia="宋体" w:cs="Times New Roman"/>
      </w:rPr>
      <w:fldChar w:fldCharType="begin"/>
    </w:r>
    <w:r>
      <w:rPr>
        <w:rFonts w:ascii="Times New Roman" w:hAnsi="Times New Roman" w:eastAsia="宋体" w:cs="Times New Roman"/>
      </w:rPr>
      <w:instrText xml:space="preserve"> PAGE </w:instrText>
    </w:r>
    <w:r>
      <w:rPr>
        <w:rFonts w:ascii="Times New Roman" w:hAnsi="Times New Roman" w:eastAsia="宋体" w:cs="Times New Roman"/>
      </w:rPr>
      <w:fldChar w:fldCharType="separate"/>
    </w:r>
    <w:r>
      <w:rPr>
        <w:rFonts w:ascii="Times New Roman" w:hAnsi="Times New Roman" w:eastAsia="宋体" w:cs="Times New Roman"/>
        <w:color w:val="888888"/>
        <w:sz w:val="18"/>
      </w:rPr>
      <w:t>1</w:t>
    </w:r>
    <w:r>
      <w:rPr>
        <w:rFonts w:ascii="Times New Roman" w:hAnsi="Times New Roman" w:eastAsia="宋体" w:cs="Times New Roman"/>
      </w:rPr>
      <w:fldChar w:fldCharType="end"/>
    </w:r>
    <w:r>
      <w:rPr>
        <w:rFonts w:hint="eastAsia" w:ascii="Times New Roman" w:hAnsi="Times New Roman" w:eastAsia="宋体" w:cs="Times New Roman"/>
        <w:color w:val="888888"/>
        <w:sz w:val="18"/>
      </w:rPr>
      <w:t>页</w:t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4EBD1D">
    <w:pPr>
      <w:ind w:firstLine="360"/>
      <w:jc w:val="center"/>
    </w:pPr>
    <w:r>
      <w:rPr>
        <w:rFonts w:hint="eastAsia" w:ascii="Times New Roman" w:hAnsi="Times New Roman" w:eastAsia="宋体" w:cs="Times New Roman"/>
        <w:color w:val="888888"/>
        <w:sz w:val="18"/>
      </w:rPr>
      <w:t>第</w:t>
    </w:r>
    <w:r>
      <w:rPr>
        <w:rFonts w:ascii="Times New Roman" w:hAnsi="Times New Roman" w:eastAsia="宋体" w:cs="Times New Roman"/>
      </w:rPr>
      <w:fldChar w:fldCharType="begin"/>
    </w:r>
    <w:r>
      <w:rPr>
        <w:rFonts w:ascii="Times New Roman" w:hAnsi="Times New Roman" w:eastAsia="宋体" w:cs="Times New Roman"/>
      </w:rPr>
      <w:instrText xml:space="preserve"> PAGE </w:instrText>
    </w:r>
    <w:r>
      <w:rPr>
        <w:rFonts w:ascii="Times New Roman" w:hAnsi="Times New Roman" w:eastAsia="宋体" w:cs="Times New Roman"/>
      </w:rPr>
      <w:fldChar w:fldCharType="separate"/>
    </w:r>
    <w:r>
      <w:rPr>
        <w:rFonts w:ascii="Times New Roman" w:hAnsi="Times New Roman" w:eastAsia="宋体" w:cs="Times New Roman"/>
        <w:color w:val="888888"/>
        <w:sz w:val="18"/>
      </w:rPr>
      <w:t>1</w:t>
    </w:r>
    <w:r>
      <w:rPr>
        <w:rFonts w:ascii="Times New Roman" w:hAnsi="Times New Roman" w:eastAsia="宋体" w:cs="Times New Roman"/>
      </w:rPr>
      <w:fldChar w:fldCharType="end"/>
    </w:r>
    <w:r>
      <w:rPr>
        <w:rFonts w:hint="eastAsia" w:ascii="Times New Roman" w:hAnsi="Times New Roman" w:eastAsia="宋体" w:cs="Times New Roman"/>
        <w:color w:val="888888"/>
        <w:sz w:val="18"/>
      </w:rPr>
      <w:t>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  <w:ind w:firstLine="480"/>
      </w:pPr>
      <w:r>
        <w:separator/>
      </w:r>
    </w:p>
  </w:footnote>
  <w:footnote w:type="continuationSeparator" w:id="1">
    <w:p>
      <w:pPr>
        <w:spacing w:before="0" w:after="0"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4F19DC">
    <w:pPr>
      <w:pStyle w:val="11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7DCE18">
    <w:pPr>
      <w:pStyle w:val="11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7003FC">
    <w:pPr>
      <w:pStyle w:val="11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C866453"/>
    <w:multiLevelType w:val="singleLevel"/>
    <w:tmpl w:val="7C866453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72DF"/>
    <w:rsid w:val="000814DE"/>
    <w:rsid w:val="00233623"/>
    <w:rsid w:val="00550CA7"/>
    <w:rsid w:val="005953DA"/>
    <w:rsid w:val="00692C94"/>
    <w:rsid w:val="00880E1E"/>
    <w:rsid w:val="008B3316"/>
    <w:rsid w:val="00910A56"/>
    <w:rsid w:val="00963A2E"/>
    <w:rsid w:val="009972DF"/>
    <w:rsid w:val="009F13B2"/>
    <w:rsid w:val="00B37FCB"/>
    <w:rsid w:val="00B9268D"/>
    <w:rsid w:val="00C55963"/>
    <w:rsid w:val="00C655AC"/>
    <w:rsid w:val="00ED1A38"/>
    <w:rsid w:val="00FC2F9E"/>
    <w:rsid w:val="22DE346D"/>
    <w:rsid w:val="29C601D3"/>
    <w:rsid w:val="43A00481"/>
    <w:rsid w:val="4DE71A0D"/>
    <w:rsid w:val="5A0377E1"/>
    <w:rsid w:val="65E90AB1"/>
    <w:rsid w:val="6C98782A"/>
    <w:rsid w:val="73CB5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qFormat="1" w:unhideWhenUsed="0" w:uiPriority="0" w:semiHidden="0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napToGrid w:val="0"/>
      <w:spacing w:before="100" w:beforeAutospacing="1" w:line="440" w:lineRule="atLeast"/>
      <w:ind w:firstLine="480" w:firstLineChars="200"/>
      <w:jc w:val="both"/>
    </w:pPr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paragraph" w:styleId="2">
    <w:name w:val="heading 1"/>
    <w:uiPriority w:val="0"/>
    <w:pPr>
      <w:jc w:val="left"/>
      <w:outlineLvl w:val="0"/>
    </w:pPr>
    <w:rPr>
      <w:rFonts w:ascii="Times New Roman" w:hAnsi="Times New Roman" w:eastAsia="黑体" w:cs="Times New Roman"/>
      <w:b/>
      <w:sz w:val="28"/>
      <w:lang w:val="en-US" w:eastAsia="zh-CN" w:bidi="ar-SA"/>
    </w:rPr>
  </w:style>
  <w:style w:type="paragraph" w:styleId="3">
    <w:name w:val="heading 2"/>
    <w:link w:val="27"/>
    <w:uiPriority w:val="0"/>
    <w:pPr>
      <w:spacing w:before="0" w:after="0" w:line="408" w:lineRule="auto"/>
      <w:jc w:val="left"/>
      <w:outlineLvl w:val="1"/>
    </w:pPr>
    <w:rPr>
      <w:rFonts w:ascii="Times New Roman" w:hAnsi="Times New Roman" w:eastAsia="黑体" w:cs="Times New Roman"/>
      <w:b/>
      <w:sz w:val="24"/>
      <w:lang w:val="en-US" w:eastAsia="zh-CN" w:bidi="ar-SA"/>
    </w:rPr>
  </w:style>
  <w:style w:type="paragraph" w:styleId="4">
    <w:name w:val="heading 3"/>
    <w:uiPriority w:val="0"/>
    <w:pPr>
      <w:jc w:val="left"/>
      <w:outlineLvl w:val="2"/>
    </w:pPr>
    <w:rPr>
      <w:rFonts w:ascii="Times New Roman" w:hAnsi="Times New Roman" w:eastAsia="黑体" w:cs="Times New Roman"/>
      <w:b/>
      <w:sz w:val="27"/>
      <w:lang w:val="en-US" w:eastAsia="zh-CN" w:bidi="ar-SA"/>
    </w:rPr>
  </w:style>
  <w:style w:type="character" w:default="1" w:styleId="19">
    <w:name w:val="Default Paragraph Font"/>
    <w:semiHidden/>
    <w:unhideWhenUsed/>
    <w:uiPriority w:val="1"/>
  </w:style>
  <w:style w:type="table" w:default="1" w:styleId="1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7"/>
    <w:uiPriority w:val="0"/>
    <w:rPr>
      <w:rFonts w:ascii="Times New Roman" w:hAnsi="Times New Roman" w:eastAsia="宋体" w:cs="Times New Roman"/>
      <w:kern w:val="2"/>
      <w:sz w:val="22"/>
      <w:szCs w:val="22"/>
      <w:lang w:val="en-US" w:eastAsia="zh-CN" w:bidi="ar-SA"/>
    </w:rPr>
  </w:style>
  <w:style w:type="paragraph" w:styleId="6">
    <w:name w:val="Body Text"/>
    <w:uiPriority w:val="0"/>
    <w:pPr>
      <w:spacing w:after="12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7">
    <w:name w:val="toc 5"/>
    <w:uiPriority w:val="0"/>
    <w:rPr>
      <w:rFonts w:ascii="Times New Roman" w:hAnsi="Times New Roman" w:eastAsia="宋体" w:cs="Times New Roman"/>
      <w:kern w:val="2"/>
      <w:sz w:val="22"/>
      <w:szCs w:val="22"/>
      <w:lang w:val="en-US" w:eastAsia="zh-CN" w:bidi="ar-SA"/>
    </w:rPr>
  </w:style>
  <w:style w:type="paragraph" w:styleId="8">
    <w:name w:val="toc 3"/>
    <w:qFormat/>
    <w:uiPriority w:val="0"/>
    <w:rPr>
      <w:rFonts w:ascii="Times New Roman" w:hAnsi="Times New Roman" w:eastAsia="宋体" w:cs="Times New Roman"/>
      <w:kern w:val="2"/>
      <w:sz w:val="22"/>
      <w:szCs w:val="22"/>
      <w:lang w:val="en-US" w:eastAsia="zh-CN" w:bidi="ar-SA"/>
    </w:rPr>
  </w:style>
  <w:style w:type="paragraph" w:styleId="9">
    <w:name w:val="toc 8"/>
    <w:uiPriority w:val="0"/>
    <w:rPr>
      <w:rFonts w:ascii="Times New Roman" w:hAnsi="Times New Roman" w:eastAsia="宋体" w:cs="Times New Roman"/>
      <w:kern w:val="2"/>
      <w:sz w:val="22"/>
      <w:szCs w:val="22"/>
      <w:lang w:val="en-US" w:eastAsia="zh-CN" w:bidi="ar-SA"/>
    </w:rPr>
  </w:style>
  <w:style w:type="paragraph" w:styleId="10">
    <w:name w:val="footer"/>
    <w:basedOn w:val="1"/>
    <w:link w:val="21"/>
    <w:unhideWhenUsed/>
    <w:uiPriority w:val="99"/>
    <w:pPr>
      <w:tabs>
        <w:tab w:val="center" w:pos="4153"/>
        <w:tab w:val="right" w:pos="8306"/>
      </w:tabs>
    </w:pPr>
    <w:rPr>
      <w:sz w:val="18"/>
      <w:szCs w:val="18"/>
    </w:rPr>
  </w:style>
  <w:style w:type="paragraph" w:styleId="11">
    <w:name w:val="header"/>
    <w:basedOn w:val="1"/>
    <w:link w:val="20"/>
    <w:unhideWhenUsed/>
    <w:uiPriority w:val="99"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12">
    <w:name w:val="toc 1"/>
    <w:qFormat/>
    <w:uiPriority w:val="0"/>
    <w:pPr>
      <w:tabs>
        <w:tab w:val="right" w:leader="dot" w:pos="9072"/>
      </w:tabs>
      <w:spacing w:before="360" w:after="360" w:line="360" w:lineRule="auto"/>
    </w:pPr>
    <w:rPr>
      <w:rFonts w:ascii="Times New Roman" w:hAnsi="Times New Roman" w:eastAsia="宋体" w:cs="Times New Roman"/>
      <w:b/>
      <w:kern w:val="2"/>
      <w:sz w:val="22"/>
      <w:szCs w:val="22"/>
      <w:lang w:val="en-US" w:eastAsia="zh-CN" w:bidi="ar-SA"/>
    </w:rPr>
  </w:style>
  <w:style w:type="paragraph" w:styleId="13">
    <w:name w:val="toc 4"/>
    <w:uiPriority w:val="0"/>
    <w:rPr>
      <w:rFonts w:ascii="Times New Roman" w:hAnsi="Times New Roman" w:eastAsia="宋体" w:cs="Times New Roman"/>
      <w:kern w:val="2"/>
      <w:sz w:val="22"/>
      <w:szCs w:val="22"/>
      <w:lang w:val="en-US" w:eastAsia="zh-CN" w:bidi="ar-SA"/>
    </w:rPr>
  </w:style>
  <w:style w:type="paragraph" w:styleId="14">
    <w:name w:val="toc 6"/>
    <w:uiPriority w:val="0"/>
    <w:rPr>
      <w:rFonts w:ascii="Times New Roman" w:hAnsi="Times New Roman" w:eastAsia="宋体" w:cs="Times New Roman"/>
      <w:kern w:val="2"/>
      <w:sz w:val="22"/>
      <w:szCs w:val="22"/>
      <w:lang w:val="en-US" w:eastAsia="zh-CN" w:bidi="ar-SA"/>
    </w:rPr>
  </w:style>
  <w:style w:type="paragraph" w:styleId="15">
    <w:name w:val="toc 2"/>
    <w:qFormat/>
    <w:uiPriority w:val="0"/>
    <w:pPr>
      <w:tabs>
        <w:tab w:val="right" w:leader="dot" w:pos="9072"/>
      </w:tabs>
      <w:spacing w:after="60" w:line="360" w:lineRule="auto"/>
      <w:ind w:left="420"/>
    </w:pPr>
    <w:rPr>
      <w:rFonts w:ascii="Times New Roman" w:hAnsi="Times New Roman" w:eastAsia="宋体" w:cs="Times New Roman"/>
      <w:b/>
      <w:kern w:val="2"/>
      <w:sz w:val="22"/>
      <w:szCs w:val="22"/>
      <w:lang w:val="en-US" w:eastAsia="zh-CN" w:bidi="ar-SA"/>
    </w:rPr>
  </w:style>
  <w:style w:type="paragraph" w:styleId="16">
    <w:name w:val="toc 9"/>
    <w:qFormat/>
    <w:uiPriority w:val="0"/>
    <w:rPr>
      <w:rFonts w:ascii="Times New Roman" w:hAnsi="Times New Roman" w:eastAsia="宋体" w:cs="Times New Roman"/>
      <w:kern w:val="2"/>
      <w:sz w:val="22"/>
      <w:szCs w:val="22"/>
      <w:lang w:val="en-US" w:eastAsia="zh-CN" w:bidi="ar-SA"/>
    </w:rPr>
  </w:style>
  <w:style w:type="table" w:styleId="18">
    <w:name w:val="Table Grid"/>
    <w:basedOn w:val="17"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0">
    <w:name w:val="页眉 字符"/>
    <w:basedOn w:val="19"/>
    <w:link w:val="11"/>
    <w:uiPriority w:val="99"/>
    <w:rPr>
      <w:sz w:val="18"/>
      <w:szCs w:val="18"/>
    </w:rPr>
  </w:style>
  <w:style w:type="character" w:customStyle="1" w:styleId="21">
    <w:name w:val="页脚 字符"/>
    <w:basedOn w:val="19"/>
    <w:link w:val="10"/>
    <w:uiPriority w:val="99"/>
    <w:rPr>
      <w:sz w:val="18"/>
      <w:szCs w:val="18"/>
    </w:rPr>
  </w:style>
  <w:style w:type="paragraph" w:customStyle="1" w:styleId="22">
    <w:name w:val="TOC 标题1"/>
    <w:next w:val="1"/>
    <w:qFormat/>
    <w:uiPriority w:val="0"/>
    <w:pPr>
      <w:spacing w:before="480" w:line="276" w:lineRule="auto"/>
    </w:pPr>
    <w:rPr>
      <w:rFonts w:ascii="Times New Roman" w:hAnsi="Times New Roman" w:eastAsia="宋体" w:cs="Times New Roman"/>
      <w:kern w:val="2"/>
      <w:sz w:val="28"/>
      <w:szCs w:val="28"/>
      <w:lang w:val="en-US" w:eastAsia="zh-CN" w:bidi="ar-SA"/>
    </w:rPr>
  </w:style>
  <w:style w:type="paragraph" w:customStyle="1" w:styleId="23">
    <w:name w:val="HTML 代码1"/>
    <w:qFormat/>
    <w:uiPriority w:val="0"/>
    <w:rPr>
      <w:rFonts w:ascii="Courier New" w:hAnsi="Courier New" w:eastAsia="Courier New" w:cs="Courier New"/>
      <w:kern w:val="2"/>
      <w:szCs w:val="24"/>
      <w:lang w:val="en-US" w:eastAsia="zh-CN" w:bidi="ar-SA"/>
    </w:rPr>
  </w:style>
  <w:style w:type="paragraph" w:customStyle="1" w:styleId="24">
    <w:name w:val="WPSOffice手动目录 1"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customStyle="1" w:styleId="25">
    <w:name w:val="WPSOffice手动目录 2"/>
    <w:uiPriority w:val="0"/>
    <w:pPr>
      <w:ind w:left="200" w:leftChars="200"/>
    </w:pPr>
    <w:rPr>
      <w:rFonts w:asciiTheme="minorHAnsi" w:hAnsiTheme="minorHAnsi" w:eastAsiaTheme="minorEastAsia" w:cstheme="minorBidi"/>
      <w:lang w:val="en-US" w:eastAsia="zh-CN" w:bidi="ar-SA"/>
    </w:rPr>
  </w:style>
  <w:style w:type="paragraph" w:customStyle="1" w:styleId="26">
    <w:name w:val="WPSOffice手动目录 3"/>
    <w:uiPriority w:val="0"/>
    <w:pPr>
      <w:ind w:left="400" w:leftChars="400"/>
    </w:pPr>
    <w:rPr>
      <w:rFonts w:asciiTheme="minorHAnsi" w:hAnsiTheme="minorHAnsi" w:eastAsiaTheme="minorEastAsia" w:cstheme="minorBidi"/>
      <w:lang w:val="en-US" w:eastAsia="zh-CN" w:bidi="ar-SA"/>
    </w:rPr>
  </w:style>
  <w:style w:type="character" w:customStyle="1" w:styleId="27">
    <w:name w:val="标题 2 字符"/>
    <w:link w:val="3"/>
    <w:uiPriority w:val="0"/>
    <w:rPr>
      <w:rFonts w:ascii="Times New Roman" w:hAnsi="Times New Roman" w:eastAsia="黑体" w:cs="Times New Roman"/>
      <w:b/>
      <w:kern w:val="2"/>
      <w:sz w:val="24"/>
      <w:szCs w:val="24"/>
      <w:lang w:val="en-US" w:eastAsia="zh-CN" w:bidi="ar-SA"/>
    </w:rPr>
  </w:style>
  <w:style w:type="paragraph" w:customStyle="1" w:styleId="28">
    <w:name w:val="HTML 代码2"/>
    <w:uiPriority w:val="0"/>
    <w:rPr>
      <w:rFonts w:ascii="Courier New" w:hAnsi="Courier New" w:eastAsia="Courier New" w:cs="Courier New"/>
      <w:lang w:val="en-US" w:eastAsia="zh-CN" w:bidi="ar-SA"/>
    </w:rPr>
  </w:style>
  <w:style w:type="paragraph" w:customStyle="1" w:styleId="29">
    <w:name w:val="HTML 代码3"/>
    <w:uiPriority w:val="0"/>
    <w:rPr>
      <w:rFonts w:ascii="Courier New" w:hAnsi="Courier New" w:eastAsia="Courier New" w:cs="Courier New"/>
      <w:lang w:val="en-US" w:eastAsia="zh-CN" w:bidi="ar-SA"/>
    </w:rPr>
  </w:style>
  <w:style w:type="paragraph" w:customStyle="1" w:styleId="30">
    <w:name w:val="HTML 代码4"/>
    <w:uiPriority w:val="0"/>
    <w:rPr>
      <w:rFonts w:ascii="Courier New" w:hAnsi="Courier New" w:eastAsia="Courier New" w:cs="Courier New"/>
      <w:lang w:val="en-US" w:eastAsia="zh-CN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4" Type="http://schemas.openxmlformats.org/officeDocument/2006/relationships/fontTable" Target="fontTable.xml"/><Relationship Id="rId33" Type="http://schemas.openxmlformats.org/officeDocument/2006/relationships/numbering" Target="numbering.xml"/><Relationship Id="rId32" Type="http://schemas.openxmlformats.org/officeDocument/2006/relationships/image" Target="media/image12.png"/><Relationship Id="rId31" Type="http://schemas.openxmlformats.org/officeDocument/2006/relationships/image" Target="media/image11.png"/><Relationship Id="rId30" Type="http://schemas.openxmlformats.org/officeDocument/2006/relationships/image" Target="media/image10.png"/><Relationship Id="rId3" Type="http://schemas.openxmlformats.org/officeDocument/2006/relationships/footnotes" Target="footnotes.xml"/><Relationship Id="rId29" Type="http://schemas.openxmlformats.org/officeDocument/2006/relationships/image" Target="media/image9.png"/><Relationship Id="rId28" Type="http://schemas.openxmlformats.org/officeDocument/2006/relationships/image" Target="media/image8.png"/><Relationship Id="rId27" Type="http://schemas.openxmlformats.org/officeDocument/2006/relationships/image" Target="media/image7.png"/><Relationship Id="rId26" Type="http://schemas.openxmlformats.org/officeDocument/2006/relationships/image" Target="media/image6.png"/><Relationship Id="rId25" Type="http://schemas.openxmlformats.org/officeDocument/2006/relationships/image" Target="media/image5.png"/><Relationship Id="rId24" Type="http://schemas.openxmlformats.org/officeDocument/2006/relationships/image" Target="media/image4.png"/><Relationship Id="rId23" Type="http://schemas.openxmlformats.org/officeDocument/2006/relationships/image" Target="media/image3.png"/><Relationship Id="rId22" Type="http://schemas.openxmlformats.org/officeDocument/2006/relationships/image" Target="media/image2.png"/><Relationship Id="rId21" Type="http://schemas.openxmlformats.org/officeDocument/2006/relationships/image" Target="media/image1.png"/><Relationship Id="rId20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oter" Target="footer12.xml"/><Relationship Id="rId18" Type="http://schemas.openxmlformats.org/officeDocument/2006/relationships/footer" Target="footer11.xml"/><Relationship Id="rId17" Type="http://schemas.openxmlformats.org/officeDocument/2006/relationships/footer" Target="footer10.xml"/><Relationship Id="rId16" Type="http://schemas.openxmlformats.org/officeDocument/2006/relationships/footer" Target="footer9.xml"/><Relationship Id="rId15" Type="http://schemas.openxmlformats.org/officeDocument/2006/relationships/footer" Target="footer8.xml"/><Relationship Id="rId14" Type="http://schemas.openxmlformats.org/officeDocument/2006/relationships/footer" Target="footer7.xml"/><Relationship Id="rId13" Type="http://schemas.openxmlformats.org/officeDocument/2006/relationships/footer" Target="footer6.xml"/><Relationship Id="rId12" Type="http://schemas.openxmlformats.org/officeDocument/2006/relationships/footer" Target="footer5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宋体"/>
        <a:cs typeface="Times New Roman"/>
      </a:majorFont>
      <a:minorFont>
        <a:latin typeface="Times New Roman"/>
        <a:ea typeface="宋体"/>
        <a:cs typeface="Times New Roman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38</Pages>
  <Words>6903</Words>
  <Characters>9104</Characters>
  <Lines>974</Lines>
  <Paragraphs>429</Paragraphs>
  <TotalTime>16</TotalTime>
  <ScaleCrop>false</ScaleCrop>
  <LinksUpToDate>false</LinksUpToDate>
  <CharactersWithSpaces>9298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2026-10-21T23:55:00Z</dcterms:created>
  <dc:creator>xiang</dc:creator>
  <cp:lastModifiedBy>WangXY</cp:lastModifiedBy>
  <cp:lastPrinted>2026-10-22T06:02:00Z</cp:lastPrinted>
  <dcterms:modified xsi:type="dcterms:W3CDTF">2026-10-22T06:21:32Z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"01a15f28ea5a7f778f9a623124d679a1", "ReservedCode1": "", "ContentPropagator": "00119111010856365494821B355", "PropagateID": "01a15f28ea5a7f778f9a623124d679a1", "ReservedCode2": ""}}</vt:lpwstr>
  </property>
  <property fmtid="{D5CDD505-2E9C-101B-9397-08002B2CF9AE}" pid="3" name="KSOTemplateDocerSaveRecord">
    <vt:lpwstr>eyJoZGlkIjoiNzQ4ODZmOWZkOTFhMmM5Njk2NGU5MGI2YzFiZGM0ZjgiLCJ1c2VySWQiOiIyMzc4NDA5MzgifQ==</vt:lpwstr>
  </property>
  <property fmtid="{D5CDD505-2E9C-101B-9397-08002B2CF9AE}" pid="4" name="KSOProductBuildVer">
    <vt:lpwstr>2052-12.1.0.29161</vt:lpwstr>
  </property>
  <property fmtid="{D5CDD505-2E9C-101B-9397-08002B2CF9AE}" pid="5" name="ICV">
    <vt:lpwstr>B6F46C51CC634B0BBE78112B8259D99C_13</vt:lpwstr>
  </property>
</Properties>
</file>