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18C9ED22">
      <w:pPr>
        <w:spacing w:before="600" w:after="600" w:line="432"/>
        <w:ind w:left="600" w:right="600"/>
        <w:jc w:val="center"/>
        <w:rPr>
          <w:color w:val="1f2430"/>
        </w:rPr>
      </w:pPr>
      <w:r>
        <w:rPr>
          <w:rFonts w:hint="eastAsia" w:ascii="SimHei" w:hAnsi="SimHei" w:eastAsia="SimHei" w:cs="SimHei"/>
          <w:b w:val="1"/>
          <w:color w:val="1f2430"/>
          <w:sz w:val="48"/>
        </w:rPr>
        <w:t>《Python 数据分析编程》课程项目报告</w:t>
      </w:r>
    </w:p>
    <w:p w14:paraId="66CB20F7">
      <w:pPr>
        <w:spacing w:before="80" w:after="80" w:line="432"/>
        <w:ind w:left="80" w:right="80"/>
        <w:jc w:val="center"/>
        <w:rPr>
          <w:color w:val="1f2430"/>
        </w:rPr>
      </w:pPr>
      <w:r>
        <w:rPr>
          <w:rFonts w:hint="eastAsia" w:ascii="SimHei" w:hAnsi="SimHei" w:eastAsia="SimHei" w:cs="SimHei"/>
          <w:color w:val="1f2430"/>
          <w:sz w:val="30"/>
        </w:rPr>
        <w:t>基于时间序列验证与特征消融的</w:t>
      </w:r>
      <w:r>
        <w:br w:type="textWrapping"/>
      </w:r>
      <w:r>
        <w:rPr>
          <w:rFonts w:hint="eastAsia" w:ascii="SimHei" w:hAnsi="SimHei" w:eastAsia="SimHei" w:cs="SimHei"/>
          <w:color w:val="1f2430"/>
          <w:sz w:val="30"/>
        </w:rPr>
        <w:t>城市短期电力负荷预测研究</w:t>
      </w:r>
    </w:p>
    <w:p w14:paraId="684AFF6C">
      <w:pPr>
        <w:spacing w:before="520" w:after="120" w:line="528"/>
        <w:ind w:left="120" w:right="120"/>
        <w:jc w:val="center"/>
        <w:rPr>
          <w:color w:val="1f2430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color w:val="1f2430"/>
          <w:sz w:val="24"/>
        </w:rPr>
        <w:t xml:space="preserve"> 题目编号：题目四　城市电力负荷分析与预测</w:t>
      </w:r>
      <w:r>
        <w:br w:type="textWrapping"/>
      </w:r>
      <w:r>
        <w:rPr>
          <w:rFonts w:hint="eastAsia" w:ascii="SimSun" w:hAnsi="SimSun" w:eastAsia="SimSun" w:cs="SimSun"/>
          <w:color w:val="1f2430"/>
          <w:sz w:val="24"/>
        </w:rPr>
        <w:t xml:space="preserve"> 小组成员：郑宜桥（25121628）　况子昱（25121631）　徐启翔（25121632）</w:t>
      </w:r>
      <w:r>
        <w:br w:type="textWrapping"/>
      </w:r>
      <w:r>
        <w:rPr>
          <w:rFonts w:hint="eastAsia" w:ascii="SimSun" w:hAnsi="SimSun" w:eastAsia="SimSun" w:cs="SimSun"/>
          <w:color w:val="1f2430"/>
          <w:sz w:val="24"/>
        </w:rPr>
        <w:t xml:space="preserve"> 报告日期：2026 年 11 月 </w:t>
      </w:r>
    </w:p>
    <w:p w14:paraId="60A49EAB">
      <w:pPr>
        <w:spacing w:before="240" w:after="120"/>
      </w:pPr>
      <w:r>
        <w:rPr>
          <w:rFonts w:hint="eastAsia"/>
          <w:b w:val="1"/>
        </w:rPr>
        <w:t>目　录</w:t>
      </w:r>
    </w:p>
    <w:p w14:paraId="4BBCA43B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"1-2"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"section-1" </w:instrText>
      </w:r>
      <w:r>
        <w:fldChar w:fldCharType="separate" w:fldLock="0" w:dirty="0"/>
      </w:r>
      <w:r>
        <w:rPr>
          <w:rFonts w:hint="eastAsia"/>
        </w:rPr>
        <w:t>摘要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ED90E48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1　引言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ED70AA8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2　数据介绍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7969686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3　数据清洗与预处理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7002A34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"section-4-1" </w:instrText>
      </w:r>
      <w:r>
        <w:fldChar w:fldCharType="separate" w:fldLock="0" w:dirty="0"/>
      </w:r>
      <w:r>
        <w:rPr>
          <w:rFonts w:hint="eastAsia"/>
        </w:rPr>
        <w:t>3.1　列名与类型规整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4926DEB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"section-4-2" </w:instrText>
      </w:r>
      <w:r>
        <w:fldChar w:fldCharType="separate" w:fldLock="0" w:dirty="0"/>
      </w:r>
      <w:r>
        <w:rPr>
          <w:rFonts w:hint="eastAsia"/>
        </w:rPr>
        <w:t>3.2　缺失值与重复值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D00D1C3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"section-4-3" </w:instrText>
      </w:r>
      <w:r>
        <w:fldChar w:fldCharType="separate" w:fldLock="0" w:dirty="0"/>
      </w:r>
      <w:r>
        <w:rPr>
          <w:rFonts w:hint="eastAsia"/>
        </w:rPr>
        <w:t>3.3　异常值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C95D5A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"section-4-4" </w:instrText>
      </w:r>
      <w:r>
        <w:fldChar w:fldCharType="separate" w:fldLock="0" w:dirty="0"/>
      </w:r>
      <w:r>
        <w:rPr>
          <w:rFonts w:hint="eastAsia"/>
        </w:rPr>
        <w:t>3.4　输出接口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A1E7613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4　负荷的时序规律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2B9FC08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"section-5-1" </w:instrText>
      </w:r>
      <w:r>
        <w:fldChar w:fldCharType="separate" w:fldLock="0" w:dirty="0"/>
      </w:r>
      <w:r>
        <w:rPr>
          <w:rFonts w:hint="eastAsia"/>
        </w:rPr>
        <w:t>4.1　全年走势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7804E21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"section-5-2" </w:instrText>
      </w:r>
      <w:r>
        <w:fldChar w:fldCharType="separate" w:fldLock="0" w:dirty="0"/>
      </w:r>
      <w:r>
        <w:rPr>
          <w:rFonts w:hint="eastAsia"/>
        </w:rPr>
        <w:t>4.2　日内规律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8FA90CE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"section-5-3" </w:instrText>
      </w:r>
      <w:r>
        <w:fldChar w:fldCharType="separate" w:fldLock="0" w:dirty="0"/>
      </w:r>
      <w:r>
        <w:rPr>
          <w:rFonts w:hint="eastAsia"/>
        </w:rPr>
        <w:t>4.3　周内规律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D16A6DC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"section-5-4" </w:instrText>
      </w:r>
      <w:r>
        <w:fldChar w:fldCharType="separate" w:fldLock="0" w:dirty="0"/>
      </w:r>
      <w:r>
        <w:rPr>
          <w:rFonts w:hint="eastAsia"/>
        </w:rPr>
        <w:t>4.4　季节规律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627CCAF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"section-5-5" </w:instrText>
      </w:r>
      <w:r>
        <w:fldChar w:fldCharType="separate" w:fldLock="0" w:dirty="0"/>
      </w:r>
      <w:r>
        <w:rPr>
          <w:rFonts w:hint="eastAsia"/>
        </w:rPr>
        <w:t>4.5　分区对比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BA53E7E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"section-6" </w:instrText>
      </w:r>
      <w:r>
        <w:fldChar w:fldCharType="separate" w:fldLock="0" w:dirty="0"/>
      </w:r>
      <w:r>
        <w:rPr>
          <w:rFonts w:hint="eastAsia"/>
        </w:rPr>
        <w:t>5　天气因素与负荷的关系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D722B91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"section-6-1" </w:instrText>
      </w:r>
      <w:r>
        <w:fldChar w:fldCharType="separate" w:fldLock="0" w:dirty="0"/>
      </w:r>
      <w:r>
        <w:rPr>
          <w:rFonts w:hint="eastAsia"/>
        </w:rPr>
        <w:t>5.1　相关系数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B83A7A1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"section-6-2" </w:instrText>
      </w:r>
      <w:r>
        <w:fldChar w:fldCharType="separate" w:fldLock="0" w:dirty="0"/>
      </w:r>
      <w:r>
        <w:rPr>
          <w:rFonts w:hint="eastAsia"/>
        </w:rPr>
        <w:t>5.2　温度与负荷的分段特征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5DD0257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"section-6-3" </w:instrText>
      </w:r>
      <w:r>
        <w:fldChar w:fldCharType="separate" w:fldLock="0" w:dirty="0"/>
      </w:r>
      <w:r>
        <w:rPr>
          <w:rFonts w:hint="eastAsia"/>
        </w:rPr>
        <w:t>5.3　与消融结果的呼应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59546C2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"section-6-4" </w:instrText>
      </w:r>
      <w:r>
        <w:fldChar w:fldCharType="separate" w:fldLock="0" w:dirty="0"/>
      </w:r>
      <w:r>
        <w:rPr>
          <w:rFonts w:hint="eastAsia"/>
        </w:rPr>
        <w:t>5.4　本节结论的局限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D2C1D5E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"section-7" </w:instrText>
      </w:r>
      <w:r>
        <w:fldChar w:fldCharType="separate" w:fldLock="0" w:dirty="0"/>
      </w:r>
      <w:r>
        <w:rPr>
          <w:rFonts w:hint="eastAsia"/>
        </w:rPr>
        <w:t>6　短期负荷预测：模型、消融与误差分析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978A9DD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"section-7-1" </w:instrText>
      </w:r>
      <w:r>
        <w:fldChar w:fldCharType="separate" w:fldLock="0" w:dirty="0"/>
      </w:r>
      <w:r>
        <w:rPr>
          <w:rFonts w:hint="eastAsia"/>
        </w:rPr>
        <w:t>6.1　预测任务与实验协议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9D9A612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"section-7-2" </w:instrText>
      </w:r>
      <w:r>
        <w:fldChar w:fldCharType="separate" w:fldLock="0" w:dirty="0"/>
      </w:r>
      <w:r>
        <w:rPr>
          <w:rFonts w:hint="eastAsia"/>
        </w:rPr>
        <w:t>6.2　特征与模型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683880B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"section-7-3" </w:instrText>
      </w:r>
      <w:r>
        <w:fldChar w:fldCharType="separate" w:fldLock="0" w:dirty="0"/>
      </w:r>
      <w:r>
        <w:rPr>
          <w:rFonts w:hint="eastAsia"/>
        </w:rPr>
        <w:t>6.3　模型比较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048E925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"section-7-4" </w:instrText>
      </w:r>
      <w:r>
        <w:fldChar w:fldCharType="separate" w:fldLock="0" w:dirty="0"/>
      </w:r>
      <w:r>
        <w:rPr>
          <w:rFonts w:hint="eastAsia"/>
        </w:rPr>
        <w:t>6.4　天气特征消融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E499379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"section-7-5" </w:instrText>
      </w:r>
      <w:r>
        <w:fldChar w:fldCharType="separate" w:fldLock="0" w:dirty="0"/>
      </w:r>
      <w:r>
        <w:rPr>
          <w:rFonts w:hint="eastAsia"/>
        </w:rPr>
        <w:t>6.5　分区域与高峰时段误差分析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C6FDF46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"section-8" </w:instrText>
      </w:r>
      <w:r>
        <w:fldChar w:fldCharType="separate" w:fldLock="0" w:dirty="0"/>
      </w:r>
      <w:r>
        <w:rPr>
          <w:rFonts w:hint="eastAsia"/>
        </w:rPr>
        <w:t>7　总结与结论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9488B65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"section-8-1" </w:instrText>
      </w:r>
      <w:r>
        <w:fldChar w:fldCharType="separate" w:fldLock="0" w:dirty="0"/>
      </w:r>
      <w:r>
        <w:rPr>
          <w:rFonts w:hint="eastAsia"/>
        </w:rPr>
        <w:t>7.1　主要发现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E6C17F3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"section-8-2" </w:instrText>
      </w:r>
      <w:r>
        <w:fldChar w:fldCharType="separate" w:fldLock="0" w:dirty="0"/>
      </w:r>
      <w:r>
        <w:rPr>
          <w:rFonts w:hint="eastAsia"/>
        </w:rPr>
        <w:t>7.2　对电网调度的建议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6BB840B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"section-8-3" </w:instrText>
      </w:r>
      <w:r>
        <w:fldChar w:fldCharType="separate" w:fldLock="0" w:dirty="0"/>
      </w:r>
      <w:r>
        <w:rPr>
          <w:rFonts w:hint="eastAsia"/>
        </w:rPr>
        <w:t>7.3　局限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249B7AC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"section-9" </w:instrText>
      </w:r>
      <w:r>
        <w:fldChar w:fldCharType="separate" w:fldLock="0" w:dirty="0"/>
      </w:r>
      <w:r>
        <w:rPr>
          <w:rFonts w:hint="eastAsia"/>
        </w:rPr>
        <w:t>8　小组成员分工与个人承担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097ABCB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"section-10" </w:instrText>
      </w:r>
      <w:r>
        <w:fldChar w:fldCharType="separate" w:fldLock="0" w:dirty="0"/>
      </w:r>
      <w:r>
        <w:rPr>
          <w:rFonts w:hint="eastAsia"/>
        </w:rPr>
        <w:t>9　附录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section-10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06AF4BBB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798F537D">
      <w:pPr>
        <w:pStyle w:val="000005"/>
        <w:keepNext w:val="1"/>
        <w:keepLines w:val="1"/>
        <w:spacing w:before="360" w:beforeAutospacing="1" w:after="360" w:afterAutospacing="1"/>
        <w:ind w:left="360" w:right="360"/>
        <w:outlineLvl w:val="0"/>
        <w:rPr>
          <w:color w:val="1f2430"/>
          <w:kern w:val="44"/>
          <w:sz w:val="44"/>
          <w:szCs w:val="44"/>
        </w:rPr>
      </w:pPr>
      <w:bookmarkStart w:id="1" w:name="section-1"/>
      <w:r>
        <w:rPr>
          <w:rFonts w:hint="eastAsia" w:ascii="SimHei" w:hAnsi="SimHei" w:eastAsia="SimHei" w:cs="SimHei"/>
          <w:b w:val="1"/>
          <w:color w:val="1f2430"/>
          <w:sz w:val="32"/>
        </w:rPr>
        <w:t>摘　要</w:t>
      </w:r>
      <w:bookmarkEnd w:id="1"/>
    </w:p>
    <w:p w14:paraId="7165C9F5">
      <w:pPr>
        <w:spacing w:before="120" w:after="120" w:line="432"/>
        <w:ind w:left="120" w:right="120" w:firstLine="480"/>
        <w:rPr>
          <w:color w:val="1f2430"/>
        </w:rPr>
      </w:pPr>
      <w:r>
        <w:rPr>
          <w:rFonts w:hint="eastAsia" w:ascii="SimSun" w:hAnsi="SimSun" w:eastAsia="SimSun" w:cs="SimSun"/>
          <w:color w:val="1f2430"/>
          <w:sz w:val="24"/>
        </w:rPr>
        <w:t>电力负荷的短期预测是电网调度的基础输入。本项目以某城市 2017 年全年的电力负荷监测数据为对象，包含三个计量区域的负荷与温度、湿度、风速等气象观测，10 分钟采样、52,416 条记录、全年无缺失。研究按"清洗 → 探索性分析 → 建模预测 → 误差归因"的流程展开：探索性分析发现三个区域共享"凌晨低谷—午间平台—晚间高峰"的日周期结构（峰谷比 1.89–2.23），温度是唯一在三区稳定正相关的气象因子；预测任务定义为提前 1 小时（6 个采样步），按时间顺序 70%/15%/15% 划分数据，比较历史同期基线、线性回归与梯度提升树三种模型，并以特征消融检验天气信息的增益。测试集结果显示：三区域合并口径下历史同期基线的 MAE/RMSE 最低（1050.68/1643.67），两个学习模型整体不敌基线，主因是日周期极强且测试期负荷水平较训练期下移；天气特征在六个模型×区域组合中的五个降低误差（最多 −34.6%），增益排序与温度相关性排序一致；高峰时段误差约为普通时段的 2.5 倍且系统性低估峰值。基于上述结果，给出了短期调度中基线兜底、高峰留裕度等建议。</w:t>
      </w:r>
    </w:p>
    <w:p w14:paraId="7C269219">
      <w:pPr>
        <w:spacing w:before="120" w:after="120" w:line="432"/>
        <w:ind w:left="120" w:right="120"/>
        <w:rPr>
          <w:color w:val="1f2430"/>
        </w:rPr>
        <w:sectPr>
          <w:footerReference r:id="rId4" w:type="default"/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  <w:r>
        <w:rPr>
          <w:rFonts w:hint="eastAsia" w:ascii="SimHei" w:hAnsi="SimHei" w:eastAsia="SimHei" w:cs="SimHei"/>
          <w:b w:val="1"/>
          <w:color w:val="1f2430"/>
          <w:sz w:val="24"/>
        </w:rPr>
        <w:t>关键词：</w:t>
      </w:r>
      <w:r>
        <w:rPr>
          <w:rFonts w:hint="eastAsia" w:ascii="SimSun" w:hAnsi="SimSun" w:eastAsia="SimSun" w:cs="SimSun"/>
          <w:color w:val="1f2430"/>
          <w:sz w:val="24"/>
        </w:rPr>
        <w:t>电力负荷预测；时间序列；特征消融；历史同期基线；梯度提升树</w:t>
      </w:r>
    </w:p>
    <w:p w14:paraId="14C9DB97">
      <w:pPr>
        <w:pStyle w:val="000005"/>
        <w:keepNext w:val="1"/>
        <w:keepLines w:val="1"/>
        <w:spacing w:before="360" w:beforeAutospacing="1" w:after="360" w:afterAutospacing="1"/>
        <w:ind w:left="360" w:right="360"/>
        <w:outlineLvl w:val="0"/>
        <w:rPr>
          <w:color w:val="1f2430"/>
          <w:kern w:val="44"/>
          <w:sz w:val="44"/>
          <w:szCs w:val="44"/>
        </w:rPr>
      </w:pPr>
      <w:bookmarkStart w:id="2" w:name="section-2"/>
      <w:r>
        <w:rPr>
          <w:rFonts w:hint="eastAsia" w:ascii="SimHei" w:hAnsi="SimHei" w:eastAsia="SimHei" w:cs="SimHei"/>
          <w:b w:val="1"/>
          <w:color w:val="1f2430"/>
          <w:sz w:val="32"/>
        </w:rPr>
        <w:t>1　引言</w:t>
      </w:r>
      <w:bookmarkEnd w:id="2"/>
    </w:p>
    <w:p w14:paraId="0F561B56">
      <w:pPr>
        <w:spacing w:before="120" w:after="120" w:line="432"/>
        <w:ind w:left="120" w:right="120" w:firstLine="480"/>
        <w:rPr>
          <w:color w:val="1f2430"/>
        </w:rPr>
      </w:pPr>
      <w:r>
        <w:rPr>
          <w:rFonts w:hint="eastAsia" w:ascii="SimSun" w:hAnsi="SimSun" w:eastAsia="SimSun" w:cs="SimSun"/>
          <w:color w:val="1f2430"/>
          <w:sz w:val="24"/>
        </w:rPr>
        <w:t>电力负荷预测是电网运行调度的基本环节：机组组合、备用容量安排和短期交易决策都依赖未来数小时的负荷估计。负荷受作息、星期、季节和气象条件共同影响，规律性强但也在漂移，短期预测的难点不在于有没有规律可循，而在于用什么特征、什么模型能把这些规律稳定地转化为预测能力。</w:t>
      </w:r>
    </w:p>
    <w:p w14:paraId="023EB46A">
      <w:pPr>
        <w:spacing w:before="120" w:after="120" w:line="432"/>
        <w:ind w:left="120" w:right="120" w:firstLine="480"/>
        <w:rPr>
          <w:color w:val="1f2430"/>
        </w:rPr>
      </w:pPr>
      <w:r>
        <w:rPr>
          <w:rFonts w:hint="eastAsia" w:ascii="SimSun" w:hAnsi="SimSun" w:eastAsia="SimSun" w:cs="SimSun"/>
          <w:color w:val="1f2430"/>
          <w:sz w:val="24"/>
        </w:rPr>
        <w:t>本项目使用课程提供的城市电力负荷监测数据，完成从数据清洗、探索性分析到预测建模的全流程，重点回答三个研究问题：其一，三个计量区域的负荷在日、周、季节尺度上呈现什么结构，彼此有何差异；其二，温度、湿度等气象因素与负荷的统计关联有多强，能否转化为预测增益；其三，在一个日周期极强、且存在水平漂移的序列上，简单的历史同期基线与线性回归、梯度提升树两种学习模型相比孰优孰劣，误差在区域间和时段间如何分布。</w:t>
      </w:r>
    </w:p>
    <w:p w14:paraId="51EF4A9A">
      <w:pPr>
        <w:spacing w:before="120" w:after="120" w:line="432"/>
        <w:ind w:left="120" w:right="120" w:firstLine="480"/>
        <w:rPr>
          <w:color w:val="1f2430"/>
        </w:rPr>
        <w:sectPr>
          <w:footerReference r:id="rId4" w:type="default"/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color w:val="1f2430"/>
          <w:sz w:val="24"/>
        </w:rPr>
        <w:t>对第三个问题我们不预设答案：学习模型未必优于简单基线，天气特征未必带来增益，一切以同一测试集上的对照实验为准。为使结论可信，全部实验遵循统一协议：按时间顺序划分数据以防泄漏，特征只使用预测起点可获得的信息，模型比较与特征消融共用同一样本集，报告中的每个数字都能追溯到实验日志中的实际运行记录。数据来源、字段与清洗结果见第 2、3 章。</w:t>
      </w:r>
    </w:p>
    <w:p w14:paraId="2596CAF7">
      <w:pPr>
        <w:pStyle w:val="000005"/>
        <w:keepNext w:val="1"/>
        <w:keepLines w:val="1"/>
        <w:spacing w:before="360" w:beforeAutospacing="1" w:after="360" w:afterAutospacing="1"/>
        <w:ind w:left="360" w:right="360"/>
        <w:outlineLvl w:val="0"/>
        <w:rPr>
          <w:color w:val="1f2430"/>
          <w:kern w:val="44"/>
          <w:sz w:val="44"/>
          <w:szCs w:val="44"/>
        </w:rPr>
      </w:pPr>
      <w:bookmarkStart w:id="3" w:name="section-3"/>
      <w:r>
        <w:rPr>
          <w:rFonts w:hint="eastAsia" w:ascii="SimHei" w:hAnsi="SimHei" w:eastAsia="SimHei" w:cs="SimHei"/>
          <w:b w:val="1"/>
          <w:color w:val="1f2430"/>
          <w:sz w:val="32"/>
        </w:rPr>
        <w:t>2　数据介绍</w:t>
      </w:r>
      <w:bookmarkEnd w:id="3"/>
    </w:p>
    <w:p w14:paraId="4FC8693A">
      <w:pPr>
        <w:spacing w:before="120" w:after="120" w:line="432"/>
        <w:ind w:left="120" w:right="120" w:firstLine="480"/>
        <w:rPr>
          <w:color w:val="1f2430"/>
        </w:rPr>
      </w:pPr>
      <w:r>
        <w:rPr>
          <w:rFonts w:hint="eastAsia" w:ascii="SimSun" w:hAnsi="SimSun" w:eastAsia="SimSun" w:cs="SimSun"/>
          <w:color w:val="1f2430"/>
          <w:sz w:val="24"/>
        </w:rPr>
        <w:t>本项目使用课程提供的城市电力负荷监测数据，文件为单个 CSV，共 52,416 条记录、9 个字段，覆盖 2017 年 1 月 1 日 0 时至 12 月 30 日 23 时 50 分，采样间隔 10 分钟，全年无中断。</w:t>
      </w:r>
    </w:p>
    <w:p w14:paraId="0B811918">
      <w:pPr>
        <w:spacing w:before="120" w:after="120" w:line="432"/>
        <w:ind w:left="120" w:right="120" w:firstLine="480"/>
        <w:rPr>
          <w:color w:val="1f2430"/>
        </w:rPr>
      </w:pPr>
      <w:r>
        <w:rPr>
          <w:rFonts w:hint="eastAsia" w:ascii="SimSun" w:hAnsi="SimSun" w:eastAsia="SimSun" w:cs="SimSun"/>
          <w:color w:val="1f2430"/>
          <w:sz w:val="24"/>
        </w:rPr>
        <w:t>数据由两类信息组成。一类是三个区域的用电负荷，分别记为区域 1、区域 2 和区域 3；另一类是同一时刻的气象观测，包括气温、相对湿度、风速和两项辐射指标（总漫射辐射、漫射辐射）。所有记录共用同一个时间戳，三个区域的负荷与气象变量在时间上严格对齐，这使得三者可以直接比较，也便于构造滞后特征。</w:t>
      </w:r>
    </w:p>
    <w:p w14:paraId="559167DA">
      <w:pPr>
        <w:spacing w:before="120" w:after="120" w:line="432"/>
        <w:ind w:left="120" w:right="120" w:firstLine="480"/>
        <w:rPr>
          <w:color w:val="1f2430"/>
        </w:rPr>
      </w:pPr>
      <w:r>
        <w:rPr>
          <w:rFonts w:hint="eastAsia" w:ascii="SimSun" w:hAnsi="SimSun" w:eastAsia="SimSun" w:cs="SimSun"/>
          <w:color w:val="1f2430"/>
          <w:sz w:val="24"/>
        </w:rPr>
        <w:t>原始数据没有注明负荷与气象变量的单位。气温数值在 3.25 至 40.01 之间，湿度在 11.34 至 94.80 之间，按量纲判断分别为摄氏度和百分比；风速、两项辐射量与负荷的单位则无从确认。因此本报告在涉及绝对数值时一律按原始单位陈述，不做单位换算，涉及区域间比较的结论均使用比值或百分比，不受单位影响。字段的完整说明见表 1。原始列名中，区域 2 与区域 3 的字段名含有连续两个空格，这一细节在第 3 章的数据清洗中单独处理。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dashed" w:color="c9ced6" w:sz="6"/>
              <w:left w:val="dashed" w:color="c9ced6" w:sz="6"/>
              <w:bottom w:val="dashed" w:color="c9ced6" w:sz="6"/>
              <w:right w:val="dashed" w:color="c9ced6" w:sz="6"/>
            </w:tcBorders>
            <w:shd w:val="clear" w:fill="f5f7fa"/>
            <w:vAlign w:val="center"/>
          </w:tcPr>
          <w:p w14:paraId="75D6B6E2">
            <w:pPr>
              <w:jc w:val="center"/>
              <w:rPr>
                <w:color w:val="6b7280"/>
              </w:rPr>
            </w:pPr>
            <w:r>
              <w:rPr>
                <w:rFonts w:hint="eastAsia" w:ascii="KaiTi" w:hAnsi="KaiTi" w:eastAsia="KaiTi" w:cs="KaiTi"/>
                <w:color w:val="6b7280"/>
                <w:sz w:val="22"/>
              </w:rPr>
              <w:t>（此处插入表 1　数据字段说明）</w:t>
            </w:r>
          </w:p>
        </w:tc>
      </w:tr>
    </w:tbl>
    <w:p w14:paraId="7C264438">
      <w:pPr>
        <w:sectPr>
          <w:footerReference r:id="rId4" w:type="default"/>
          <w:type w:val="nextPage"/>
          <w:pgSz w:w="11906" w:h="16838"/>
          <w:pgMar w:top="1440" w:right="1800" w:bottom="1440" w:left="1800" w:header="851" w:footer="992" w:gutter="0"/>
        </w:sectPr>
      </w:pPr>
    </w:p>
    <w:p w14:paraId="489F2D99">
      <w:pPr>
        <w:pStyle w:val="000005"/>
        <w:keepNext w:val="1"/>
        <w:keepLines w:val="1"/>
        <w:spacing w:before="360" w:beforeAutospacing="1" w:after="360" w:afterAutospacing="1"/>
        <w:ind w:left="360" w:right="360"/>
        <w:outlineLvl w:val="0"/>
        <w:rPr>
          <w:color w:val="1f2430"/>
          <w:kern w:val="44"/>
          <w:sz w:val="44"/>
          <w:szCs w:val="44"/>
        </w:rPr>
      </w:pPr>
      <w:bookmarkStart w:id="4" w:name="section-4"/>
      <w:r>
        <w:rPr>
          <w:rFonts w:hint="eastAsia" w:ascii="SimHei" w:hAnsi="SimHei" w:eastAsia="SimHei" w:cs="SimHei"/>
          <w:b w:val="1"/>
          <w:color w:val="1f2430"/>
          <w:sz w:val="32"/>
        </w:rPr>
        <w:t>3　数据清洗与预处理</w:t>
      </w:r>
      <w:bookmarkEnd w:id="4"/>
    </w:p>
    <w:p w14:paraId="253D8C9F">
      <w:pPr>
        <w:pStyle w:val="000006"/>
        <w:keepNext w:val="1"/>
        <w:keepLines w:val="1"/>
        <w:spacing w:before="280" w:beforeAutospacing="1" w:after="280" w:afterAutospacing="1"/>
        <w:ind w:left="280" w:right="280"/>
        <w:outlineLvl w:val="1"/>
        <w:rPr>
          <w:color w:val="1f2430"/>
          <w:sz w:val="32"/>
          <w:szCs w:val="32"/>
        </w:rPr>
      </w:pPr>
      <w:bookmarkStart w:id="5" w:name="section-4-1"/>
      <w:r>
        <w:rPr>
          <w:rFonts w:hint="eastAsia" w:ascii="SimHei" w:hAnsi="SimHei" w:eastAsia="SimHei" w:cs="SimHei"/>
          <w:b w:val="1"/>
          <w:color w:val="1f2430"/>
          <w:sz w:val="28"/>
        </w:rPr>
        <w:t>3.1　列名与类型规整</w:t>
      </w:r>
      <w:bookmarkEnd w:id="5"/>
    </w:p>
    <w:p w14:paraId="35370D0C">
      <w:pPr>
        <w:spacing w:before="120" w:after="120" w:line="432"/>
        <w:ind w:left="120" w:right="120" w:firstLine="480"/>
        <w:rPr>
          <w:color w:val="1f2430"/>
        </w:rPr>
      </w:pPr>
      <w:r>
        <w:rPr>
          <w:rFonts w:hint="eastAsia" w:ascii="SimSun" w:hAnsi="SimSun" w:eastAsia="SimSun" w:cs="SimSun"/>
          <w:color w:val="1f2430"/>
          <w:sz w:val="24"/>
        </w:rPr>
        <w:t>原始列名混用了空格、大小写和缩写（如 Wind Speed、general diffuse flows），其中区域 2、区域 3 的列名还带有连续两个空格。清洗时先将连续空白折叠为单个空格、去除首尾空格，再统一映射为小写下划线形式，得到 timestamp、temperature、humidity、wind_speed、general_diffuse_flows、diffuse_flows、zone1_power、zone2_power、zone3_power 共 9 个列名。</w:t>
      </w:r>
    </w:p>
    <w:p w14:paraId="15C85AF0">
      <w:pPr>
        <w:spacing w:before="120" w:after="120" w:line="432"/>
        <w:ind w:left="120" w:right="120" w:firstLine="480"/>
        <w:rPr>
          <w:color w:val="1f2430"/>
        </w:rPr>
      </w:pPr>
      <w:r>
        <w:rPr>
          <w:rFonts w:hint="eastAsia" w:ascii="SimSun" w:hAnsi="SimSun" w:eastAsia="SimSun" w:cs="SimSun"/>
          <w:color w:val="1f2430"/>
          <w:sz w:val="24"/>
        </w:rPr>
        <w:t>原始时间列 DateTime 形如 1/1/2017 0:00，按字符串读入时是 object 类型。用 pandas.to_datetime 解析后转为 datetime64 类型，52,416 条记录全部解析成功，没有出现无法识别的格式。其余 8 个数值字段统一转为 float64，转换过程中没有产生新的缺失值。</w:t>
      </w:r>
    </w:p>
    <w:p w14:paraId="00767002">
      <w:pPr>
        <w:pStyle w:val="000006"/>
        <w:keepNext w:val="1"/>
        <w:keepLines w:val="1"/>
        <w:spacing w:before="280" w:beforeAutospacing="1" w:after="280" w:afterAutospacing="1"/>
        <w:ind w:left="280" w:right="280"/>
        <w:outlineLvl w:val="1"/>
        <w:rPr>
          <w:color w:val="1f2430"/>
          <w:sz w:val="32"/>
          <w:szCs w:val="32"/>
        </w:rPr>
      </w:pPr>
      <w:bookmarkStart w:id="6" w:name="section-4-2"/>
      <w:r>
        <w:rPr>
          <w:rFonts w:hint="eastAsia" w:ascii="SimHei" w:hAnsi="SimHei" w:eastAsia="SimHei" w:cs="SimHei"/>
          <w:b w:val="1"/>
          <w:color w:val="1f2430"/>
          <w:sz w:val="28"/>
        </w:rPr>
        <w:t>3.2　缺失值与重复值</w:t>
      </w:r>
      <w:bookmarkEnd w:id="6"/>
    </w:p>
    <w:p w14:paraId="5DA61508">
      <w:pPr>
        <w:spacing w:before="120" w:after="120" w:line="432"/>
        <w:ind w:left="120" w:right="120" w:firstLine="480"/>
        <w:rPr>
          <w:color w:val="1f2430"/>
        </w:rPr>
      </w:pPr>
      <w:r>
        <w:rPr>
          <w:rFonts w:hint="eastAsia" w:ascii="SimSun" w:hAnsi="SimSun" w:eastAsia="SimSun" w:cs="SimSun"/>
          <w:color w:val="1f2430"/>
          <w:sz w:val="24"/>
        </w:rPr>
        <w:t>原始数据不含缺失值，52,416 行 × 9 列均完整，因此没有做插值或删除。完全重复的行为 0 条，重复时间戳为 0 个，时间序列严格按 10 分钟等间隔排列，也不存在跨天、跨月的采样中断。这一点在时间序列建模中很重要：如果存在缺测时段，构造 t+6 的预测目标时会出现目标时刻无观测的情况；本数据没有这个问题，可以直接按固定步长构造样本。</w:t>
      </w:r>
    </w:p>
    <w:p w14:paraId="43E55914">
      <w:pPr>
        <w:pStyle w:val="000006"/>
        <w:keepNext w:val="1"/>
        <w:keepLines w:val="1"/>
        <w:spacing w:before="280" w:beforeAutospacing="1" w:after="280" w:afterAutospacing="1"/>
        <w:ind w:left="280" w:right="280"/>
        <w:outlineLvl w:val="1"/>
        <w:rPr>
          <w:color w:val="1f2430"/>
          <w:sz w:val="32"/>
          <w:szCs w:val="32"/>
        </w:rPr>
      </w:pPr>
      <w:bookmarkStart w:id="7" w:name="section-4-3"/>
      <w:r>
        <w:rPr>
          <w:rFonts w:hint="eastAsia" w:ascii="SimHei" w:hAnsi="SimHei" w:eastAsia="SimHei" w:cs="SimHei"/>
          <w:b w:val="1"/>
          <w:color w:val="1f2430"/>
          <w:sz w:val="28"/>
        </w:rPr>
        <w:t>3.3　异常值</w:t>
      </w:r>
      <w:bookmarkEnd w:id="7"/>
    </w:p>
    <w:p w14:paraId="2364D135">
      <w:pPr>
        <w:spacing w:before="120" w:after="120" w:line="432"/>
        <w:ind w:left="120" w:right="120" w:firstLine="480"/>
        <w:rPr>
          <w:color w:val="1f2430"/>
        </w:rPr>
      </w:pPr>
      <w:r>
        <w:rPr>
          <w:rFonts w:hint="eastAsia" w:ascii="SimSun" w:hAnsi="SimSun" w:eastAsia="SimSun" w:cs="SimSun"/>
          <w:color w:val="1f2430"/>
          <w:sz w:val="24"/>
        </w:rPr>
        <w:t>异常值用 IQR 规则标记，即超出 Q1 − 3×IQR 或 Q3 + 3×IQR 的点。九个字段中共标记 1,708 条，其中 diffuse_flows 1,690 条、zone3_power 18 条，其余字段在 3 倍 IQR 下没有被标记。</w:t>
      </w:r>
    </w:p>
    <w:p w14:paraId="65838A53">
      <w:pPr>
        <w:spacing w:before="120" w:after="120" w:line="432"/>
        <w:ind w:left="120" w:right="120" w:firstLine="480"/>
        <w:rPr>
          <w:color w:val="1f2430"/>
        </w:rPr>
      </w:pPr>
      <w:r>
        <w:rPr>
          <w:rFonts w:hint="eastAsia" w:ascii="SimSun" w:hAnsi="SimSun" w:eastAsia="SimSun" w:cs="SimSun"/>
          <w:color w:val="1f2430"/>
          <w:sz w:val="24"/>
        </w:rPr>
        <w:t>对这些点逐类核对后，决定只标记、不删除、不替换。diffuse_flows 的极端点集中在 9 时至 16 时以及 2 月和 5 月，正是日照最强的时段和月份，反映的是气象变量的真实波动，删除会削掉白天的信息；zone3_power 的 18 个点集中在 7 月的 19 时至 20 时，对应夏季晚高峰，属于业务上需要重点关注的时段，尤其不能删。清洗阶段另有一项判断：负荷出现负值应视为错误，检查结果为 0 条。标记结果单独写入 anomaly_flags.csv，仅用于说明，不作为模型输入。</w:t>
      </w:r>
    </w:p>
    <w:p w14:paraId="7590D5DC">
      <w:pPr>
        <w:pStyle w:val="000006"/>
        <w:keepNext w:val="1"/>
        <w:keepLines w:val="1"/>
        <w:spacing w:before="280" w:beforeAutospacing="1" w:after="280" w:afterAutospacing="1"/>
        <w:ind w:left="280" w:right="280"/>
        <w:outlineLvl w:val="1"/>
        <w:rPr>
          <w:color w:val="1f2430"/>
          <w:sz w:val="32"/>
          <w:szCs w:val="32"/>
        </w:rPr>
      </w:pPr>
      <w:bookmarkStart w:id="8" w:name="section-4-4"/>
      <w:r>
        <w:rPr>
          <w:rFonts w:hint="eastAsia" w:ascii="SimHei" w:hAnsi="SimHei" w:eastAsia="SimHei" w:cs="SimHei"/>
          <w:b w:val="1"/>
          <w:color w:val="1f2430"/>
          <w:sz w:val="28"/>
        </w:rPr>
        <w:t>3.4　输出接口</w:t>
      </w:r>
      <w:bookmarkEnd w:id="8"/>
    </w:p>
    <w:p w14:paraId="7A3AFCC6">
      <w:pPr>
        <w:spacing w:before="120" w:after="120" w:line="432"/>
        <w:ind w:left="120" w:right="120" w:firstLine="480"/>
        <w:rPr>
          <w:color w:val="1f2430"/>
        </w:rPr>
      </w:pPr>
      <w:r>
        <w:rPr>
          <w:rFonts w:hint="eastAsia" w:ascii="SimSun" w:hAnsi="SimSun" w:eastAsia="SimSun" w:cs="SimSun"/>
          <w:color w:val="1f2430"/>
          <w:sz w:val="24"/>
        </w:rPr>
        <w:t>清洗后的数据固定输出 9 列，行按时间升序排列、索引重置，写入 data/processed/power_load_clean.csv，列名与类型在项目接口文档中固定下来。后续的特征工程、模型训练和误差分析统一从这个文件读取，避免各人按不同假设重复读取原始数据。清洗结果的质量指标汇总在表 2。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dashed" w:color="c9ced6" w:sz="6"/>
              <w:left w:val="dashed" w:color="c9ced6" w:sz="6"/>
              <w:bottom w:val="dashed" w:color="c9ced6" w:sz="6"/>
              <w:right w:val="dashed" w:color="c9ced6" w:sz="6"/>
            </w:tcBorders>
            <w:shd w:val="clear" w:fill="f5f7fa"/>
            <w:vAlign w:val="center"/>
          </w:tcPr>
          <w:p w14:paraId="212CD7A1">
            <w:pPr>
              <w:jc w:val="center"/>
              <w:rPr>
                <w:color w:val="6b7280"/>
              </w:rPr>
            </w:pPr>
            <w:r>
              <w:rPr>
                <w:rFonts w:hint="eastAsia" w:ascii="KaiTi" w:hAnsi="KaiTi" w:eastAsia="KaiTi" w:cs="KaiTi"/>
                <w:color w:val="6b7280"/>
                <w:sz w:val="22"/>
              </w:rPr>
              <w:t>（此处插入表 2　数据质量与清洗情况汇总）</w:t>
            </w:r>
          </w:p>
        </w:tc>
      </w:tr>
    </w:tbl>
    <w:p w14:paraId="2A11477B">
      <w:pPr>
        <w:sectPr>
          <w:footerReference r:id="rId4" w:type="default"/>
          <w:type w:val="nextPage"/>
          <w:pgSz w:w="11906" w:h="16838"/>
          <w:pgMar w:top="1440" w:right="1800" w:bottom="1440" w:left="1800" w:header="851" w:footer="992" w:gutter="0"/>
        </w:sectPr>
      </w:pPr>
    </w:p>
    <w:p w14:paraId="581C7696">
      <w:pPr>
        <w:pStyle w:val="000005"/>
        <w:keepNext w:val="1"/>
        <w:keepLines w:val="1"/>
        <w:spacing w:before="360" w:beforeAutospacing="1" w:after="360" w:afterAutospacing="1"/>
        <w:ind w:left="360" w:right="360"/>
        <w:outlineLvl w:val="0"/>
        <w:rPr>
          <w:color w:val="1f2430"/>
          <w:kern w:val="44"/>
          <w:sz w:val="44"/>
          <w:szCs w:val="44"/>
        </w:rPr>
      </w:pPr>
      <w:bookmarkStart w:id="9" w:name="section-5"/>
      <w:r>
        <w:rPr>
          <w:rFonts w:hint="eastAsia" w:ascii="SimHei" w:hAnsi="SimHei" w:eastAsia="SimHei" w:cs="SimHei"/>
          <w:b w:val="1"/>
          <w:color w:val="1f2430"/>
          <w:sz w:val="32"/>
        </w:rPr>
        <w:t>4　负荷的时序规律</w:t>
      </w:r>
      <w:bookmarkEnd w:id="9"/>
    </w:p>
    <w:p w14:paraId="68068E1C">
      <w:pPr>
        <w:pStyle w:val="000006"/>
        <w:keepNext w:val="1"/>
        <w:keepLines w:val="1"/>
        <w:spacing w:before="280" w:beforeAutospacing="1" w:after="280" w:afterAutospacing="1"/>
        <w:ind w:left="280" w:right="280"/>
        <w:outlineLvl w:val="1"/>
        <w:rPr>
          <w:color w:val="1f2430"/>
          <w:sz w:val="32"/>
          <w:szCs w:val="32"/>
        </w:rPr>
      </w:pPr>
      <w:bookmarkStart w:id="10" w:name="section-5-1"/>
      <w:r>
        <w:rPr>
          <w:rFonts w:hint="eastAsia" w:ascii="SimHei" w:hAnsi="SimHei" w:eastAsia="SimHei" w:cs="SimHei"/>
          <w:b w:val="1"/>
          <w:color w:val="1f2430"/>
          <w:sz w:val="28"/>
        </w:rPr>
        <w:t>4.1　全年走势</w:t>
      </w:r>
      <w:bookmarkEnd w:id="10"/>
    </w:p>
    <w:p w14:paraId="0AEF51E3">
      <w:pPr>
        <w:spacing w:before="120" w:after="120" w:line="432"/>
        <w:ind w:left="120" w:right="120" w:firstLine="480"/>
        <w:rPr>
          <w:color w:val="1f2430"/>
        </w:rPr>
      </w:pPr>
      <w:r>
        <w:rPr>
          <w:rFonts w:hint="eastAsia" w:ascii="SimSun" w:hAnsi="SimSun" w:eastAsia="SimSun" w:cs="SimSun"/>
          <w:color w:val="1f2430"/>
          <w:sz w:val="24"/>
        </w:rPr>
        <w:t>三个区域的负荷水平差距明显。全年日均值分别为 32,345、21,043 和 17,835，区域 1 约为区域 3 的 1.8 倍，且这一量级关系全年稳定（图 1）。季节形态则三个区各不相同：区域 1 最平缓，最高月比最低月高约两成半；区域 2 在 7、8 月形成夏季峰，11、12 月又出现一个高于春季的次高峰；区域 3 起伏最剧烈，7 月达到 28,200，12 月降至 11,000，最高月是最低月的 2.6 倍。按季节平均，区域 3 夏季负荷是冬季的 1.59 倍，区域 1 和区域 2 分别只有 1.17 和 1.12 倍。</w:t>
      </w:r>
    </w:p>
    <w:p w14:paraId="130FDBEA">
      <w:pPr>
        <w:spacing w:before="120" w:after="120" w:line="432"/>
        <w:ind w:left="120" w:right="120" w:firstLine="480"/>
        <w:rPr>
          <w:color w:val="1f2430"/>
        </w:rPr>
      </w:pPr>
      <w:r>
        <w:rPr>
          <w:rFonts w:hint="eastAsia" w:ascii="SimSun" w:hAnsi="SimSun" w:eastAsia="SimSun" w:cs="SimSun"/>
          <w:color w:val="1f2430"/>
          <w:sz w:val="24"/>
        </w:rPr>
        <w:t>区域 3 从 9 月到 12 月的连续下滑需要谨慎对待：其中既有季节性成分，也可能包含全年负荷水平的整体下移，本数据只有一个年度周期，两种成分无法分离，因此按观测值陈述，不做季节性归因。负荷水平的年内下移是可以确认的：区域 1 在训练期的日均值为 33,065，测试期为 29,056。这一事实直接关系到第 6 章的数据划分方式。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dashed" w:color="c9ced6" w:sz="6"/>
              <w:left w:val="dashed" w:color="c9ced6" w:sz="6"/>
              <w:bottom w:val="dashed" w:color="c9ced6" w:sz="6"/>
              <w:right w:val="dashed" w:color="c9ced6" w:sz="6"/>
            </w:tcBorders>
            <w:shd w:val="clear" w:fill="f5f7fa"/>
            <w:vAlign w:val="center"/>
          </w:tcPr>
          <w:p w14:paraId="1581D93A">
            <w:pPr>
              <w:jc w:val="center"/>
              <w:rPr>
                <w:color w:val="6b7280"/>
              </w:rPr>
            </w:pPr>
            <w:r>
              <w:rPr>
                <w:rFonts w:hint="eastAsia" w:ascii="KaiTi" w:hAnsi="KaiTi" w:eastAsia="KaiTi" w:cs="KaiTi"/>
                <w:color w:val="6b7280"/>
                <w:sz w:val="22"/>
              </w:rPr>
              <w:t>（此处插入图 1　三分区负荷全年总览）</w:t>
            </w:r>
          </w:p>
        </w:tc>
      </w:tr>
    </w:tbl>
    <w:p w14:paraId="0E14F5F4">
      <w:pPr>
        <w:pStyle w:val="000006"/>
        <w:keepNext w:val="1"/>
        <w:keepLines w:val="1"/>
        <w:spacing w:before="280" w:beforeAutospacing="1" w:after="280" w:afterAutospacing="1"/>
        <w:ind w:left="280" w:right="280"/>
        <w:outlineLvl w:val="1"/>
        <w:rPr>
          <w:color w:val="1f2430"/>
          <w:sz w:val="32"/>
          <w:szCs w:val="32"/>
        </w:rPr>
      </w:pPr>
      <w:bookmarkStart w:id="11" w:name="section-5-2"/>
      <w:r>
        <w:rPr>
          <w:rFonts w:hint="eastAsia" w:ascii="SimHei" w:hAnsi="SimHei" w:eastAsia="SimHei" w:cs="SimHei"/>
          <w:b w:val="1"/>
          <w:color w:val="1f2430"/>
          <w:sz w:val="28"/>
        </w:rPr>
        <w:t>4.2　日内规律</w:t>
      </w:r>
      <w:bookmarkEnd w:id="11"/>
    </w:p>
    <w:p w14:paraId="10FD208F">
      <w:pPr>
        <w:spacing w:before="120" w:after="120" w:line="432"/>
        <w:ind w:left="120" w:right="120" w:firstLine="480"/>
        <w:rPr>
          <w:color w:val="1f2430"/>
        </w:rPr>
      </w:pPr>
      <w:r>
        <w:rPr>
          <w:rFonts w:hint="eastAsia" w:ascii="SimSun" w:hAnsi="SimSun" w:eastAsia="SimSun" w:cs="SimSun"/>
          <w:color w:val="1f2430"/>
          <w:sz w:val="24"/>
        </w:rPr>
        <w:t>三个区域的峰谷时刻高度一致，谷值出现在 6 至 7 时，峰值出现在 20 时。区域 1 和区域 2 的峰谷比为 1.89，区域 3 为 2.23（图 2）。曲线呈"凌晨低谷、午间平台、晚间高峰"的三段结构，并非典型双峰。</w:t>
      </w:r>
    </w:p>
    <w:p w14:paraId="5AC8A204">
      <w:pPr>
        <w:spacing w:before="120" w:after="120" w:line="432"/>
        <w:ind w:left="120" w:right="120" w:firstLine="480"/>
        <w:rPr>
          <w:color w:val="1f2430"/>
        </w:rPr>
      </w:pPr>
      <w:r>
        <w:rPr>
          <w:rFonts w:hint="eastAsia" w:ascii="SimSun" w:hAnsi="SimSun" w:eastAsia="SimSun" w:cs="SimSun"/>
          <w:color w:val="1f2430"/>
          <w:sz w:val="24"/>
        </w:rPr>
        <w:t>工作日与周末的差距主要落在白天：区域 1 晚高峰时段工作日与周末仅差 2.8%，全天差距 3.6%；区域 2 差别更明显（6.2% 与 8.2%）；区域 3 几乎没有区别。峰值时刻的日间稳定性很高：三个区分别有 98.9%、97.5%、99.2% 的日子全天最高负荷落在 18 至 21 时。日峰值本身的波动则差别明显：变异系数区域 1 为 7.4%、区域 2 为 12.5%、区域 3 高达 27.7%——这一差别解释了第 6 章分区域误差的分布：区域 3 难预测，主因不在模型，而在目标序列自身的波动幅度。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dashed" w:color="c9ced6" w:sz="6"/>
              <w:left w:val="dashed" w:color="c9ced6" w:sz="6"/>
              <w:bottom w:val="dashed" w:color="c9ced6" w:sz="6"/>
              <w:right w:val="dashed" w:color="c9ced6" w:sz="6"/>
            </w:tcBorders>
            <w:shd w:val="clear" w:fill="f5f7fa"/>
            <w:vAlign w:val="center"/>
          </w:tcPr>
          <w:p w14:paraId="63908163">
            <w:pPr>
              <w:jc w:val="center"/>
              <w:rPr>
                <w:color w:val="6b7280"/>
              </w:rPr>
            </w:pPr>
            <w:r>
              <w:rPr>
                <w:rFonts w:hint="eastAsia" w:ascii="KaiTi" w:hAnsi="KaiTi" w:eastAsia="KaiTi" w:cs="KaiTi"/>
                <w:color w:val="6b7280"/>
                <w:sz w:val="22"/>
              </w:rPr>
              <w:t>（此处插入图 2　日内小时平均负荷曲线）</w:t>
            </w:r>
          </w:p>
        </w:tc>
      </w:tr>
    </w:tbl>
    <w:p w14:paraId="56067931">
      <w:pPr>
        <w:pStyle w:val="000006"/>
        <w:keepNext w:val="1"/>
        <w:keepLines w:val="1"/>
        <w:spacing w:before="280" w:beforeAutospacing="1" w:after="280" w:afterAutospacing="1"/>
        <w:ind w:left="280" w:right="280"/>
        <w:outlineLvl w:val="1"/>
        <w:rPr>
          <w:color w:val="1f2430"/>
          <w:sz w:val="32"/>
          <w:szCs w:val="32"/>
        </w:rPr>
      </w:pPr>
      <w:bookmarkStart w:id="12" w:name="section-5-3"/>
      <w:r>
        <w:rPr>
          <w:rFonts w:hint="eastAsia" w:ascii="SimHei" w:hAnsi="SimHei" w:eastAsia="SimHei" w:cs="SimHei"/>
          <w:b w:val="1"/>
          <w:color w:val="1f2430"/>
          <w:sz w:val="28"/>
        </w:rPr>
        <w:t>4.3　周内规律</w:t>
      </w:r>
      <w:bookmarkEnd w:id="12"/>
    </w:p>
    <w:p w14:paraId="2CB41D02">
      <w:pPr>
        <w:spacing w:before="120" w:after="120" w:line="432"/>
        <w:ind w:left="120" w:right="120" w:firstLine="480"/>
        <w:rPr>
          <w:color w:val="1f2430"/>
        </w:rPr>
      </w:pPr>
      <w:r>
        <w:rPr>
          <w:rFonts w:hint="eastAsia" w:ascii="SimSun" w:hAnsi="SimSun" w:eastAsia="SimSun" w:cs="SimSun"/>
          <w:color w:val="1f2430"/>
          <w:sz w:val="24"/>
        </w:rPr>
        <w:t>区域 1 和区域 2 的周内走势一致：周一至周四持平，周五开始走弱，周日最低，工作日与周末的比值分别为 1.04 和 1.09。区域 3 的走向相反，周五反而是全周最低，工作日与周末比值 0.99，实际不存在星期效应（图 3）。这一差异决定了星期特征对区域 3 的贡献有限。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dashed" w:color="c9ced6" w:sz="6"/>
              <w:left w:val="dashed" w:color="c9ced6" w:sz="6"/>
              <w:bottom w:val="dashed" w:color="c9ced6" w:sz="6"/>
              <w:right w:val="dashed" w:color="c9ced6" w:sz="6"/>
            </w:tcBorders>
            <w:shd w:val="clear" w:fill="f5f7fa"/>
            <w:vAlign w:val="center"/>
          </w:tcPr>
          <w:p w14:paraId="4CB08C23">
            <w:pPr>
              <w:jc w:val="center"/>
              <w:rPr>
                <w:color w:val="6b7280"/>
              </w:rPr>
            </w:pPr>
            <w:r>
              <w:rPr>
                <w:rFonts w:hint="eastAsia" w:ascii="KaiTi" w:hAnsi="KaiTi" w:eastAsia="KaiTi" w:cs="KaiTi"/>
                <w:color w:val="6b7280"/>
                <w:sz w:val="22"/>
              </w:rPr>
              <w:t>（此处插入图 3　星期规律对比）</w:t>
            </w:r>
          </w:p>
        </w:tc>
      </w:tr>
    </w:tbl>
    <w:p w14:paraId="22062E71">
      <w:pPr>
        <w:pStyle w:val="000006"/>
        <w:keepNext w:val="1"/>
        <w:keepLines w:val="1"/>
        <w:spacing w:before="280" w:beforeAutospacing="1" w:after="280" w:afterAutospacing="1"/>
        <w:ind w:left="280" w:right="280"/>
        <w:outlineLvl w:val="1"/>
        <w:rPr>
          <w:color w:val="1f2430"/>
          <w:sz w:val="32"/>
          <w:szCs w:val="32"/>
        </w:rPr>
      </w:pPr>
      <w:bookmarkStart w:id="13" w:name="section-5-4"/>
      <w:r>
        <w:rPr>
          <w:rFonts w:hint="eastAsia" w:ascii="SimHei" w:hAnsi="SimHei" w:eastAsia="SimHei" w:cs="SimHei"/>
          <w:b w:val="1"/>
          <w:color w:val="1f2430"/>
          <w:sz w:val="28"/>
        </w:rPr>
        <w:t>4.4　季节规律</w:t>
      </w:r>
      <w:bookmarkEnd w:id="13"/>
    </w:p>
    <w:p w14:paraId="6DCF0856">
      <w:pPr>
        <w:spacing w:before="120" w:after="120" w:line="432"/>
        <w:ind w:left="120" w:right="120" w:firstLine="480"/>
        <w:rPr>
          <w:color w:val="1f2430"/>
        </w:rPr>
      </w:pPr>
      <w:r>
        <w:rPr>
          <w:rFonts w:hint="eastAsia" w:ascii="SimSun" w:hAnsi="SimSun" w:eastAsia="SimSun" w:cs="SimSun"/>
          <w:color w:val="1f2430"/>
          <w:sz w:val="24"/>
        </w:rPr>
        <w:t>按月统计的箱线图显示，中位数的月度走势与日均值一致，但箱体高度在夏季明显变大，说明夏季不仅负荷水平高，日内波动和日间差异也都大于冬季（图 4）。各区极值月份：区域 1、2 最高月在 8 月，区域 3 在 7 月；最低月区域 1、3 分别为 11、12 月，区域 2 的低谷却出现在 4 月——该区域冬季负荷并不低，真正的低谷在春季。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dashed" w:color="c9ced6" w:sz="6"/>
              <w:left w:val="dashed" w:color="c9ced6" w:sz="6"/>
              <w:bottom w:val="dashed" w:color="c9ced6" w:sz="6"/>
              <w:right w:val="dashed" w:color="c9ced6" w:sz="6"/>
            </w:tcBorders>
            <w:shd w:val="clear" w:fill="f5f7fa"/>
            <w:vAlign w:val="center"/>
          </w:tcPr>
          <w:p w14:paraId="2FE553BD">
            <w:pPr>
              <w:jc w:val="center"/>
              <w:rPr>
                <w:color w:val="6b7280"/>
              </w:rPr>
            </w:pPr>
            <w:r>
              <w:rPr>
                <w:rFonts w:hint="eastAsia" w:ascii="KaiTi" w:hAnsi="KaiTi" w:eastAsia="KaiTi" w:cs="KaiTi"/>
                <w:color w:val="6b7280"/>
                <w:sz w:val="22"/>
              </w:rPr>
              <w:t>（此处插入图 4　月度负荷箱线图）</w:t>
            </w:r>
          </w:p>
        </w:tc>
      </w:tr>
    </w:tbl>
    <w:p w14:paraId="04B0AC67">
      <w:pPr>
        <w:pStyle w:val="000006"/>
        <w:keepNext w:val="1"/>
        <w:keepLines w:val="1"/>
        <w:spacing w:before="280" w:beforeAutospacing="1" w:after="280" w:afterAutospacing="1"/>
        <w:ind w:left="280" w:right="280"/>
        <w:outlineLvl w:val="1"/>
        <w:rPr>
          <w:color w:val="1f2430"/>
          <w:sz w:val="32"/>
          <w:szCs w:val="32"/>
        </w:rPr>
      </w:pPr>
      <w:bookmarkStart w:id="14" w:name="section-5-5"/>
      <w:r>
        <w:rPr>
          <w:rFonts w:hint="eastAsia" w:ascii="SimHei" w:hAnsi="SimHei" w:eastAsia="SimHei" w:cs="SimHei"/>
          <w:b w:val="1"/>
          <w:color w:val="1f2430"/>
          <w:sz w:val="28"/>
        </w:rPr>
        <w:t>4.5　分区对比</w:t>
      </w:r>
      <w:bookmarkEnd w:id="14"/>
    </w:p>
    <w:p w14:paraId="4DA2D500">
      <w:pPr>
        <w:spacing w:before="120" w:after="120" w:line="432"/>
        <w:ind w:left="120" w:right="120" w:firstLine="480"/>
        <w:rPr>
          <w:color w:val="1f2430"/>
        </w:rPr>
      </w:pPr>
      <w:r>
        <w:rPr>
          <w:rFonts w:hint="eastAsia" w:ascii="SimSun" w:hAnsi="SimSun" w:eastAsia="SimSun" w:cs="SimSun"/>
          <w:color w:val="1f2430"/>
          <w:sz w:val="24"/>
        </w:rPr>
        <w:t>三个区共享同一套时间结构，差别集中在幅度上。</w:t>
      </w:r>
    </w:p>
    <w:tbl>
      <w:tblPr>
        <w:tblW w:w="8306" w:type="dxa"/>
        <w:shd w:color="1f2430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val="clear" w:fill="eef1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58C51B">
            <w:pPr>
              <w:jc w:val="center"/>
              <w:rPr>
                <w:b w:val="1"/>
                <w:bCs w:val="1"/>
                <w:color w:val="1f2430"/>
              </w:rPr>
            </w:pPr>
            <w:r>
              <w:rPr>
                <w:rFonts w:hint="eastAsia" w:ascii="SimSun" w:hAnsi="SimSun" w:eastAsia="SimSun" w:cs="SimSun"/>
                <w:b w:val="1"/>
                <w:color w:val="1f2430"/>
                <w:sz w:val="21"/>
              </w:rPr>
              <w:t>指标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val="clear" w:fill="eef1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822870">
            <w:pPr>
              <w:jc w:val="center"/>
              <w:rPr>
                <w:b w:val="1"/>
                <w:bCs w:val="1"/>
                <w:color w:val="1f2430"/>
              </w:rPr>
            </w:pPr>
            <w:r>
              <w:rPr>
                <w:rFonts w:hint="eastAsia" w:ascii="SimSun" w:hAnsi="SimSun" w:eastAsia="SimSun" w:cs="SimSun"/>
                <w:b w:val="1"/>
                <w:color w:val="1f2430"/>
                <w:sz w:val="21"/>
              </w:rPr>
              <w:t>区域 1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val="clear" w:fill="eef1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351529">
            <w:pPr>
              <w:jc w:val="center"/>
              <w:rPr>
                <w:b w:val="1"/>
                <w:bCs w:val="1"/>
                <w:color w:val="1f2430"/>
              </w:rPr>
            </w:pPr>
            <w:r>
              <w:rPr>
                <w:rFonts w:hint="eastAsia" w:ascii="SimSun" w:hAnsi="SimSun" w:eastAsia="SimSun" w:cs="SimSun"/>
                <w:b w:val="1"/>
                <w:color w:val="1f2430"/>
                <w:sz w:val="21"/>
              </w:rPr>
              <w:t>区域 2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val="clear" w:fill="eef1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14D622">
            <w:pPr>
              <w:jc w:val="center"/>
              <w:rPr>
                <w:b w:val="1"/>
                <w:bCs w:val="1"/>
                <w:color w:val="1f2430"/>
              </w:rPr>
            </w:pPr>
            <w:r>
              <w:rPr>
                <w:rFonts w:hint="eastAsia" w:ascii="SimSun" w:hAnsi="SimSun" w:eastAsia="SimSun" w:cs="SimSun"/>
                <w:b w:val="1"/>
                <w:color w:val="1f2430"/>
                <w:sz w:val="21"/>
              </w:rPr>
              <w:t>区域 3</w:t>
            </w:r>
          </w:p>
        </w:tc>
      </w:tr>
      <w:tr>
        <w:trPr/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9C4F5F">
            <w:pPr>
              <w:jc w:val="center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全年日均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DF0FDB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32,345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1EEF47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21,043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59CED3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17,835</w:t>
            </w:r>
          </w:p>
        </w:tc>
      </w:tr>
      <w:tr>
        <w:trPr/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62BE20">
            <w:pPr>
              <w:jc w:val="center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峰时 / 谷时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B3DC15">
            <w:pPr>
              <w:jc w:val="center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20 时 / 6 时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02F21B">
            <w:pPr>
              <w:jc w:val="center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20 时 / 6 时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75D819">
            <w:pPr>
              <w:jc w:val="center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20 时 / 7 时</w:t>
            </w:r>
          </w:p>
        </w:tc>
      </w:tr>
      <w:tr>
        <w:trPr/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26A320">
            <w:pPr>
              <w:jc w:val="center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峰谷比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E68256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1.89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97A8F5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1.89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47544C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2.23</w:t>
            </w:r>
          </w:p>
        </w:tc>
      </w:tr>
      <w:tr>
        <w:trPr/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E6A1CD">
            <w:pPr>
              <w:jc w:val="center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周末相对工作日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6DE05A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−3.6%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E560A7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−8.2%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62BF2B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+1.2%</w:t>
            </w:r>
          </w:p>
        </w:tc>
      </w:tr>
      <w:tr>
        <w:trPr/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AB8E0C">
            <w:pPr>
              <w:jc w:val="center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夏冬比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105F0D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1.17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48D00B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1.12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827F10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1.59</w:t>
            </w:r>
          </w:p>
        </w:tc>
      </w:tr>
    </w:tbl>
    <w:p w14:paraId="6410759F">
      <w:pPr>
        <w:spacing w:before="120" w:after="120" w:line="432"/>
        <w:ind w:left="120" w:right="120" w:firstLine="480"/>
        <w:rPr>
          <w:color w:val="1f2430"/>
        </w:rPr>
        <w:sectPr>
          <w:footerReference r:id="rId4" w:type="default"/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color w:val="1f2430"/>
          <w:sz w:val="24"/>
        </w:rPr>
        <w:t>区域 1 量级最大、曲线最平稳；区域 2 星期效应最强且冬季有次高峰；区域 3 量级最小，季节性和日内波动都最强。建模时应当区别对待，而不是对三个区套用同一组特征。</w:t>
      </w:r>
    </w:p>
    <w:p w14:paraId="7B493829">
      <w:pPr>
        <w:pStyle w:val="000005"/>
        <w:keepNext w:val="1"/>
        <w:keepLines w:val="1"/>
        <w:spacing w:before="360" w:beforeAutospacing="1" w:after="360" w:afterAutospacing="1"/>
        <w:ind w:left="360" w:right="360"/>
        <w:outlineLvl w:val="0"/>
        <w:rPr>
          <w:color w:val="1f2430"/>
          <w:kern w:val="44"/>
          <w:sz w:val="44"/>
          <w:szCs w:val="44"/>
        </w:rPr>
      </w:pPr>
      <w:bookmarkStart w:id="15" w:name="section-6"/>
      <w:r>
        <w:rPr>
          <w:rFonts w:hint="eastAsia" w:ascii="SimHei" w:hAnsi="SimHei" w:eastAsia="SimHei" w:cs="SimHei"/>
          <w:b w:val="1"/>
          <w:color w:val="1f2430"/>
          <w:sz w:val="32"/>
        </w:rPr>
        <w:t>5　天气因素与负荷的关系</w:t>
      </w:r>
      <w:bookmarkEnd w:id="15"/>
    </w:p>
    <w:p w14:paraId="0B6F90B4">
      <w:pPr>
        <w:pStyle w:val="000006"/>
        <w:keepNext w:val="1"/>
        <w:keepLines w:val="1"/>
        <w:spacing w:before="280" w:beforeAutospacing="1" w:after="280" w:afterAutospacing="1"/>
        <w:ind w:left="280" w:right="280"/>
        <w:outlineLvl w:val="1"/>
        <w:rPr>
          <w:color w:val="1f2430"/>
          <w:sz w:val="32"/>
          <w:szCs w:val="32"/>
        </w:rPr>
      </w:pPr>
      <w:bookmarkStart w:id="16" w:name="section-6-1"/>
      <w:r>
        <w:rPr>
          <w:rFonts w:hint="eastAsia" w:ascii="SimHei" w:hAnsi="SimHei" w:eastAsia="SimHei" w:cs="SimHei"/>
          <w:b w:val="1"/>
          <w:color w:val="1f2430"/>
          <w:sz w:val="28"/>
        </w:rPr>
        <w:t>5.1　相关系数</w:t>
      </w:r>
      <w:bookmarkEnd w:id="16"/>
    </w:p>
    <w:p w14:paraId="5ED53B29">
      <w:pPr>
        <w:spacing w:before="120" w:after="120" w:line="432"/>
        <w:ind w:left="120" w:right="120" w:firstLine="480"/>
        <w:rPr>
          <w:color w:val="1f2430"/>
        </w:rPr>
      </w:pPr>
      <w:r>
        <w:rPr>
          <w:rFonts w:hint="eastAsia" w:ascii="SimSun" w:hAnsi="SimSun" w:eastAsia="SimSun" w:cs="SimSun"/>
          <w:color w:val="1f2430"/>
          <w:sz w:val="24"/>
        </w:rPr>
        <w:t>三个区域的负荷与五个气象因子的相关系数见图 5 与下表（括号外为 Pearson 线性相关，括号内为 Spearman 秩相关）。</w:t>
      </w:r>
    </w:p>
    <w:tbl>
      <w:tblPr>
        <w:tblW w:w="8306" w:type="dxa"/>
        <w:shd w:color="1f2430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val="clear" w:fill="eef1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B99B63">
            <w:pPr>
              <w:jc w:val="center"/>
              <w:rPr>
                <w:b w:val="1"/>
                <w:bCs w:val="1"/>
                <w:color w:val="1f2430"/>
              </w:rPr>
            </w:pPr>
            <w:r>
              <w:rPr>
                <w:rFonts w:hint="eastAsia" w:ascii="SimSun" w:hAnsi="SimSun" w:eastAsia="SimSun" w:cs="SimSun"/>
                <w:b w:val="1"/>
                <w:color w:val="1f2430"/>
                <w:sz w:val="21"/>
              </w:rPr>
              <w:t>因子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val="clear" w:fill="eef1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104A28">
            <w:pPr>
              <w:jc w:val="center"/>
              <w:rPr>
                <w:b w:val="1"/>
                <w:bCs w:val="1"/>
                <w:color w:val="1f2430"/>
              </w:rPr>
            </w:pPr>
            <w:r>
              <w:rPr>
                <w:rFonts w:hint="eastAsia" w:ascii="SimSun" w:hAnsi="SimSun" w:eastAsia="SimSun" w:cs="SimSun"/>
                <w:b w:val="1"/>
                <w:color w:val="1f2430"/>
                <w:sz w:val="21"/>
              </w:rPr>
              <w:t>区域 1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val="clear" w:fill="eef1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4723D1">
            <w:pPr>
              <w:jc w:val="center"/>
              <w:rPr>
                <w:b w:val="1"/>
                <w:bCs w:val="1"/>
                <w:color w:val="1f2430"/>
              </w:rPr>
            </w:pPr>
            <w:r>
              <w:rPr>
                <w:rFonts w:hint="eastAsia" w:ascii="SimSun" w:hAnsi="SimSun" w:eastAsia="SimSun" w:cs="SimSun"/>
                <w:b w:val="1"/>
                <w:color w:val="1f2430"/>
                <w:sz w:val="21"/>
              </w:rPr>
              <w:t>区域 2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val="clear" w:fill="eef1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860C4B">
            <w:pPr>
              <w:jc w:val="center"/>
              <w:rPr>
                <w:b w:val="1"/>
                <w:bCs w:val="1"/>
                <w:color w:val="1f2430"/>
              </w:rPr>
            </w:pPr>
            <w:r>
              <w:rPr>
                <w:rFonts w:hint="eastAsia" w:ascii="SimSun" w:hAnsi="SimSun" w:eastAsia="SimSun" w:cs="SimSun"/>
                <w:b w:val="1"/>
                <w:color w:val="1f2430"/>
                <w:sz w:val="21"/>
              </w:rPr>
              <w:t>区域 3</w:t>
            </w:r>
          </w:p>
        </w:tc>
      </w:tr>
      <w:tr>
        <w:trPr/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AFB2C6">
            <w:pPr>
              <w:jc w:val="center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温度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C5128">
            <w:pPr>
              <w:jc w:val="center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+0.44（+0.43）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ECD073">
            <w:pPr>
              <w:jc w:val="center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+0.38（+0.38）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FBB702">
            <w:pPr>
              <w:jc w:val="center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+0.49（+0.44）</w:t>
            </w:r>
          </w:p>
        </w:tc>
      </w:tr>
      <w:tr>
        <w:trPr/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DAAF8A">
            <w:pPr>
              <w:jc w:val="center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湿度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A9FC63">
            <w:pPr>
              <w:jc w:val="center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−0.29（−0.30）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BEAD55">
            <w:pPr>
              <w:jc w:val="center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−0.29（−0.31）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AF623E">
            <w:pPr>
              <w:jc w:val="center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−0.23（−0.21）</w:t>
            </w:r>
          </w:p>
        </w:tc>
      </w:tr>
      <w:tr>
        <w:trPr/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48E972">
            <w:pPr>
              <w:jc w:val="center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风速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791899">
            <w:pPr>
              <w:jc w:val="center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+0.17（+0.11）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4B2BBC">
            <w:pPr>
              <w:jc w:val="center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+0.15（+0.09）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58FA96">
            <w:pPr>
              <w:jc w:val="center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+0.28（+0.08）</w:t>
            </w:r>
          </w:p>
        </w:tc>
      </w:tr>
      <w:tr>
        <w:trPr/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903962">
            <w:pPr>
              <w:jc w:val="center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总漫射辐射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90C84D">
            <w:pPr>
              <w:jc w:val="center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+0.19（+0.26）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705F38">
            <w:pPr>
              <w:jc w:val="center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+0.16（+0.24）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904FDE">
            <w:pPr>
              <w:jc w:val="center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+0.06（+0.08）</w:t>
            </w:r>
          </w:p>
        </w:tc>
      </w:tr>
      <w:tr>
        <w:trPr/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105668">
            <w:pPr>
              <w:jc w:val="center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漫射辐射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105486">
            <w:pPr>
              <w:jc w:val="center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+0.08（+0.12）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30F5BF">
            <w:pPr>
              <w:jc w:val="center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+0.04（+0.10）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3032D8">
            <w:pPr>
              <w:jc w:val="center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−0.04（−0.02）</w:t>
            </w:r>
          </w:p>
        </w:tc>
      </w:tr>
    </w:tbl>
    <w:p w14:paraId="22BBDB8A">
      <w:pPr>
        <w:spacing w:before="120" w:after="120" w:line="432"/>
        <w:ind w:left="120" w:right="120" w:firstLine="480"/>
        <w:rPr>
          <w:color w:val="1f2430"/>
        </w:rPr>
      </w:pPr>
      <w:r>
        <w:rPr>
          <w:rFonts w:hint="eastAsia" w:ascii="SimSun" w:hAnsi="SimSun" w:eastAsia="SimSun" w:cs="SimSun"/>
          <w:color w:val="1f2430"/>
          <w:sz w:val="24"/>
        </w:rPr>
        <w:t>温度是唯一在三区都稳定为正的因子。风速和总漫射辐射的两种系数差距较大（如区域 3 风速 Pearson 0.28、Spearman 仅 0.08），说明其数值主要由少数极端时段支撑，放进线性模型并不可靠。三个区域负荷之间的相关系数在 0.75 至 0.84 之间，说明三区受共同因素驱动。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dashed" w:color="c9ced6" w:sz="6"/>
              <w:left w:val="dashed" w:color="c9ced6" w:sz="6"/>
              <w:bottom w:val="dashed" w:color="c9ced6" w:sz="6"/>
              <w:right w:val="dashed" w:color="c9ced6" w:sz="6"/>
            </w:tcBorders>
            <w:shd w:val="clear" w:fill="f5f7fa"/>
            <w:vAlign w:val="center"/>
          </w:tcPr>
          <w:p w14:paraId="7BB5BD77">
            <w:pPr>
              <w:jc w:val="center"/>
              <w:rPr>
                <w:color w:val="6b7280"/>
              </w:rPr>
            </w:pPr>
            <w:r>
              <w:rPr>
                <w:rFonts w:hint="eastAsia" w:ascii="KaiTi" w:hAnsi="KaiTi" w:eastAsia="KaiTi" w:cs="KaiTi"/>
                <w:color w:val="6b7280"/>
                <w:sz w:val="22"/>
              </w:rPr>
              <w:t>（此处插入图 5　天气-负荷相关性热力图）</w:t>
            </w:r>
          </w:p>
        </w:tc>
      </w:tr>
    </w:tbl>
    <w:p w14:paraId="1BB7EC4F">
      <w:pPr>
        <w:pStyle w:val="000006"/>
        <w:keepNext w:val="1"/>
        <w:keepLines w:val="1"/>
        <w:spacing w:before="280" w:beforeAutospacing="1" w:after="280" w:afterAutospacing="1"/>
        <w:ind w:left="280" w:right="280"/>
        <w:outlineLvl w:val="1"/>
        <w:rPr>
          <w:color w:val="1f2430"/>
          <w:sz w:val="32"/>
          <w:szCs w:val="32"/>
        </w:rPr>
      </w:pPr>
      <w:bookmarkStart w:id="17" w:name="section-6-2"/>
      <w:r>
        <w:rPr>
          <w:rFonts w:hint="eastAsia" w:ascii="SimHei" w:hAnsi="SimHei" w:eastAsia="SimHei" w:cs="SimHei"/>
          <w:b w:val="1"/>
          <w:color w:val="1f2430"/>
          <w:sz w:val="28"/>
        </w:rPr>
        <w:t>5.2　温度与负荷的分段特征</w:t>
      </w:r>
      <w:bookmarkEnd w:id="17"/>
    </w:p>
    <w:p w14:paraId="55823D3F">
      <w:pPr>
        <w:spacing w:before="120" w:after="120" w:line="432"/>
        <w:ind w:left="120" w:right="120" w:firstLine="480"/>
        <w:rPr>
          <w:color w:val="1f2430"/>
        </w:rPr>
      </w:pPr>
      <w:r>
        <w:rPr>
          <w:rFonts w:hint="eastAsia" w:ascii="SimSun" w:hAnsi="SimSun" w:eastAsia="SimSun" w:cs="SimSun"/>
          <w:color w:val="1f2430"/>
          <w:sz w:val="24"/>
        </w:rPr>
        <w:t>分箱均值显示（图 6）：6 ℃ 至 33 ℃ 区间负荷随温度单调上升，33 ℃ 以上进入平台。温度从 6.5 ℃ 升到 33.5 ℃ 时，区域 1、2 的分箱均值各上升 69%，区域 3 上升 158%，与它夏冬比 1.59、峰谷比 2.23 的结论一致。数据中没有观察到典型的 U 形：3 ℃ 至 5 ℃ 的负荷并不高于 20 ℃ 附近，说明这三个区域的用电对低温不敏感，温度特征在冬季的作用有限。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dashed" w:color="c9ced6" w:sz="6"/>
              <w:left w:val="dashed" w:color="c9ced6" w:sz="6"/>
              <w:bottom w:val="dashed" w:color="c9ced6" w:sz="6"/>
              <w:right w:val="dashed" w:color="c9ced6" w:sz="6"/>
            </w:tcBorders>
            <w:shd w:val="clear" w:fill="f5f7fa"/>
            <w:vAlign w:val="center"/>
          </w:tcPr>
          <w:p w14:paraId="2F024BE5">
            <w:pPr>
              <w:jc w:val="center"/>
              <w:rPr>
                <w:color w:val="6b7280"/>
              </w:rPr>
            </w:pPr>
            <w:r>
              <w:rPr>
                <w:rFonts w:hint="eastAsia" w:ascii="KaiTi" w:hAnsi="KaiTi" w:eastAsia="KaiTi" w:cs="KaiTi"/>
                <w:color w:val="6b7280"/>
                <w:sz w:val="22"/>
              </w:rPr>
              <w:t>（此处插入图 6　温度-负荷分箱关系）</w:t>
            </w:r>
          </w:p>
        </w:tc>
      </w:tr>
    </w:tbl>
    <w:p w14:paraId="339032FD">
      <w:pPr>
        <w:pStyle w:val="000006"/>
        <w:keepNext w:val="1"/>
        <w:keepLines w:val="1"/>
        <w:spacing w:before="280" w:beforeAutospacing="1" w:after="280" w:afterAutospacing="1"/>
        <w:ind w:left="280" w:right="280"/>
        <w:outlineLvl w:val="1"/>
        <w:rPr>
          <w:color w:val="1f2430"/>
          <w:sz w:val="32"/>
          <w:szCs w:val="32"/>
        </w:rPr>
      </w:pPr>
      <w:bookmarkStart w:id="18" w:name="section-6-3"/>
      <w:r>
        <w:rPr>
          <w:rFonts w:hint="eastAsia" w:ascii="SimHei" w:hAnsi="SimHei" w:eastAsia="SimHei" w:cs="SimHei"/>
          <w:b w:val="1"/>
          <w:color w:val="1f2430"/>
          <w:sz w:val="28"/>
        </w:rPr>
        <w:t>5.3　与消融结果的呼应</w:t>
      </w:r>
      <w:bookmarkEnd w:id="18"/>
    </w:p>
    <w:p w14:paraId="1371F89C">
      <w:pPr>
        <w:spacing w:before="120" w:after="120" w:line="432"/>
        <w:ind w:left="120" w:right="120" w:firstLine="480"/>
        <w:rPr>
          <w:color w:val="1f2430"/>
        </w:rPr>
      </w:pPr>
      <w:r>
        <w:rPr>
          <w:rFonts w:hint="eastAsia" w:ascii="SimSun" w:hAnsi="SimSun" w:eastAsia="SimSun" w:cs="SimSun"/>
          <w:color w:val="1f2430"/>
          <w:sz w:val="24"/>
        </w:rPr>
        <w:t>第 6 章的消融实验显示，线性回归加入天气特征后，区域 3 的测试集 RMSE 下降 34.6%，是三个区里降幅最大的；区域 2 只下降 4.1%。这一排序与本节的相关性排序一致：温度相关性最高的区域，天气特征带来的收益也最大。两条独立证据互相印证。</w:t>
      </w:r>
    </w:p>
    <w:p w14:paraId="7E02C29A">
      <w:pPr>
        <w:pStyle w:val="000006"/>
        <w:keepNext w:val="1"/>
        <w:keepLines w:val="1"/>
        <w:spacing w:before="280" w:beforeAutospacing="1" w:after="280" w:afterAutospacing="1"/>
        <w:ind w:left="280" w:right="280"/>
        <w:outlineLvl w:val="1"/>
        <w:rPr>
          <w:color w:val="1f2430"/>
          <w:sz w:val="32"/>
          <w:szCs w:val="32"/>
        </w:rPr>
      </w:pPr>
      <w:bookmarkStart w:id="19" w:name="section-6-4"/>
      <w:r>
        <w:rPr>
          <w:rFonts w:hint="eastAsia" w:ascii="SimHei" w:hAnsi="SimHei" w:eastAsia="SimHei" w:cs="SimHei"/>
          <w:b w:val="1"/>
          <w:color w:val="1f2430"/>
          <w:sz w:val="28"/>
        </w:rPr>
        <w:t>5.4　本节结论的局限</w:t>
      </w:r>
      <w:bookmarkEnd w:id="19"/>
    </w:p>
    <w:p w14:paraId="0D74B0EF">
      <w:pPr>
        <w:spacing w:before="120" w:after="120" w:line="432"/>
        <w:ind w:left="120" w:right="120" w:firstLine="480"/>
        <w:rPr>
          <w:color w:val="1f2430"/>
        </w:rPr>
        <w:sectPr>
          <w:footerReference r:id="rId4" w:type="default"/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color w:val="1f2430"/>
          <w:sz w:val="24"/>
        </w:rPr>
        <w:t>以上只描述统计共变，不构成因果判断。未对节假日建模，未区分昼夜，相关系数未做去趋势处理（全年负荷下移会使系数略微偏低）。</w:t>
      </w:r>
    </w:p>
    <w:p w14:paraId="69A24981">
      <w:pPr>
        <w:pStyle w:val="000005"/>
        <w:keepNext w:val="1"/>
        <w:keepLines w:val="1"/>
        <w:spacing w:before="360" w:beforeAutospacing="1" w:after="360" w:afterAutospacing="1"/>
        <w:ind w:left="360" w:right="360"/>
        <w:outlineLvl w:val="0"/>
        <w:rPr>
          <w:color w:val="1f2430"/>
          <w:kern w:val="44"/>
          <w:sz w:val="44"/>
          <w:szCs w:val="44"/>
        </w:rPr>
      </w:pPr>
      <w:bookmarkStart w:id="20" w:name="section-7"/>
      <w:r>
        <w:rPr>
          <w:rFonts w:hint="eastAsia" w:ascii="SimHei" w:hAnsi="SimHei" w:eastAsia="SimHei" w:cs="SimHei"/>
          <w:b w:val="1"/>
          <w:color w:val="1f2430"/>
          <w:sz w:val="32"/>
        </w:rPr>
        <w:t>6　短期负荷预测：模型、消融与误差分析</w:t>
      </w:r>
      <w:bookmarkEnd w:id="20"/>
    </w:p>
    <w:p w14:paraId="30E3F89F">
      <w:pPr>
        <w:pStyle w:val="000006"/>
        <w:keepNext w:val="1"/>
        <w:keepLines w:val="1"/>
        <w:spacing w:before="280" w:beforeAutospacing="1" w:after="280" w:afterAutospacing="1"/>
        <w:ind w:left="280" w:right="280"/>
        <w:outlineLvl w:val="1"/>
        <w:rPr>
          <w:color w:val="1f2430"/>
          <w:sz w:val="32"/>
          <w:szCs w:val="32"/>
        </w:rPr>
      </w:pPr>
      <w:bookmarkStart w:id="21" w:name="section-7-1"/>
      <w:r>
        <w:rPr>
          <w:rFonts w:hint="eastAsia" w:ascii="SimHei" w:hAnsi="SimHei" w:eastAsia="SimHei" w:cs="SimHei"/>
          <w:b w:val="1"/>
          <w:color w:val="1f2430"/>
          <w:sz w:val="28"/>
        </w:rPr>
        <w:t>6.1　预测任务与实验协议</w:t>
      </w:r>
      <w:bookmarkEnd w:id="21"/>
    </w:p>
    <w:p w14:paraId="5407E7E5">
      <w:pPr>
        <w:spacing w:before="120" w:after="120" w:line="432"/>
        <w:ind w:left="120" w:right="120" w:firstLine="480"/>
        <w:rPr>
          <w:color w:val="1f2430"/>
        </w:rPr>
      </w:pPr>
      <w:r>
        <w:rPr>
          <w:rFonts w:hint="eastAsia" w:ascii="SimSun" w:hAnsi="SimSun" w:eastAsia="SimSun" w:cs="SimSun"/>
          <w:color w:val="1f2430"/>
          <w:sz w:val="24"/>
        </w:rPr>
        <w:t>预测任务定义为提前 1 小时预测：对预测起点 t，目标是其后第 6 个时间步（t+6）的负荷。三个区域分别建样本、分别训练、分别评价。数据按预测起点的时间顺序划分为训练/验证/测试三部分，比例 70%/15%/15%，实际边界为：训练集至 2017-09-14 20:40（35,981 个起点），验证集至 11-07 09:40（7,710 个），测试集至 12-30 22:50（7,711 个），三区域共用同一套切分。</w:t>
      </w:r>
    </w:p>
    <w:p w14:paraId="51ADAC05">
      <w:pPr>
        <w:spacing w:before="120" w:after="120" w:line="432"/>
        <w:ind w:left="120" w:right="120" w:firstLine="480"/>
        <w:rPr>
          <w:color w:val="1f2430"/>
        </w:rPr>
      </w:pPr>
      <w:r>
        <w:rPr>
          <w:rFonts w:hint="eastAsia" w:ascii="SimSun" w:hAnsi="SimSun" w:eastAsia="SimSun" w:cs="SimSun"/>
          <w:color w:val="1f2430"/>
          <w:sz w:val="24"/>
        </w:rPr>
        <w:t>防泄漏规则：所有特征只使用预测起点 t 及更早的观测；滚动统计一律回溯窗口；标准化等拟合型预处理只在训练集上拟合；验证集用于选型选参，测试集只评一次。天气特征取起点时刻的同步观测（协议约定，实际部署应替换为天气预报）。</w:t>
      </w:r>
    </w:p>
    <w:p w14:paraId="63DADF2E">
      <w:pPr>
        <w:pStyle w:val="000006"/>
        <w:keepNext w:val="1"/>
        <w:keepLines w:val="1"/>
        <w:spacing w:before="280" w:beforeAutospacing="1" w:after="280" w:afterAutospacing="1"/>
        <w:ind w:left="280" w:right="280"/>
        <w:outlineLvl w:val="1"/>
        <w:rPr>
          <w:color w:val="1f2430"/>
          <w:sz w:val="32"/>
          <w:szCs w:val="32"/>
        </w:rPr>
      </w:pPr>
      <w:bookmarkStart w:id="22" w:name="section-7-2"/>
      <w:r>
        <w:rPr>
          <w:rFonts w:hint="eastAsia" w:ascii="SimHei" w:hAnsi="SimHei" w:eastAsia="SimHei" w:cs="SimHei"/>
          <w:b w:val="1"/>
          <w:color w:val="1f2430"/>
          <w:sz w:val="28"/>
        </w:rPr>
        <w:t>6.2　特征与模型</w:t>
      </w:r>
      <w:bookmarkEnd w:id="22"/>
    </w:p>
    <w:p w14:paraId="2A590157">
      <w:pPr>
        <w:spacing w:before="120" w:after="120" w:line="432"/>
        <w:ind w:left="120" w:right="120" w:firstLine="480"/>
        <w:rPr>
          <w:color w:val="1f2430"/>
        </w:rPr>
      </w:pPr>
      <w:r>
        <w:rPr>
          <w:rFonts w:hint="eastAsia" w:ascii="SimSun" w:hAnsi="SimSun" w:eastAsia="SimSun" w:cs="SimSun"/>
          <w:color w:val="1f2430"/>
          <w:sz w:val="24"/>
        </w:rPr>
        <w:t>特征分三组。历史负荷组：当前负荷、1 小时前、24 小时前同期、7 天前同期；时间组：小时、星期、月份及其周期编码；天气组：起点时刻的温度、湿度、风速与两项辐射。历史同期基线不消费特征，直接取目标时刻的上一周同期值 y(t+6−1008)。</w:t>
      </w:r>
    </w:p>
    <w:p w14:paraId="75DB17FE">
      <w:pPr>
        <w:spacing w:before="120" w:after="120" w:line="432"/>
        <w:ind w:left="120" w:right="120" w:firstLine="480"/>
        <w:rPr>
          <w:color w:val="1f2430"/>
        </w:rPr>
      </w:pPr>
      <w:r>
        <w:rPr>
          <w:rFonts w:hint="eastAsia" w:ascii="SimSun" w:hAnsi="SimSun" w:eastAsia="SimSun" w:cs="SimSun"/>
          <w:color w:val="1f2430"/>
          <w:sz w:val="24"/>
        </w:rPr>
        <w:t>三个模型：历史同期基线（无训练、无超参）；线性回归（标准化 + 最小二乘，无超参）；梯度提升树（scikit-learn HistGradientBoostingRegressor，在验证集上对小规模参数网格选优，随机种子 42）。评价指标为 MAE 与 RMSE，按（模型 × 区域）在测试集上分别计算。</w:t>
      </w:r>
    </w:p>
    <w:p w14:paraId="659D4F45">
      <w:pPr>
        <w:pStyle w:val="000006"/>
        <w:keepNext w:val="1"/>
        <w:keepLines w:val="1"/>
        <w:spacing w:before="280" w:beforeAutospacing="1" w:after="280" w:afterAutospacing="1"/>
        <w:ind w:left="280" w:right="280"/>
        <w:outlineLvl w:val="1"/>
        <w:rPr>
          <w:color w:val="1f2430"/>
          <w:sz w:val="32"/>
          <w:szCs w:val="32"/>
        </w:rPr>
      </w:pPr>
      <w:bookmarkStart w:id="23" w:name="section-7-3"/>
      <w:r>
        <w:rPr>
          <w:rFonts w:hint="eastAsia" w:ascii="SimHei" w:hAnsi="SimHei" w:eastAsia="SimHei" w:cs="SimHei"/>
          <w:b w:val="1"/>
          <w:color w:val="1f2430"/>
          <w:sz w:val="28"/>
        </w:rPr>
        <w:t>6.3　模型比较</w:t>
      </w:r>
      <w:bookmarkEnd w:id="23"/>
    </w:p>
    <w:tbl>
      <w:tblPr>
        <w:tblW w:w="8306" w:type="dxa"/>
        <w:shd w:color="1f2430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val="clear" w:fill="eef1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F1CF37">
            <w:pPr>
              <w:jc w:val="center"/>
              <w:rPr>
                <w:b w:val="1"/>
                <w:bCs w:val="1"/>
                <w:color w:val="1f2430"/>
              </w:rPr>
            </w:pPr>
            <w:r>
              <w:rPr>
                <w:rFonts w:hint="eastAsia" w:ascii="SimSun" w:hAnsi="SimSun" w:eastAsia="SimSun" w:cs="SimSun"/>
                <w:b w:val="1"/>
                <w:color w:val="1f2430"/>
                <w:sz w:val="21"/>
              </w:rPr>
              <w:t>模型</w:t>
            </w:r>
          </w:p>
        </w:tc>
        <w:tc>
          <w:tcPr>
            <w:tcW w:w="1661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val="clear" w:fill="eef1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C6B66D">
            <w:pPr>
              <w:jc w:val="center"/>
              <w:rPr>
                <w:b w:val="1"/>
                <w:bCs w:val="1"/>
                <w:color w:val="1f2430"/>
              </w:rPr>
            </w:pPr>
            <w:r>
              <w:rPr>
                <w:rFonts w:ascii="SimSun" w:hAnsi="SimSun" w:eastAsia="SimSun" w:cs="SimSun"/>
                <w:b w:val="1"/>
                <w:color w:val="1f2430"/>
                <w:sz w:val="21"/>
              </w:rPr>
              <w:t>Z1 MAE/RMSE</w:t>
            </w:r>
          </w:p>
        </w:tc>
        <w:tc>
          <w:tcPr>
            <w:tcW w:w="1661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val="clear" w:fill="eef1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0E7C13">
            <w:pPr>
              <w:jc w:val="center"/>
              <w:rPr>
                <w:b w:val="1"/>
                <w:bCs w:val="1"/>
                <w:color w:val="1f2430"/>
              </w:rPr>
            </w:pPr>
            <w:r>
              <w:rPr>
                <w:rFonts w:ascii="SimSun" w:hAnsi="SimSun" w:eastAsia="SimSun" w:cs="SimSun"/>
                <w:b w:val="1"/>
                <w:color w:val="1f2430"/>
                <w:sz w:val="21"/>
              </w:rPr>
              <w:t>Z2 MAE/RMSE</w:t>
            </w:r>
          </w:p>
        </w:tc>
        <w:tc>
          <w:tcPr>
            <w:tcW w:w="1661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val="clear" w:fill="eef1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75A285">
            <w:pPr>
              <w:jc w:val="center"/>
              <w:rPr>
                <w:b w:val="1"/>
                <w:bCs w:val="1"/>
                <w:color w:val="1f2430"/>
              </w:rPr>
            </w:pPr>
            <w:r>
              <w:rPr>
                <w:rFonts w:ascii="SimSun" w:hAnsi="SimSun" w:eastAsia="SimSun" w:cs="SimSun"/>
                <w:b w:val="1"/>
                <w:color w:val="1f2430"/>
                <w:sz w:val="21"/>
              </w:rPr>
              <w:t>Z3 MAE/RMSE</w:t>
            </w:r>
          </w:p>
        </w:tc>
        <w:tc>
          <w:tcPr>
            <w:tcW w:w="1661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val="clear" w:fill="eef1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9CCBEF">
            <w:pPr>
              <w:jc w:val="center"/>
              <w:rPr>
                <w:b w:val="1"/>
                <w:bCs w:val="1"/>
                <w:color w:val="1f2430"/>
              </w:rPr>
            </w:pPr>
            <w:r>
              <w:rPr>
                <w:rFonts w:hint="eastAsia" w:ascii="SimSun" w:hAnsi="SimSun" w:eastAsia="SimSun" w:cs="SimSun"/>
                <w:b w:val="1"/>
                <w:color w:val="1f2430"/>
                <w:sz w:val="21"/>
              </w:rPr>
              <w:t>合并 MAE/RMSE</w:t>
            </w:r>
          </w:p>
        </w:tc>
      </w:tr>
      <w:tr>
        <w:trPr/>
        <w:tc>
          <w:tcPr>
            <w:tcW w:w="1661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83837A">
            <w:pPr>
              <w:jc w:val="center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历史同期基线</w:t>
            </w:r>
          </w:p>
        </w:tc>
        <w:tc>
          <w:tcPr>
            <w:tcW w:w="1661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A27242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831.04 / 1151.45</w:t>
            </w:r>
          </w:p>
        </w:tc>
        <w:tc>
          <w:tcPr>
            <w:tcW w:w="1661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3EDD25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966.29 / 1366.37</w:t>
            </w:r>
          </w:p>
        </w:tc>
        <w:tc>
          <w:tcPr>
            <w:tcW w:w="1661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54E78E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1354.70 / 2216.34</w:t>
            </w:r>
          </w:p>
        </w:tc>
        <w:tc>
          <w:tcPr>
            <w:tcW w:w="1661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620EF7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b w:val="1"/>
                <w:color w:val="1f2430"/>
                <w:sz w:val="21"/>
              </w:rPr>
              <w:t>1050.68 / 1643.67</w:t>
            </w:r>
          </w:p>
        </w:tc>
      </w:tr>
      <w:tr>
        <w:trPr/>
        <w:tc>
          <w:tcPr>
            <w:tcW w:w="1661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E21562">
            <w:pPr>
              <w:jc w:val="center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线性回归</w:t>
            </w:r>
          </w:p>
        </w:tc>
        <w:tc>
          <w:tcPr>
            <w:tcW w:w="1661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30DD43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2143.94 / 2513.42</w:t>
            </w:r>
          </w:p>
        </w:tc>
        <w:tc>
          <w:tcPr>
            <w:tcW w:w="1661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0E982C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1017.97 / 1551.77</w:t>
            </w:r>
          </w:p>
        </w:tc>
        <w:tc>
          <w:tcPr>
            <w:tcW w:w="1661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175299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b w:val="1"/>
                <w:color w:val="1f2430"/>
                <w:sz w:val="21"/>
              </w:rPr>
              <w:t>1318.20 / 1663.91</w:t>
            </w:r>
          </w:p>
        </w:tc>
        <w:tc>
          <w:tcPr>
            <w:tcW w:w="1661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396DFE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1493.37 / 1957.37</w:t>
            </w:r>
          </w:p>
        </w:tc>
      </w:tr>
      <w:tr>
        <w:trPr/>
        <w:tc>
          <w:tcPr>
            <w:tcW w:w="1661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620962">
            <w:pPr>
              <w:jc w:val="center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梯度提升树</w:t>
            </w:r>
          </w:p>
        </w:tc>
        <w:tc>
          <w:tcPr>
            <w:tcW w:w="1661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10C443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1629.97 / 2244.42</w:t>
            </w:r>
          </w:p>
        </w:tc>
        <w:tc>
          <w:tcPr>
            <w:tcW w:w="1661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06BEA4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1037.39 / 1681.75</w:t>
            </w:r>
          </w:p>
        </w:tc>
        <w:tc>
          <w:tcPr>
            <w:tcW w:w="1661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FF7909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1997.36 / 2386.99</w:t>
            </w:r>
          </w:p>
        </w:tc>
        <w:tc>
          <w:tcPr>
            <w:tcW w:w="1661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292C96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1554.91 / 2126.30</w:t>
            </w:r>
          </w:p>
        </w:tc>
      </w:tr>
    </w:tbl>
    <w:p w14:paraId="3F3AB365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dashed" w:color="c9ced6" w:sz="6"/>
              <w:left w:val="dashed" w:color="c9ced6" w:sz="6"/>
              <w:bottom w:val="dashed" w:color="c9ced6" w:sz="6"/>
              <w:right w:val="dashed" w:color="c9ced6" w:sz="6"/>
            </w:tcBorders>
            <w:shd w:val="clear" w:fill="f5f7fa"/>
            <w:vAlign w:val="center"/>
          </w:tcPr>
          <w:p w14:paraId="0C907AD6">
            <w:pPr>
              <w:jc w:val="center"/>
              <w:rPr>
                <w:color w:val="6b7280"/>
              </w:rPr>
            </w:pPr>
            <w:r>
              <w:rPr>
                <w:rFonts w:hint="eastAsia" w:ascii="KaiTi" w:hAnsi="KaiTi" w:eastAsia="KaiTi" w:cs="KaiTi"/>
                <w:color w:val="6b7280"/>
                <w:sz w:val="22"/>
              </w:rPr>
              <w:t>（此处插入表 3 与图 7　测试集预测值与实际值对比）</w:t>
            </w:r>
          </w:p>
        </w:tc>
      </w:tr>
    </w:tbl>
    <w:p w14:paraId="479714BC">
      <w:pPr>
        <w:spacing w:before="120" w:after="120" w:line="432"/>
        <w:ind w:left="120" w:right="120" w:firstLine="480"/>
        <w:rPr>
          <w:color w:val="1f2430"/>
        </w:rPr>
      </w:pPr>
      <w:r>
        <w:rPr>
          <w:rFonts w:hint="eastAsia" w:ascii="SimSun" w:hAnsi="SimSun" w:eastAsia="SimSun" w:cs="SimSun"/>
          <w:color w:val="1f2430"/>
          <w:sz w:val="24"/>
        </w:rPr>
        <w:t>十二个（模型 × 区域 × 指标）组合中，仅线性回归在区域 3 的 MAE 与 RMSE 同时优于基线（−2.69% 与 −24.93%），其余十项基线占优。基线占优的原因有二：其一，日周期极稳定（97% 以上的日子峰值落在 18–21 时），"上周同一时刻"本身就是很强的预测量；其二，测试期负荷水平较训练期下移（区域 1 日均 33,065→29,056，区域 3 20,052→11,949），学习模型外推训练期水平产生系统性偏差，而基线锚定上周同期值，天然免疫这种漂移。这不说明学习模型无用，而说明在负荷水平非平稳、日周周期极强的数据上，简单基线是很难击败的对照。</w:t>
      </w:r>
    </w:p>
    <w:p w14:paraId="0A119E14">
      <w:pPr>
        <w:pStyle w:val="000006"/>
        <w:keepNext w:val="1"/>
        <w:keepLines w:val="1"/>
        <w:spacing w:before="280" w:beforeAutospacing="1" w:after="280" w:afterAutospacing="1"/>
        <w:ind w:left="280" w:right="280"/>
        <w:outlineLvl w:val="1"/>
        <w:rPr>
          <w:color w:val="1f2430"/>
          <w:sz w:val="32"/>
          <w:szCs w:val="32"/>
        </w:rPr>
      </w:pPr>
      <w:bookmarkStart w:id="24" w:name="section-7-4"/>
      <w:r>
        <w:rPr>
          <w:rFonts w:hint="eastAsia" w:ascii="SimHei" w:hAnsi="SimHei" w:eastAsia="SimHei" w:cs="SimHei"/>
          <w:b w:val="1"/>
          <w:color w:val="1f2430"/>
          <w:sz w:val="28"/>
        </w:rPr>
        <w:t>6.4　天气特征消融</w:t>
      </w:r>
      <w:bookmarkEnd w:id="24"/>
    </w:p>
    <w:p w14:paraId="49719AE1">
      <w:pPr>
        <w:spacing w:before="120" w:after="120" w:line="432"/>
        <w:ind w:left="120" w:right="120" w:firstLine="480"/>
        <w:rPr>
          <w:color w:val="1f2430"/>
        </w:rPr>
      </w:pPr>
      <w:r>
        <w:rPr>
          <w:rFonts w:hint="eastAsia" w:ascii="SimSun" w:hAnsi="SimSun" w:eastAsia="SimSun" w:cs="SimSun"/>
          <w:color w:val="1f2430"/>
          <w:sz w:val="24"/>
        </w:rPr>
        <w:t>消融对照：A 组 = 历史 + 时间特征，B 组 = 历史 + 时间 + 天气特征，除天气开关外样本、切分、模型、参数完全一致。测试集 RMSE 变化（B 组相对 A 组）如下表。</w:t>
      </w:r>
    </w:p>
    <w:tbl>
      <w:tblPr>
        <w:tblW w:w="8306" w:type="dxa"/>
        <w:shd w:color="1f2430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val="clear" w:fill="eef1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5C792B">
            <w:pPr>
              <w:jc w:val="center"/>
              <w:rPr>
                <w:b w:val="1"/>
                <w:bCs w:val="1"/>
                <w:color w:val="1f2430"/>
              </w:rPr>
            </w:pPr>
            <w:r>
              <w:rPr>
                <w:rFonts w:hint="eastAsia" w:ascii="SimSun" w:hAnsi="SimSun" w:eastAsia="SimSun" w:cs="SimSun"/>
                <w:b w:val="1"/>
                <w:color w:val="1f2430"/>
                <w:sz w:val="21"/>
              </w:rPr>
              <w:t>模型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val="clear" w:fill="eef1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AB0C76">
            <w:pPr>
              <w:jc w:val="center"/>
              <w:rPr>
                <w:b w:val="1"/>
                <w:bCs w:val="1"/>
                <w:color w:val="1f2430"/>
              </w:rPr>
            </w:pPr>
            <w:r>
              <w:rPr>
                <w:rFonts w:hint="eastAsia" w:ascii="SimSun" w:hAnsi="SimSun" w:eastAsia="SimSun" w:cs="SimSun"/>
                <w:b w:val="1"/>
                <w:color w:val="1f2430"/>
                <w:sz w:val="21"/>
              </w:rPr>
              <w:t>区域 1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val="clear" w:fill="eef1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E221D8">
            <w:pPr>
              <w:jc w:val="center"/>
              <w:rPr>
                <w:b w:val="1"/>
                <w:bCs w:val="1"/>
                <w:color w:val="1f2430"/>
              </w:rPr>
            </w:pPr>
            <w:r>
              <w:rPr>
                <w:rFonts w:hint="eastAsia" w:ascii="SimSun" w:hAnsi="SimSun" w:eastAsia="SimSun" w:cs="SimSun"/>
                <w:b w:val="1"/>
                <w:color w:val="1f2430"/>
                <w:sz w:val="21"/>
              </w:rPr>
              <w:t>区域 2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val="clear" w:fill="eef1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2BCE43">
            <w:pPr>
              <w:jc w:val="center"/>
              <w:rPr>
                <w:b w:val="1"/>
                <w:bCs w:val="1"/>
                <w:color w:val="1f2430"/>
              </w:rPr>
            </w:pPr>
            <w:r>
              <w:rPr>
                <w:rFonts w:hint="eastAsia" w:ascii="SimSun" w:hAnsi="SimSun" w:eastAsia="SimSun" w:cs="SimSun"/>
                <w:b w:val="1"/>
                <w:color w:val="1f2430"/>
                <w:sz w:val="21"/>
              </w:rPr>
              <w:t>区域 3</w:t>
            </w:r>
          </w:p>
        </w:tc>
      </w:tr>
      <w:tr>
        <w:trPr/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D8D94F">
            <w:pPr>
              <w:jc w:val="center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线性回归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950EBB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−23.28%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546FA7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−4.12%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4EB633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b w:val="1"/>
                <w:color w:val="1f2430"/>
                <w:sz w:val="21"/>
              </w:rPr>
              <w:t>−34.61%</w:t>
            </w:r>
          </w:p>
        </w:tc>
      </w:tr>
      <w:tr>
        <w:trPr/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0FF63F">
            <w:pPr>
              <w:jc w:val="center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梯度提升树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26DEB3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−22.01%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F501A7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−7.83%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B45DBB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b w:val="1"/>
                <w:color w:val="1f2430"/>
                <w:sz w:val="21"/>
              </w:rPr>
              <w:t>+3.24%</w:t>
            </w:r>
          </w:p>
        </w:tc>
      </w:tr>
    </w:tbl>
    <w:p w14:paraId="42E2296D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dashed" w:color="c9ced6" w:sz="6"/>
              <w:left w:val="dashed" w:color="c9ced6" w:sz="6"/>
              <w:bottom w:val="dashed" w:color="c9ced6" w:sz="6"/>
              <w:right w:val="dashed" w:color="c9ced6" w:sz="6"/>
            </w:tcBorders>
            <w:shd w:val="clear" w:fill="f5f7fa"/>
            <w:vAlign w:val="center"/>
          </w:tcPr>
          <w:p w14:paraId="5F5AABD5">
            <w:pPr>
              <w:jc w:val="center"/>
              <w:rPr>
                <w:color w:val="6b7280"/>
              </w:rPr>
            </w:pPr>
            <w:r>
              <w:rPr>
                <w:rFonts w:hint="eastAsia" w:ascii="KaiTi" w:hAnsi="KaiTi" w:eastAsia="KaiTi" w:cs="KaiTi"/>
                <w:color w:val="6b7280"/>
                <w:sz w:val="22"/>
              </w:rPr>
              <w:t>（此处插入表 4 与图 9　天气特征消融对比）</w:t>
            </w:r>
          </w:p>
        </w:tc>
      </w:tr>
    </w:tbl>
    <w:p w14:paraId="3185D6EF">
      <w:pPr>
        <w:spacing w:before="120" w:after="120" w:line="432"/>
        <w:ind w:left="120" w:right="120" w:firstLine="480"/>
        <w:rPr>
          <w:color w:val="1f2430"/>
        </w:rPr>
      </w:pPr>
      <w:r>
        <w:rPr>
          <w:rFonts w:hint="eastAsia" w:ascii="SimSun" w:hAnsi="SimSun" w:eastAsia="SimSun" w:cs="SimSun"/>
          <w:color w:val="1f2430"/>
          <w:sz w:val="24"/>
        </w:rPr>
        <w:t>六个组合中五个加入天气后误差下降，增益排序与第 5 章的温度相关性排序一致（区域 3 相关性最高、增益最大；区域 2 最低、增益最小）。唯一例外是梯度提升树在区域 3 变差（+3.24%），如实报告。结论：天气特征对短期负荷预测有实际增益，但增益因区域和模型而异，不能一概而论；天气仅用预测起点的同步观测，实际部署时应替换为天气预报，届时增益预计会打折。</w:t>
      </w:r>
    </w:p>
    <w:p w14:paraId="3F3FAF07">
      <w:pPr>
        <w:pStyle w:val="000006"/>
        <w:keepNext w:val="1"/>
        <w:keepLines w:val="1"/>
        <w:spacing w:before="280" w:beforeAutospacing="1" w:after="280" w:afterAutospacing="1"/>
        <w:ind w:left="280" w:right="280"/>
        <w:outlineLvl w:val="1"/>
        <w:rPr>
          <w:color w:val="1f2430"/>
          <w:sz w:val="32"/>
          <w:szCs w:val="32"/>
        </w:rPr>
      </w:pPr>
      <w:bookmarkStart w:id="25" w:name="section-7-5"/>
      <w:r>
        <w:rPr>
          <w:rFonts w:hint="eastAsia" w:ascii="SimHei" w:hAnsi="SimHei" w:eastAsia="SimHei" w:cs="SimHei"/>
          <w:b w:val="1"/>
          <w:color w:val="1f2430"/>
          <w:sz w:val="28"/>
        </w:rPr>
        <w:t>6.5　分区域与高峰时段误差分析</w:t>
      </w:r>
      <w:bookmarkEnd w:id="25"/>
    </w:p>
    <w:p w14:paraId="45E2C658">
      <w:pPr>
        <w:spacing w:before="120" w:after="120" w:line="432"/>
        <w:ind w:left="120" w:right="120" w:firstLine="480"/>
        <w:rPr>
          <w:color w:val="1f2430"/>
        </w:rPr>
      </w:pPr>
      <w:r>
        <w:rPr>
          <w:rFonts w:hint="eastAsia" w:ascii="SimSun" w:hAnsi="SimSun" w:eastAsia="SimSun" w:cs="SimSun"/>
          <w:color w:val="1f2430"/>
          <w:sz w:val="24"/>
        </w:rPr>
        <w:t>消除量级差异后按 nRMSE 比较：区域 1 为 3.96%–8.65%，区域 2 为 5.81%–7.15%，区域 3 高达 13.92%–19.98%。区域 3 对三个模型都最难，与第 4 章的发现一致（日峰值变异系数 27.7%）。</w:t>
      </w:r>
    </w:p>
    <w:p w14:paraId="528569FB">
      <w:pPr>
        <w:spacing w:before="120" w:after="120" w:line="432"/>
        <w:ind w:left="120" w:right="120" w:firstLine="480"/>
        <w:rPr>
          <w:color w:val="1f2430"/>
        </w:rPr>
      </w:pPr>
      <w:r>
        <w:rPr>
          <w:rFonts w:hint="eastAsia" w:ascii="SimSun" w:hAnsi="SimSun" w:eastAsia="SimSun" w:cs="SimSun"/>
          <w:color w:val="1f2430"/>
          <w:sz w:val="24"/>
        </w:rPr>
        <w:t>高峰时段（阈值取训练集负荷分布 Q90）分析：区域 2 高峰时段梯度提升树 RMSE 为 2761，是普通时段（1125）的 2.5 倍，且偏差由 −271 转为 −1330——模型在高峰时段系统性低估峰值，这是对电网调度最不安全的误差方向。区域 1 测试期高峰样本仅 9 条、区域 3 为 0 条（测试期负荷整体下移），这两个区域的高峰表现无法从本次数据确认。残差分析（图 8）显示梯度提升树在区域 1、3 整体高估（bias +1020 / +1670），与负荷漂移方向一致。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dashed" w:color="c9ced6" w:sz="6"/>
              <w:left w:val="dashed" w:color="c9ced6" w:sz="6"/>
              <w:bottom w:val="dashed" w:color="c9ced6" w:sz="6"/>
              <w:right w:val="dashed" w:color="c9ced6" w:sz="6"/>
            </w:tcBorders>
            <w:shd w:val="clear" w:fill="f5f7fa"/>
            <w:vAlign w:val="center"/>
          </w:tcPr>
          <w:p w14:paraId="26CBC7BC">
            <w:pPr>
              <w:jc w:val="center"/>
              <w:rPr>
                <w:color w:val="6b7280"/>
              </w:rPr>
            </w:pPr>
            <w:r>
              <w:rPr>
                <w:rFonts w:hint="eastAsia" w:ascii="KaiTi" w:hAnsi="KaiTi" w:eastAsia="KaiTi" w:cs="KaiTi"/>
                <w:color w:val="6b7280"/>
                <w:sz w:val="22"/>
              </w:rPr>
              <w:t>（此处插入图 8　分小时误差、残差分布与残差时间序列）</w:t>
            </w:r>
          </w:p>
        </w:tc>
      </w:tr>
    </w:tbl>
    <w:p w14:paraId="3DEB77FA">
      <w:pPr>
        <w:sectPr>
          <w:footerReference r:id="rId4" w:type="default"/>
          <w:type w:val="nextPage"/>
          <w:pgSz w:w="11906" w:h="16838"/>
          <w:pgMar w:top="1440" w:right="1800" w:bottom="1440" w:left="1800" w:header="851" w:footer="992" w:gutter="0"/>
        </w:sectPr>
      </w:pPr>
    </w:p>
    <w:p w14:paraId="0BD43666">
      <w:pPr>
        <w:pStyle w:val="000005"/>
        <w:keepNext w:val="1"/>
        <w:keepLines w:val="1"/>
        <w:spacing w:before="360" w:beforeAutospacing="1" w:after="360" w:afterAutospacing="1"/>
        <w:ind w:left="360" w:right="360"/>
        <w:outlineLvl w:val="0"/>
        <w:rPr>
          <w:color w:val="1f2430"/>
          <w:kern w:val="44"/>
          <w:sz w:val="44"/>
          <w:szCs w:val="44"/>
        </w:rPr>
      </w:pPr>
      <w:bookmarkStart w:id="26" w:name="section-8"/>
      <w:r>
        <w:rPr>
          <w:rFonts w:hint="eastAsia" w:ascii="SimHei" w:hAnsi="SimHei" w:eastAsia="SimHei" w:cs="SimHei"/>
          <w:b w:val="1"/>
          <w:color w:val="1f2430"/>
          <w:sz w:val="32"/>
        </w:rPr>
        <w:t>7　总结与结论</w:t>
      </w:r>
      <w:bookmarkEnd w:id="26"/>
    </w:p>
    <w:p w14:paraId="3BC9DEF4">
      <w:pPr>
        <w:pStyle w:val="000006"/>
        <w:keepNext w:val="1"/>
        <w:keepLines w:val="1"/>
        <w:spacing w:before="280" w:beforeAutospacing="1" w:after="280" w:afterAutospacing="1"/>
        <w:ind w:left="280" w:right="280"/>
        <w:outlineLvl w:val="1"/>
        <w:rPr>
          <w:color w:val="1f2430"/>
          <w:sz w:val="32"/>
          <w:szCs w:val="32"/>
        </w:rPr>
      </w:pPr>
      <w:bookmarkStart w:id="27" w:name="section-8-1"/>
      <w:r>
        <w:rPr>
          <w:rFonts w:hint="eastAsia" w:ascii="SimHei" w:hAnsi="SimHei" w:eastAsia="SimHei" w:cs="SimHei"/>
          <w:b w:val="1"/>
          <w:color w:val="1f2430"/>
          <w:sz w:val="28"/>
        </w:rPr>
        <w:t>7.1　主要发现</w:t>
      </w:r>
      <w:bookmarkEnd w:id="27"/>
    </w:p>
    <w:p w14:paraId="05666652">
      <w:pPr>
        <w:spacing w:before="120" w:after="120" w:line="432"/>
        <w:ind w:left="120" w:right="120" w:firstLine="480"/>
        <w:rPr>
          <w:color w:val="1f2430"/>
        </w:rPr>
      </w:pPr>
      <w:r>
        <w:rPr>
          <w:rFonts w:hint="eastAsia" w:ascii="SimSun" w:hAnsi="SimSun" w:eastAsia="SimSun" w:cs="SimSun"/>
          <w:color w:val="1f2430"/>
          <w:sz w:val="24"/>
        </w:rPr>
        <w:t>第一，历史同期基线整体最优。测试集合并口径 MAE/RMSE 为 1050.68/1643.67，两个学习模型均不敌基线；仅线性回归在区域 3 两项指标同时占优。基线强源于日周期极稳定与负荷水平漂移，学习模型的外推偏差在非平稳数据上代价高昂。</w:t>
      </w:r>
    </w:p>
    <w:p w14:paraId="792DDDFE">
      <w:pPr>
        <w:spacing w:before="120" w:after="120" w:line="432"/>
        <w:ind w:left="120" w:right="120" w:firstLine="480"/>
        <w:rPr>
          <w:color w:val="1f2430"/>
        </w:rPr>
      </w:pPr>
      <w:r>
        <w:rPr>
          <w:rFonts w:hint="eastAsia" w:ascii="SimSun" w:hAnsi="SimSun" w:eastAsia="SimSun" w:cs="SimSun"/>
          <w:color w:val="1f2430"/>
          <w:sz w:val="24"/>
        </w:rPr>
        <w:t>第二，三个区域的预测难度差异主要来自数据本身。区域 3 的 nRMSE 对所有模型都最高（13.9%–20.0%），与其日峰值变异系数 27.7% 一致；区域间比较必须使用相对指标。</w:t>
      </w:r>
    </w:p>
    <w:p w14:paraId="4115FAC6">
      <w:pPr>
        <w:spacing w:before="120" w:after="120" w:line="432"/>
        <w:ind w:left="120" w:right="120" w:firstLine="480"/>
        <w:rPr>
          <w:color w:val="1f2430"/>
        </w:rPr>
      </w:pPr>
      <w:r>
        <w:rPr>
          <w:rFonts w:hint="eastAsia" w:ascii="SimSun" w:hAnsi="SimSun" w:eastAsia="SimSun" w:cs="SimSun"/>
          <w:color w:val="1f2430"/>
          <w:sz w:val="24"/>
        </w:rPr>
        <w:t>第三，天气特征有实际增益但不稳定。5/6 组合误差下降（−4.1% 至 −34.6%），增益排序与温度相关性排序一致；梯度提升树在区域 3 例外变差（+3.24%）。</w:t>
      </w:r>
    </w:p>
    <w:p w14:paraId="1D070EE7">
      <w:pPr>
        <w:spacing w:before="120" w:after="120" w:line="432"/>
        <w:ind w:left="120" w:right="120" w:firstLine="480"/>
        <w:rPr>
          <w:color w:val="1f2430"/>
        </w:rPr>
      </w:pPr>
      <w:r>
        <w:rPr>
          <w:rFonts w:hint="eastAsia" w:ascii="SimSun" w:hAnsi="SimSun" w:eastAsia="SimSun" w:cs="SimSun"/>
          <w:color w:val="1f2430"/>
          <w:sz w:val="24"/>
        </w:rPr>
        <w:t>第四，高峰时段更难预测且方向不利。区域 2 高峰误差为普通时段 2.5 倍，且系统性低估峰值；区域 1、3 因样本不足无法确认。</w:t>
      </w:r>
    </w:p>
    <w:p w14:paraId="15CC37D1">
      <w:pPr>
        <w:pStyle w:val="000006"/>
        <w:keepNext w:val="1"/>
        <w:keepLines w:val="1"/>
        <w:spacing w:before="280" w:beforeAutospacing="1" w:after="280" w:afterAutospacing="1"/>
        <w:ind w:left="280" w:right="280"/>
        <w:outlineLvl w:val="1"/>
        <w:rPr>
          <w:color w:val="1f2430"/>
          <w:sz w:val="32"/>
          <w:szCs w:val="32"/>
        </w:rPr>
      </w:pPr>
      <w:bookmarkStart w:id="28" w:name="section-8-2"/>
      <w:r>
        <w:rPr>
          <w:rFonts w:hint="eastAsia" w:ascii="SimHei" w:hAnsi="SimHei" w:eastAsia="SimHei" w:cs="SimHei"/>
          <w:b w:val="1"/>
          <w:color w:val="1f2430"/>
          <w:sz w:val="28"/>
        </w:rPr>
        <w:t>7.2　对电网调度的建议</w:t>
      </w:r>
      <w:bookmarkEnd w:id="28"/>
    </w:p>
    <w:p w14:paraId="15B8BF0C">
      <w:pPr>
        <w:spacing w:before="120" w:after="120" w:line="432"/>
        <w:ind w:left="120" w:right="120" w:firstLine="480"/>
        <w:rPr>
          <w:color w:val="1f2430"/>
        </w:rPr>
      </w:pPr>
      <w:r>
        <w:rPr>
          <w:rFonts w:hint="eastAsia" w:ascii="SimSun" w:hAnsi="SimSun" w:eastAsia="SimSun" w:cs="SimSun"/>
          <w:color w:val="1f2430"/>
          <w:sz w:val="24"/>
        </w:rPr>
        <w:t>小时级调度可用历史同期基线作兜底，其测试期合并 MAE 最低且偏差最小；高峰时段（18–21 时）模型倾向低估，调度裕度应向高估方向留，尤其区域 2；区域 3 波动最大、预测最难，建议单独监控并保留更大备用容量；引入天气预报替换同步观测时，可先在区域 3 试点（其天气增益证据最充分）。</w:t>
      </w:r>
    </w:p>
    <w:p w14:paraId="783866F9">
      <w:pPr>
        <w:pStyle w:val="000006"/>
        <w:keepNext w:val="1"/>
        <w:keepLines w:val="1"/>
        <w:spacing w:before="280" w:beforeAutospacing="1" w:after="280" w:afterAutospacing="1"/>
        <w:ind w:left="280" w:right="280"/>
        <w:outlineLvl w:val="1"/>
        <w:rPr>
          <w:color w:val="1f2430"/>
          <w:sz w:val="32"/>
          <w:szCs w:val="32"/>
        </w:rPr>
      </w:pPr>
      <w:bookmarkStart w:id="29" w:name="section-8-3"/>
      <w:r>
        <w:rPr>
          <w:rFonts w:hint="eastAsia" w:ascii="SimHei" w:hAnsi="SimHei" w:eastAsia="SimHei" w:cs="SimHei"/>
          <w:b w:val="1"/>
          <w:color w:val="1f2430"/>
          <w:sz w:val="28"/>
        </w:rPr>
        <w:t>7.3　局限</w:t>
      </w:r>
      <w:bookmarkEnd w:id="29"/>
    </w:p>
    <w:p w14:paraId="35076367">
      <w:pPr>
        <w:spacing w:before="120" w:after="120" w:line="432"/>
        <w:ind w:left="120" w:right="120" w:firstLine="480"/>
        <w:rPr>
          <w:color w:val="1f2430"/>
        </w:rPr>
        <w:sectPr>
          <w:footerReference r:id="rId4" w:type="default"/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color w:val="1f2430"/>
          <w:sz w:val="24"/>
        </w:rPr>
        <w:t>本数据仅覆盖一个城市、一年（364 天，缺 12 月 31 日），以下结论不能外推：跨城市、跨年度的一般规律；跨年度季节性断言（区域 3 的 9–12 月下滑含趋势成分，无法与季节性分离）；采暖季模型有效性（未观察到低温 U 形回升）；节假日与极端天气下的表现（样本极少）。全部对比仅报数值与相对变化，未做显著性检验，不使用"显著"一类措辞。</w:t>
      </w:r>
    </w:p>
    <w:p w14:paraId="4C0723BD">
      <w:pPr>
        <w:pStyle w:val="000005"/>
        <w:keepNext w:val="1"/>
        <w:keepLines w:val="1"/>
        <w:spacing w:before="360" w:beforeAutospacing="1" w:after="360" w:afterAutospacing="1"/>
        <w:ind w:left="360" w:right="360"/>
        <w:outlineLvl w:val="0"/>
        <w:rPr>
          <w:color w:val="1f2430"/>
          <w:kern w:val="44"/>
          <w:sz w:val="44"/>
          <w:szCs w:val="44"/>
        </w:rPr>
      </w:pPr>
      <w:bookmarkStart w:id="30" w:name="section-9"/>
      <w:r>
        <w:rPr>
          <w:rFonts w:hint="eastAsia" w:ascii="SimHei" w:hAnsi="SimHei" w:eastAsia="SimHei" w:cs="SimHei"/>
          <w:b w:val="1"/>
          <w:color w:val="1f2430"/>
          <w:sz w:val="32"/>
        </w:rPr>
        <w:t>8　小组成员分工与个人承担</w:t>
      </w:r>
      <w:bookmarkEnd w:id="30"/>
    </w:p>
    <w:p w14:paraId="5FC60241">
      <w:pPr>
        <w:pStyle w:val="000006"/>
        <w:keepNext w:val="1"/>
        <w:keepLines w:val="1"/>
        <w:spacing w:before="280" w:beforeAutospacing="1" w:after="280" w:afterAutospacing="1"/>
        <w:ind w:left="280" w:right="280"/>
        <w:outlineLvl w:val="1"/>
        <w:rPr>
          <w:color w:val="1f243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f2430"/>
          <w:sz w:val="28"/>
        </w:rPr>
        <w:t>8.1　分工表</w:t>
      </w:r>
    </w:p>
    <w:tbl>
      <w:tblPr>
        <w:tblW w:w="8306" w:type="dxa"/>
        <w:shd w:color="1f2430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val="clear" w:fill="eef1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05E2D8">
            <w:pPr>
              <w:jc w:val="center"/>
              <w:rPr>
                <w:b w:val="1"/>
                <w:bCs w:val="1"/>
                <w:color w:val="1f2430"/>
              </w:rPr>
            </w:pPr>
            <w:r>
              <w:rPr>
                <w:rFonts w:hint="eastAsia" w:ascii="SimSun" w:hAnsi="SimSun" w:eastAsia="SimSun" w:cs="SimSun"/>
                <w:b w:val="1"/>
                <w:color w:val="1f2430"/>
                <w:sz w:val="21"/>
              </w:rPr>
              <w:t>成员姓名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val="clear" w:fill="eef1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E17156">
            <w:pPr>
              <w:jc w:val="center"/>
              <w:rPr>
                <w:b w:val="1"/>
                <w:bCs w:val="1"/>
                <w:color w:val="1f2430"/>
              </w:rPr>
            </w:pPr>
            <w:r>
              <w:rPr>
                <w:rFonts w:hint="eastAsia" w:ascii="SimSun" w:hAnsi="SimSun" w:eastAsia="SimSun" w:cs="SimSun"/>
                <w:b w:val="1"/>
                <w:color w:val="1f2430"/>
                <w:sz w:val="21"/>
              </w:rPr>
              <w:t>学号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val="clear" w:fill="eef1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5A01E3">
            <w:pPr>
              <w:jc w:val="center"/>
              <w:rPr>
                <w:b w:val="1"/>
                <w:bCs w:val="1"/>
                <w:color w:val="1f2430"/>
              </w:rPr>
            </w:pPr>
            <w:r>
              <w:rPr>
                <w:rFonts w:hint="eastAsia" w:ascii="SimSun" w:hAnsi="SimSun" w:eastAsia="SimSun" w:cs="SimSun"/>
                <w:b w:val="1"/>
                <w:color w:val="1f2430"/>
                <w:sz w:val="21"/>
              </w:rPr>
              <w:t>承担章节 / 模块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val="clear" w:fill="eef1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133D7F">
            <w:pPr>
              <w:jc w:val="center"/>
              <w:rPr>
                <w:b w:val="1"/>
                <w:bCs w:val="1"/>
                <w:color w:val="1f2430"/>
              </w:rPr>
            </w:pPr>
            <w:r>
              <w:rPr>
                <w:rFonts w:hint="eastAsia" w:ascii="SimSun" w:hAnsi="SimSun" w:eastAsia="SimSun" w:cs="SimSun"/>
                <w:b w:val="1"/>
                <w:color w:val="1f2430"/>
                <w:sz w:val="21"/>
              </w:rPr>
              <w:t>具体工作内容</w:t>
            </w:r>
          </w:p>
        </w:tc>
      </w:tr>
      <w:tr>
        <w:trPr/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4A009C">
            <w:pPr>
              <w:jc w:val="center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郑宜桥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A1BC87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25121628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460F6F">
            <w:pPr>
              <w:jc w:val="center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第 2、3、4、5 章；数据模块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B84322">
            <w:pPr>
              <w:jc w:val="left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数据审计、清洗与接口定义、日/周/季节规律分析、天气与负荷关系分析、表 1 与表 2</w:t>
            </w:r>
          </w:p>
        </w:tc>
      </w:tr>
      <w:tr>
        <w:trPr/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73E217">
            <w:pPr>
              <w:jc w:val="center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况子昱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3A8B0A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25121631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59C30D">
            <w:pPr>
              <w:jc w:val="center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第 6 章；模型模块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1126C0">
            <w:pPr>
              <w:jc w:val="left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预测协议、时间切分与特征、基线与梯度提升模型、模型比较与交付检查</w:t>
            </w:r>
          </w:p>
        </w:tc>
      </w:tr>
      <w:tr>
        <w:trPr/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DE175A">
            <w:pPr>
              <w:jc w:val="center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徐启翔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A2A7E9">
            <w:pPr>
              <w:jc w:val="center"/>
              <w:rPr>
                <w:color w:val="1f2430"/>
              </w:rPr>
            </w:pPr>
            <w:r>
              <w:rPr>
                <w:rFonts w:ascii="SimSun" w:hAnsi="SimSun" w:eastAsia="SimSun" w:cs="SimSun"/>
                <w:color w:val="1f2430"/>
                <w:sz w:val="21"/>
              </w:rPr>
              <w:t>25121632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A8448B">
            <w:pPr>
              <w:jc w:val="center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摘要、第 1、7 章；消融与误差分析</w:t>
            </w:r>
          </w:p>
        </w:tc>
        <w:tc>
          <w:tcPr>
            <w:tcW w:w="2076" w:type="dxa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1714BB">
            <w:pPr>
              <w:jc w:val="left"/>
              <w:rPr>
                <w:color w:val="1f2430"/>
              </w:rPr>
            </w:pPr>
            <w:r>
              <w:rPr>
                <w:rFonts w:hint="eastAsia" w:ascii="SimSun" w:hAnsi="SimSun" w:eastAsia="SimSun" w:cs="SimSun"/>
                <w:color w:val="1f2430"/>
                <w:sz w:val="21"/>
              </w:rPr>
              <w:t>报告框架与整合、天气特征消融、分区域与高峰时段误差分析、汇报材料</w:t>
            </w:r>
          </w:p>
        </w:tc>
      </w:tr>
    </w:tbl>
    <w:p w14:paraId="3A3133C0">
      <w:pPr>
        <w:pStyle w:val="000006"/>
        <w:keepNext w:val="1"/>
        <w:keepLines w:val="1"/>
        <w:spacing w:before="280" w:beforeAutospacing="1" w:after="280" w:afterAutospacing="1"/>
        <w:ind w:left="280" w:right="280"/>
        <w:outlineLvl w:val="1"/>
        <w:rPr>
          <w:color w:val="1f243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f2430"/>
          <w:sz w:val="28"/>
        </w:rPr>
        <w:t>8.2　个人承担说明</w:t>
      </w:r>
    </w:p>
    <w:p w14:paraId="339F4F28">
      <w:pPr>
        <w:spacing w:before="120" w:after="120" w:line="432"/>
        <w:ind w:left="120" w:right="120" w:firstLine="480"/>
        <w:rPr>
          <w:color w:val="1f2430"/>
        </w:rPr>
      </w:pPr>
      <w:r>
        <w:rPr>
          <w:rFonts w:hint="eastAsia" w:ascii="SimSun" w:hAnsi="SimSun" w:eastAsia="SimSun" w:cs="SimSun"/>
          <w:color w:val="1f2430"/>
          <w:sz w:val="24"/>
        </w:rPr>
        <w:t>郑宜桥：分析思路、方法步骤、遇到的问题（列名双空格、异常值删否、区域量级差异）及解决方式的完整说明见项目文档（转 Word 时并入）。</w:t>
      </w:r>
    </w:p>
    <w:p w14:paraId="62349B87">
      <w:pPr>
        <w:spacing w:before="120" w:after="120" w:line="432"/>
        <w:ind w:left="120" w:right="120" w:firstLine="480"/>
        <w:rPr>
          <w:color w:val="1f2430"/>
        </w:rPr>
      </w:pPr>
      <w:r>
        <w:rPr>
          <w:rFonts w:hint="eastAsia" w:ascii="SimSun" w:hAnsi="SimSun" w:eastAsia="SimSun" w:cs="SimSun"/>
          <w:color w:val="1f2430"/>
          <w:sz w:val="24"/>
        </w:rPr>
        <w:t>况子昱：（待本人补充：预测协议的设计思路、防泄漏的索引核对过程、HistGBT 替换经典 GBT 的决策、交付复现检查。）</w:t>
      </w:r>
    </w:p>
    <w:p w14:paraId="1DE1BECE">
      <w:pPr>
        <w:spacing w:before="120" w:after="120" w:line="432"/>
        <w:ind w:left="120" w:right="120" w:firstLine="480"/>
        <w:rPr>
          <w:color w:val="1f2430"/>
        </w:rPr>
        <w:sectPr>
          <w:footerReference r:id="rId4" w:type="default"/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color w:val="1f2430"/>
          <w:sz w:val="24"/>
        </w:rPr>
        <w:t>徐启翔：（待本人补充：报告框架与实验日志规范的建立、消融实验设计、误差归因过程、报告整合。）</w:t>
      </w:r>
    </w:p>
    <w:p w14:paraId="051106DE">
      <w:pPr>
        <w:pStyle w:val="000005"/>
        <w:keepNext w:val="1"/>
        <w:keepLines w:val="1"/>
        <w:spacing w:before="360" w:beforeAutospacing="1" w:after="360" w:afterAutospacing="1"/>
        <w:ind w:left="360" w:right="360"/>
        <w:outlineLvl w:val="0"/>
        <w:rPr>
          <w:color w:val="1f2430"/>
          <w:kern w:val="44"/>
          <w:sz w:val="44"/>
          <w:szCs w:val="44"/>
        </w:rPr>
      </w:pPr>
      <w:bookmarkStart w:id="31" w:name="section-10"/>
      <w:r>
        <w:rPr>
          <w:rFonts w:hint="eastAsia" w:ascii="SimHei" w:hAnsi="SimHei" w:eastAsia="SimHei" w:cs="SimHei"/>
          <w:b w:val="1"/>
          <w:color w:val="1f2430"/>
          <w:sz w:val="32"/>
        </w:rPr>
        <w:t>9　附录</w:t>
      </w:r>
      <w:bookmarkEnd w:id="31"/>
    </w:p>
    <w:p w14:paraId="572A9625">
      <w:pPr>
        <w:pStyle w:val="000006"/>
        <w:keepNext w:val="1"/>
        <w:keepLines w:val="1"/>
        <w:spacing w:before="280" w:beforeAutospacing="1" w:after="280" w:afterAutospacing="1"/>
        <w:ind w:left="280" w:right="280"/>
        <w:outlineLvl w:val="1"/>
        <w:rPr>
          <w:color w:val="1f243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f2430"/>
          <w:sz w:val="28"/>
        </w:rPr>
        <w:t>附录 A　代码仓库</w:t>
      </w:r>
    </w:p>
    <w:p w14:paraId="0A1DB3F0">
      <w:pPr>
        <w:spacing w:before="120" w:after="120" w:line="432"/>
        <w:ind w:left="120" w:right="120" w:firstLine="480"/>
        <w:rPr>
          <w:color w:val="1f2430"/>
        </w:rPr>
      </w:pPr>
      <w:r>
        <w:rPr>
          <w:rFonts w:hint="eastAsia" w:ascii="SimSun" w:hAnsi="SimSun" w:eastAsia="SimSun" w:cs="SimSun"/>
          <w:color w:val="1f2430"/>
          <w:sz w:val="24"/>
        </w:rPr>
        <w:t>GitHub 仓库：https://github.com/77xiang/python_data_processing（提交前最终确认）。</w:t>
      </w:r>
    </w:p>
    <w:p w14:paraId="515580AC">
      <w:pPr>
        <w:spacing w:before="120" w:after="120" w:line="432"/>
        <w:ind w:left="120" w:right="120" w:firstLine="480"/>
        <w:rPr>
          <w:color w:val="1f2430"/>
        </w:rPr>
      </w:pPr>
      <w:r>
        <w:rPr>
          <w:rFonts w:hint="eastAsia" w:ascii="SimSun" w:hAnsi="SimSun" w:eastAsia="SimSun" w:cs="SimSun"/>
          <w:color w:val="1f2430"/>
          <w:sz w:val="24"/>
        </w:rPr>
        <w:t>代码结构：src/data_cleaning.py（清洗）→ src/features.py、src/splits.py（特征与切分）→ src/models.py、src/evaluate.py、src/compare.py（模型与比较）→ src/ablation.py（消融）→ src/error_analysis.py（误差分析）；分析图表分别由 src/eda.py、src/weather_analysis.py 生成。</w:t>
      </w:r>
    </w:p>
    <w:p w14:paraId="6316F5AB">
      <w:pPr>
        <w:pStyle w:val="000006"/>
        <w:keepNext w:val="1"/>
        <w:keepLines w:val="1"/>
        <w:spacing w:before="280" w:beforeAutospacing="1" w:after="280" w:afterAutospacing="1"/>
        <w:ind w:left="280" w:right="280"/>
        <w:outlineLvl w:val="1"/>
        <w:rPr>
          <w:color w:val="1f243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f2430"/>
          <w:sz w:val="28"/>
        </w:rPr>
        <w:t>附录 B　复现说明</w:t>
      </w:r>
    </w:p>
    <w:p w14:paraId="2774F136">
      <w:pPr>
        <w:spacing w:before="120" w:after="120" w:line="432"/>
        <w:ind w:left="120" w:right="120" w:firstLine="480"/>
        <w:rPr>
          <w:color w:val="1f2430"/>
        </w:rPr>
      </w:pPr>
      <w:r>
        <w:rPr>
          <w:rFonts w:hint="eastAsia" w:ascii="SimSun" w:hAnsi="SimSun" w:eastAsia="SimSun" w:cs="SimSun"/>
          <w:color w:val="1f2430"/>
          <w:sz w:val="24"/>
        </w:rPr>
        <w:t>1. 将原始数据放至 data/raw/（原始数据不入库）；2. 依赖见 requirements.txt（建议锁定 scikit-learn==1.6.1）；3. 运行 src/compare.py 完整重跑三模型并生成表 3、图 7，src/ablation.py 与 src/error_analysis.py 分别复现消融与误差分析；4. 自动化检查见 tests/（切分与特征索引、模型对齐、交付核对共 19 项）。</w:t>
      </w:r>
    </w:p>
    <w:p w14:paraId="3DE3277C">
      <w:pPr>
        <w:pStyle w:val="000006"/>
        <w:keepNext w:val="1"/>
        <w:keepLines w:val="1"/>
        <w:spacing w:before="280" w:beforeAutospacing="1" w:after="280" w:afterAutospacing="1"/>
        <w:ind w:left="280" w:right="280"/>
        <w:outlineLvl w:val="1"/>
        <w:rPr>
          <w:color w:val="1f243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f2430"/>
          <w:sz w:val="28"/>
        </w:rPr>
        <w:t>附录 C　主要代码片段</w:t>
      </w:r>
    </w:p>
    <w:p w14:paraId="33937B14">
      <w:pPr>
        <w:spacing w:before="120" w:after="120" w:line="432"/>
        <w:ind w:left="120" w:right="120" w:firstLine="480"/>
        <w:rPr>
          <w:color w:val="1f2430"/>
        </w:rPr>
        <w:sectPr>
          <w:footerReference r:id="rId4" w:type="default"/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color w:val="1f2430"/>
          <w:sz w:val="24"/>
        </w:rPr>
        <w:t>（此处摘录核心函数：seasonal_naive_predict、build_zone_samples 的特征构造与 include_weather 开关、GBT 配置选择。）</w:t>
      </w:r>
    </w:p>
    <w:p w14:paraId="5DA80AF5"/>
    <w:sectPr>
      <w:footerReference r:id="rId4" w:type="default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1FFE51DA">
    <w:pPr>
      <w:jc w:val="center"/>
    </w:pPr>
    <w:r>
      <w:rPr>
        <w:rFonts w:hint="eastAsia"/>
        <w:color w:val="888888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  <w:r>
      <w:rPr>
        <w:rFonts w:hint="eastAsia"/>
        <w:color w:val="888888"/>
        <w:sz w:val="18"/>
      </w:rPr>
      <w:t xml:space="preserve"> 页</w:t>
    </w:r>
  </w:p>
</w:ftr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Normal" w:uiPriority="0" w:qFormat="1"/>
    <w:lsdException w:name="Body Text Indent" w:semiHidden="1" w:unhideWhenUsed="1"/>
    <w:lsdException w:name="Date" w:semiHidden="1" w:unhideWhenUsed="1"/>
    <w:lsdException w:name="List Bullet" w:semiHidden="1" w:unhideWhenUsed="1"/>
    <w:lsdException w:name="table of authorities" w:semiHidden="1" w:unhideWhenUsed="1"/>
    <w:lsdException w:name="footnote text" w:semiHidden="1" w:unhideWhenUsed="1"/>
    <w:lsdException w:name="toc 2" w:uiPriority="39" w:semiHidden="1" w:unhideWhenUsed="1"/>
    <w:lsdException w:name="toc 7" w:uiPriority="39" w:semiHidden="1" w:unhideWhenUsed="1"/>
    <w:lsdException w:name="Strong" w:uiPriority="22" w:qFormat="1"/>
    <w:lsdException w:name="Salutation" w:semiHidden="1" w:unhideWhenUsed="1"/>
    <w:lsdException w:name="Signature" w:semiHidden="1" w:unhideWhenUsed="1"/>
    <w:lsdException w:name="table of figures" w:semiHidden="1" w:unhideWhenUsed="1"/>
    <w:lsdException w:name="Body Text 3" w:semiHidden="1" w:unhideWhenUsed="1"/>
    <w:lsdException w:name="toc 8" w:uiPriority="39" w:semiHidden="1" w:unhideWhenUsed="1"/>
    <w:lsdException w:name="toc 3" w:uiPriority="39" w:semiHidden="1" w:unhideWhenUsed="1"/>
    <w:lsdException w:name="Message Header" w:semiHidden="1" w:unhideWhenUsed="1"/>
    <w:lsdException w:name="line number" w:semiHidden="1" w:unhideWhenUsed="1"/>
    <w:lsdException w:name="Closing" w:semiHidden="1" w:unhideWhenUsed="1"/>
    <w:lsdException w:name="index 7" w:semiHidden="1" w:unhideWhenUsed="1"/>
    <w:lsdException w:name="Hyperlink" w:semiHidden="1" w:unhideWhenUsed="1"/>
    <w:lsdException w:name="toc 5" w:uiPriority="39" w:semiHidden="1" w:unhideWhenUsed="1"/>
    <w:lsdException w:name="Default Paragraph Font" w:uiPriority="1" w:semiHidden="1" w:unhideWhenUsed="1"/>
    <w:lsdException w:name="FollowedHyperlink" w:semiHidden="1" w:unhideWhenUsed="1"/>
    <w:lsdException w:name="toc 1" w:uiPriority="39" w:semiHidden="1" w:unhideWhenUsed="1"/>
    <w:lsdException w:name="toc 6" w:uiPriority="39" w:semiHidden="1" w:unhideWhenUsed="1"/>
    <w:lsdException w:name="heading 3" w:uiPriority="9" w:semiHidden="1" w:unhideWhenUsed="1" w:qFormat="1"/>
    <w:lsdException w:name="index heading" w:semiHidden="1" w:unhideWhenUsed="1"/>
    <w:lsdException w:name="Normal Indent" w:semiHidden="1" w:unhideWhenUsed="1"/>
    <w:lsdException w:name="heading 4" w:uiPriority="9" w:semiHidden="1" w:unhideWhenUsed="1" w:qFormat="1"/>
    <w:lsdException w:name="Note Heading" w:semiHidden="1" w:unhideWhenUsed="1"/>
    <w:lsdException w:name="List Bullet 5" w:semiHidden="1" w:unhideWhenUsed="1"/>
    <w:lsdException w:name="Subtitle" w:uiPriority="11" w:qFormat="1"/>
    <w:lsdException w:name="List Continue 5" w:semiHidden="1" w:unhideWhenUsed="1"/>
    <w:lsdException w:name="Title" w:uiPriority="10" w:qFormat="1"/>
    <w:lsdException w:name="List Bullet 2" w:semiHidden="1" w:unhideWhenUsed="1"/>
    <w:lsdException w:name="Body Text Indent 3" w:semiHidden="1" w:unhideWhenUsed="1"/>
    <w:lsdException w:name="heading 1" w:uiPriority="9" w:qFormat="1"/>
    <w:lsdException w:name="envelope address" w:semiHidden="1" w:unhideWhenUsed="1"/>
    <w:lsdException w:name="List 5" w:semiHidden="1" w:unhideWhenUsed="1"/>
    <w:lsdException w:name="Body Text" w:semiHidden="1" w:unhideWhenUsed="1"/>
    <w:lsdException w:name="List 2" w:semiHidden="1" w:unhideWhenUsed="1"/>
    <w:lsdException w:name="heading 8" w:uiPriority="9" w:semiHidden="1" w:unhideWhenUsed="1" w:qFormat="1"/>
    <w:lsdException w:name="heading 2" w:uiPriority="9" w:semiHidden="1" w:unhideWhenUsed="1" w:qFormat="1"/>
    <w:lsdException w:name="index 6" w:semiHidden="1" w:unhideWhenUsed="1"/>
    <w:lsdException w:name="Body Text 2" w:semiHidden="1" w:unhideWhenUsed="1"/>
    <w:lsdException w:name="envelope return" w:semiHidden="1" w:unhideWhenUsed="1"/>
    <w:lsdException w:name="index 9" w:semiHidden="1" w:unhideWhenUsed="1"/>
    <w:lsdException w:name="List 3" w:semiHidden="1" w:unhideWhenUsed="1"/>
    <w:lsdException w:name="index 1" w:semiHidden="1" w:unhideWhenUsed="1"/>
    <w:lsdException w:name="index 2" w:semiHidden="1" w:unhideWhenUsed="1"/>
    <w:lsdException w:name="heading 9" w:uiPriority="9" w:semiHidden="1" w:unhideWhenUsed="1" w:qFormat="1"/>
    <w:lsdException w:name="page number" w:semiHidden="1" w:unhideWhenUsed="1"/>
    <w:lsdException w:name="List" w:semiHidden="1" w:unhideWhenUsed="1"/>
    <w:lsdException w:name="Block Text" w:semiHidden="1" w:unhideWhenUsed="1"/>
    <w:lsdException w:name="List Bullet 4" w:semiHidden="1" w:unhideWhenUsed="1"/>
    <w:lsdException w:name="footer" w:semiHidden="1" w:unhideWhenUsed="1"/>
    <w:lsdException w:name="heading 6" w:uiPriority="9" w:semiHidden="1" w:unhideWhenUsed="1" w:qFormat="1"/>
    <w:lsdException w:name="index 4" w:semiHidden="1" w:unhideWhenUsed="1"/>
    <w:lsdException w:name="List Continue 3" w:semiHidden="1" w:unhideWhenUsed="1"/>
    <w:lsdException w:name="Body Text Indent 2" w:semiHidden="1" w:unhideWhenUsed="1"/>
    <w:lsdException w:name="index 3" w:semiHidden="1" w:unhideWhenUsed="1"/>
    <w:lsdException w:name="heading 7" w:uiPriority="9" w:semiHidden="1" w:unhideWhenUsed="1" w:qFormat="1"/>
    <w:lsdException w:name="toa heading" w:semiHidden="1" w:unhideWhenUsed="1"/>
    <w:lsdException w:name="List Continue 2" w:semiHidden="1" w:unhideWhenUsed="1"/>
    <w:lsdException w:name="Body Text First Indent 2" w:semiHidden="1" w:unhideWhenUsed="1"/>
    <w:lsdException w:name="List Number" w:semiHidden="1" w:unhideWhenUsed="1"/>
    <w:lsdException w:name="List Number 5" w:semiHidden="1" w:unhideWhenUsed="1"/>
    <w:lsdException w:name="index 5" w:semiHidden="1" w:unhideWhenUsed="1"/>
    <w:lsdException w:name="List Number 4" w:semiHidden="1" w:unhideWhenUsed="1"/>
    <w:lsdException w:name="index 8" w:semiHidden="1" w:unhideWhenUsed="1"/>
    <w:lsdException w:name="List Continue" w:semiHidden="1" w:unhideWhenUsed="1"/>
    <w:lsdException w:name="List Continue 4" w:semiHidden="1" w:unhideWhenUsed="1"/>
    <w:lsdException w:name="List Bullet 3" w:semiHidden="1" w:unhideWhenUsed="1"/>
    <w:lsdException w:name="footnote reference" w:semiHidden="1" w:unhideWhenUsed="1"/>
    <w:lsdException w:name="annotation reference" w:semiHidden="1" w:unhideWhenUsed="1"/>
    <w:lsdException w:name="heading 5" w:uiPriority="9" w:semiHidden="1" w:unhideWhenUsed="1" w:qFormat="1"/>
    <w:lsdException w:name="macro" w:semiHidden="1" w:unhideWhenUsed="1"/>
    <w:lsdException w:name="caption" w:uiPriority="35" w:semiHidden="1" w:unhideWhenUsed="1" w:qFormat="1"/>
    <w:lsdException w:name="Body Text First Indent" w:semiHidden="1" w:unhideWhenUsed="1"/>
    <w:lsdException w:name="endnote text" w:semiHidden="1" w:unhideWhenUsed="1"/>
    <w:lsdException w:name="toc 4" w:uiPriority="39" w:semiHidden="1" w:unhideWhenUsed="1"/>
    <w:lsdException w:name="annotation text" w:semiHidden="1" w:unhideWhenUsed="1"/>
    <w:lsdException w:name="toc 9" w:uiPriority="39" w:semiHidden="1" w:unhideWhenUsed="1"/>
    <w:lsdException w:name="List 4" w:semiHidden="1" w:unhideWhenUsed="1"/>
    <w:lsdException w:name="header" w:semiHidden="1" w:unhideWhenUsed="1"/>
    <w:lsdException w:name="List Number 2" w:semiHidden="1" w:unhideWhenUsed="1"/>
    <w:lsdException w:name="List Number 3" w:semiHidden="1" w:unhideWhenUsed="1"/>
    <w:lsdException w:name="endnote reference" w:semiHidden="1" w:unhideWhenUsed="1"/>
  </w:latentStyles>
  <w:style w:type="paragraph" w:styleId="000004">
    <w:name w:val="toc 2"/>
    <w:basedOn w:val="Normal"/>
    <w:qFormat w:val="1"/>
    <w:pPr>
      <w:tabs>
        <w:tab w:val="right" w:leader="dot" w:pos="9072"/>
      </w:tabs>
      <w:spacing w:after="60" w:line="360"/>
      <w:ind w:left="420"/>
    </w:pPr>
    <w:rPr>
      <w:rFonts w:ascii="SimSun" w:hAnsi="SimSun" w:eastAsia="SimSun" w:cs="SimSun"/>
      <w:sz w:val="24"/>
      <w:szCs w:val="24"/>
    </w:rPr>
  </w:style>
  <w:style w:type="paragraph" w:styleId="000006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5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3">
    <w:name w:val="toc 1"/>
    <w:basedOn w:val="Normal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4" Type="http://schemas.openxmlformats.org/officeDocument/2006/relationships/footer" Target="footer1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2026-10-21T15:29:21Z</dcterms:created>
  <dcterms:modified xsi:type="dcterms:W3CDTF">2026-10-21T15:29:21Z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"01a15d59704a70e098ed97d7372d0548", "ReservedCode1": "", "ContentPropagator": "00119111010856365494821B355", "PropagateID": "01a15d59704a70e098ed97d7372d0548", "ReservedCode2": ""}}</vt:lpwstr>
  </property>
</Properties>
</file>