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CA6941">
      <w:pPr>
        <w:widowControl w:val="0"/>
        <w:snapToGrid/>
        <w:ind w:left="0" w:leftChars="0" w:firstLine="0" w:firstLineChars="0"/>
        <w:jc w:val="center"/>
        <w:rPr>
          <w:rFonts w:asciiTheme="minorHAnsi" w:hAnsiTheme="minorHAnsi" w:eastAsiaTheme="minorEastAsia" w:cstheme="minorBidi"/>
          <w:b/>
          <w:bCs/>
          <w:kern w:val="2"/>
          <w:sz w:val="72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72"/>
        </w:rPr>
        <w:t>《Python数据分析编程》课程项目报告</w:t>
      </w:r>
    </w:p>
    <w:p w14:paraId="7934A55F">
      <w:pPr>
        <w:jc w:val="both"/>
        <w:rPr>
          <w:rFonts w:eastAsia="黑体"/>
          <w:color w:val="1F2430"/>
          <w:sz w:val="30"/>
        </w:rPr>
      </w:pPr>
    </w:p>
    <w:p w14:paraId="73B927A4">
      <w:pPr>
        <w:jc w:val="both"/>
        <w:rPr>
          <w:rFonts w:eastAsia="黑体"/>
          <w:color w:val="1F2430"/>
          <w:sz w:val="30"/>
        </w:rPr>
      </w:pPr>
    </w:p>
    <w:p w14:paraId="2132C1C8">
      <w:pPr>
        <w:jc w:val="both"/>
        <w:rPr>
          <w:rFonts w:eastAsia="黑体"/>
          <w:color w:val="1F2430"/>
          <w:sz w:val="30"/>
        </w:rPr>
      </w:pPr>
    </w:p>
    <w:p w14:paraId="3340CB3B">
      <w:pPr>
        <w:widowControl w:val="0"/>
        <w:snapToGrid/>
        <w:ind w:left="0" w:leftChars="0" w:firstLine="0" w:firstLineChars="0"/>
        <w:jc w:val="both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黑体" w:hAnsi="黑体" w:eastAsia="黑体" w:cstheme="minorBidi"/>
          <w:b/>
          <w:kern w:val="2"/>
          <w:sz w:val="36"/>
          <w:szCs w:val="36"/>
        </w:rPr>
        <w:t>基于时间序列验证与特征消融的城市短期电力负荷预测研究</w:t>
      </w:r>
    </w:p>
    <w:p w14:paraId="57C16B67">
      <w:pPr>
        <w:widowControl w:val="0"/>
        <w:snapToGrid/>
        <w:jc w:val="both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Times New Roman" w:hAnsi="Times New Roman" w:eastAsia="宋体" w:cstheme="minorBidi"/>
          <w:b/>
          <w:kern w:val="2"/>
          <w:sz w:val="24"/>
        </w:rPr>
        <w:t xml:space="preserve"> </w:t>
      </w:r>
    </w:p>
    <w:p w14:paraId="32422782">
      <w:pPr>
        <w:jc w:val="both"/>
        <w:rPr>
          <w:color w:val="1F2430"/>
        </w:rPr>
      </w:pPr>
    </w:p>
    <w:p w14:paraId="2EF27EF1">
      <w:pPr>
        <w:jc w:val="both"/>
        <w:rPr>
          <w:color w:val="1F2430"/>
        </w:rPr>
      </w:pPr>
    </w:p>
    <w:p w14:paraId="27FCBFCA">
      <w:pPr>
        <w:jc w:val="both"/>
        <w:rPr>
          <w:color w:val="1F2430"/>
        </w:rPr>
      </w:pPr>
    </w:p>
    <w:p w14:paraId="265672DD">
      <w:pPr>
        <w:jc w:val="both"/>
        <w:rPr>
          <w:color w:val="1F2430"/>
        </w:rPr>
      </w:pPr>
    </w:p>
    <w:p w14:paraId="5D8150E4">
      <w:pPr>
        <w:jc w:val="both"/>
        <w:rPr>
          <w:color w:val="1F2430"/>
        </w:rPr>
      </w:pPr>
    </w:p>
    <w:p w14:paraId="4509150B">
      <w:pPr>
        <w:jc w:val="both"/>
        <w:rPr>
          <w:color w:val="1F2430"/>
        </w:rPr>
      </w:pPr>
    </w:p>
    <w:p w14:paraId="08791526">
      <w:pPr>
        <w:jc w:val="both"/>
        <w:rPr>
          <w:color w:val="1F2430"/>
        </w:rPr>
      </w:pPr>
    </w:p>
    <w:p w14:paraId="282D1797">
      <w:pPr>
        <w:jc w:val="both"/>
        <w:rPr>
          <w:color w:val="1F2430"/>
        </w:rPr>
      </w:pPr>
    </w:p>
    <w:p w14:paraId="64EECBF4">
      <w:pPr>
        <w:jc w:val="both"/>
        <w:rPr>
          <w:color w:val="1F2430"/>
        </w:rPr>
      </w:pPr>
    </w:p>
    <w:p w14:paraId="38133026">
      <w:pPr>
        <w:jc w:val="both"/>
        <w:rPr>
          <w:color w:val="1F2430"/>
        </w:rPr>
      </w:pPr>
    </w:p>
    <w:p w14:paraId="532AF9D8">
      <w:pPr>
        <w:jc w:val="both"/>
        <w:rPr>
          <w:color w:val="1F2430"/>
        </w:rPr>
      </w:pPr>
    </w:p>
    <w:sdt>
      <w:sdtPr>
        <w:rPr>
          <w:rFonts w:ascii="宋体" w:hAnsi="宋体"/>
          <w:b/>
          <w:bCs/>
          <w:kern w:val="2"/>
          <w:sz w:val="32"/>
          <w:szCs w:val="40"/>
        </w:rPr>
        <w:id w:val="14746691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kern w:val="2"/>
          <w:sz w:val="21"/>
          <w:szCs w:val="24"/>
        </w:rPr>
      </w:sdtEndPr>
      <w:sdtContent>
        <w:p w14:paraId="32BFBDB8">
          <w:pPr>
            <w:spacing w:before="0" w:line="240" w:lineRule="auto"/>
            <w:ind w:firstLine="0" w:firstLineChars="0"/>
            <w:jc w:val="center"/>
            <w:rPr>
              <w:b/>
              <w:bCs/>
              <w:sz w:val="32"/>
              <w:szCs w:val="40"/>
            </w:rPr>
          </w:pPr>
          <w:r>
            <w:rPr>
              <w:rFonts w:ascii="宋体" w:hAnsi="宋体"/>
              <w:b/>
              <w:bCs/>
              <w:sz w:val="32"/>
              <w:szCs w:val="40"/>
            </w:rPr>
            <w:t>目录</w:t>
          </w:r>
        </w:p>
        <w:p w14:paraId="00DE050E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sz w:val="21"/>
              <w:szCs w:val="24"/>
            </w:rPr>
            <w:fldChar w:fldCharType="begin"/>
          </w:r>
          <w:r>
            <w:rPr>
              <w:sz w:val="21"/>
              <w:szCs w:val="24"/>
            </w:rPr>
            <w:instrText xml:space="preserve">TOC \o "1-1" \h \u </w:instrText>
          </w:r>
          <w:r>
            <w:rPr>
              <w:sz w:val="21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"_Toc32470" </w:instrText>
          </w:r>
          <w: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1　引言</w:t>
          </w:r>
          <w:r>
            <w:tab/>
          </w:r>
          <w:r>
            <w:fldChar w:fldCharType="begin"/>
          </w:r>
          <w:r>
            <w:instrText xml:space="preserve"> PAGEREF _Toc32470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7488F4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"_Toc10942" </w:instrText>
          </w:r>
          <w: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2　数据介绍</w:t>
          </w:r>
          <w:r>
            <w:tab/>
          </w:r>
          <w:r>
            <w:fldChar w:fldCharType="begin"/>
          </w:r>
          <w:r>
            <w:instrText xml:space="preserve"> PAGEREF _Toc10942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B6F28C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"_Toc1697" </w:instrText>
          </w:r>
          <w:r>
            <w:fldChar w:fldCharType="separate"/>
          </w:r>
          <w:r>
            <w:rPr>
              <w:rFonts w:hint="eastAsia"/>
            </w:rPr>
            <w:t>3　数据清洗与预处理</w:t>
          </w:r>
          <w:r>
            <w:tab/>
          </w:r>
          <w:r>
            <w:fldChar w:fldCharType="begin"/>
          </w:r>
          <w:r>
            <w:instrText xml:space="preserve"> PAGEREF _Toc1697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83DE79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"_Toc2067" </w:instrText>
          </w:r>
          <w:r>
            <w:fldChar w:fldCharType="separate"/>
          </w:r>
          <w:r>
            <w:rPr>
              <w:rFonts w:hint="eastAsia"/>
            </w:rPr>
            <w:t>4　负荷的时序规律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7FA73F0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"_Toc26779" </w:instrText>
          </w:r>
          <w:r>
            <w:fldChar w:fldCharType="separate"/>
          </w:r>
          <w:r>
            <w:rPr>
              <w:rFonts w:hint="eastAsia"/>
            </w:rPr>
            <w:t>5　天气因素与负荷的关系</w:t>
          </w:r>
          <w:r>
            <w:tab/>
          </w:r>
          <w:r>
            <w:fldChar w:fldCharType="begin"/>
          </w:r>
          <w:r>
            <w:instrText xml:space="preserve"> PAGEREF _Toc26779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E3EAFEF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"_Toc27609" </w:instrText>
          </w:r>
          <w:r>
            <w:fldChar w:fldCharType="separate"/>
          </w:r>
          <w:r>
            <w:rPr>
              <w:rFonts w:hint="eastAsia"/>
            </w:rPr>
            <w:t>6　短期负荷预测：模型、消融与误差分析</w:t>
          </w:r>
          <w:r>
            <w:tab/>
          </w:r>
          <w:r>
            <w:fldChar w:fldCharType="begin"/>
          </w:r>
          <w:r>
            <w:instrText xml:space="preserve"> PAGEREF _Toc27609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5F00CF6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"_Toc14671" </w:instrText>
          </w:r>
          <w:r>
            <w:fldChar w:fldCharType="separate"/>
          </w:r>
          <w:r>
            <w:rPr>
              <w:rFonts w:hint="eastAsia"/>
            </w:rPr>
            <w:t>7　总结与结论</w:t>
          </w:r>
          <w:r>
            <w:tab/>
          </w:r>
          <w:r>
            <w:fldChar w:fldCharType="begin"/>
          </w:r>
          <w:r>
            <w:instrText xml:space="preserve"> PAGEREF _Toc14671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52E087E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"_Toc14928" </w:instrText>
          </w:r>
          <w:r>
            <w:fldChar w:fldCharType="separate"/>
          </w:r>
          <w:r>
            <w:rPr>
              <w:rFonts w:hint="eastAsia"/>
            </w:rPr>
            <w:t>8　小组成员分工与个人承担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2089C6B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"_Toc28244" </w:instrText>
          </w:r>
          <w:r>
            <w:fldChar w:fldCharType="separate"/>
          </w:r>
          <w:r>
            <w:rPr>
              <w:rFonts w:hint="eastAsia"/>
            </w:rPr>
            <w:t>9　附录</w:t>
          </w:r>
          <w:r>
            <w:tab/>
          </w:r>
          <w:r>
            <w:fldChar w:fldCharType="begin"/>
          </w:r>
          <w:r>
            <w:instrText xml:space="preserve"> PAGEREF _Toc28244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F659C1F">
          <w:pPr>
            <w:rPr>
              <w:kern w:val="2"/>
            </w:rPr>
          </w:pPr>
          <w:r>
            <w:rPr>
              <w:kern w:val="2"/>
            </w:rPr>
            <w:fldChar w:fldCharType="end"/>
          </w:r>
        </w:p>
      </w:sdtContent>
    </w:sdt>
    <w:p w14:paraId="582336A3">
      <w:pPr>
        <w:jc w:val="both"/>
        <w:rPr>
          <w:kern w:val="2"/>
        </w:rPr>
      </w:pPr>
    </w:p>
    <w:p w14:paraId="59F40233">
      <w:pPr>
        <w:jc w:val="both"/>
      </w:pPr>
    </w:p>
    <w:p w14:paraId="01054974">
      <w:pPr>
        <w:jc w:val="both"/>
      </w:pPr>
    </w:p>
    <w:p w14:paraId="42DFA256">
      <w:pPr>
        <w:jc w:val="both"/>
      </w:pPr>
    </w:p>
    <w:p w14:paraId="186383C1">
      <w:pPr>
        <w:jc w:val="both"/>
      </w:pPr>
    </w:p>
    <w:p w14:paraId="3CC23F22">
      <w:pPr>
        <w:jc w:val="both"/>
      </w:pPr>
    </w:p>
    <w:p w14:paraId="166C134F">
      <w:pPr>
        <w:snapToGrid w:val="0"/>
        <w:spacing w:line="440" w:lineRule="atLeast"/>
        <w:ind w:left="0" w:leftChars="0" w:firstLine="0" w:firstLineChars="0"/>
        <w:jc w:val="both"/>
        <w:rPr>
          <w:rFonts w:hint="eastAsia" w:ascii="黑体" w:hAnsi="黑体" w:eastAsia="黑体" w:cs="黑体"/>
          <w:b/>
          <w:sz w:val="36"/>
          <w:szCs w:val="36"/>
        </w:rPr>
      </w:pPr>
    </w:p>
    <w:p w14:paraId="0AD1F92F">
      <w:pPr>
        <w:snapToGrid w:val="0"/>
        <w:spacing w:line="440" w:lineRule="atLeast"/>
        <w:ind w:left="0" w:leftChars="0" w:firstLine="0" w:firstLineChars="0"/>
        <w:jc w:val="center"/>
        <w:rPr>
          <w:rFonts w:ascii="黑体" w:hAnsi="黑体" w:eastAsia="黑体" w:cs="黑体"/>
          <w:b/>
          <w:sz w:val="36"/>
          <w:szCs w:val="36"/>
        </w:rPr>
      </w:pPr>
      <w:r>
        <w:rPr>
          <w:rFonts w:hint="eastAsia" w:ascii="黑体" w:hAnsi="黑体" w:eastAsia="黑体" w:cs="黑体"/>
          <w:b/>
          <w:sz w:val="36"/>
          <w:szCs w:val="36"/>
        </w:rPr>
        <w:t>摘    要</w:t>
      </w:r>
    </w:p>
    <w:p w14:paraId="4B0EFBAB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电力负荷的短期预测是电网调度的基础输入。本项目以某城市2017年1月1日至12月30日的电力负荷监测数据为对象（共364天、52,416条记录、10分钟采样、已记录时段内无缺失），包含三个计量区域的负荷与温度、湿度、风速等气象观测。研究按"清洗→探索性分析→建模预测→误差归因"的流程展开：探索性分析发现三个区域共享"凌晨低谷—午间平台—晚间高峰"的日周期结构（峰谷比1.89–2.23），温度是唯一在三区稳定正相关的气象因子；预测任务定义为提前1小时（6个采样步），按时间顺序70%/15%/15% 划分数据（并对子集边界做purge处理），比较历史同期基线、线性回归与梯度提升树三种模型，并以特征消融检验天气信息的增益。</w:t>
      </w:r>
    </w:p>
    <w:p w14:paraId="18D9A00C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测试集结果显示：在最初的特征集下，历史同期基线最优（三区合并MAE/RMSE 1050.68/1643.67），两个学习模型均不敌基线。归因实验表明，原特征集未包含与预测目标时刻对齐的周同期负荷信息（基线用的是y(t−1002)，而学习模型只拿到y(t−1008)，比目标时刻早一小时），这一特征缺失是原始学习模型表现不佳的重要原因。补上这一特征后，线性回归的合并MAE/RMSE降至514.09/767.16（相对基线−51.1%/−53.3%），梯度提升树降至930.62/1258.73（−11.4%/−23.4%），两个学习模型转为全面优于基线。天气特征消融在新特征集上重做：六个组合中三个误差下降，梯度提升树三个区域全部下降（−0.4% 至 −17.9%），线性回归在区域2、3略升（+5.1%、+1.0%）。高峰时段误差仍约为普通时段的2.1倍且系统性低估峰值。基于上述结果，给出了短期调度中优先使用带周同期特征的线性模型、高峰留裕度等建议。</w:t>
      </w:r>
    </w:p>
    <w:p w14:paraId="6FDDA66D">
      <w:pPr>
        <w:jc w:val="both"/>
        <w:rPr>
          <w:rFonts w:hint="eastAsia" w:ascii="宋体" w:hAnsi="宋体" w:cs="宋体"/>
        </w:rPr>
      </w:pPr>
    </w:p>
    <w:p w14:paraId="25469B09">
      <w:pPr>
        <w:jc w:val="both"/>
        <w:rPr>
          <w:color w:val="1F2430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383" w:right="1689" w:bottom="1383" w:left="1689" w:header="851" w:footer="992" w:gutter="0"/>
          <w:pgNumType w:start="1"/>
          <w:cols w:space="720" w:num="1"/>
        </w:sectPr>
      </w:pPr>
      <w:r>
        <w:rPr>
          <w:rFonts w:hint="eastAsia" w:ascii="Times New Roman" w:hAnsi="Times New Roman" w:eastAsia="宋体" w:cs="Times New Roman"/>
          <w:b/>
          <w:sz w:val="24"/>
        </w:rPr>
        <w:t>关键词</w:t>
      </w:r>
      <w:r>
        <w:rPr>
          <w:rFonts w:hint="eastAsia" w:ascii="Times New Roman" w:hAnsi="Times New Roman" w:eastAsia="宋体" w:cs="Times New Roman"/>
          <w:sz w:val="24"/>
        </w:rPr>
        <w:t>：电力负荷预测；时间序列；特征消融；历史同期基线；梯度提升树</w:t>
      </w:r>
    </w:p>
    <w:p w14:paraId="20B6706D">
      <w:pPr>
        <w:pStyle w:val="2"/>
        <w:snapToGrid w:val="0"/>
        <w:spacing w:beforeAutospacing="1" w:line="440" w:lineRule="atLeast"/>
        <w:jc w:val="left"/>
        <w:rPr>
          <w:rFonts w:hint="eastAsia" w:ascii="黑体" w:hAnsi="黑体"/>
          <w:bCs/>
          <w:kern w:val="44"/>
          <w:szCs w:val="28"/>
        </w:rPr>
      </w:pPr>
      <w:bookmarkStart w:id="0" w:name="section-2"/>
      <w:bookmarkStart w:id="1" w:name="_Toc32470"/>
      <w:r>
        <w:rPr>
          <w:rFonts w:hint="eastAsia" w:ascii="Times New Roman" w:hAnsi="Times New Roman" w:eastAsia="黑体" w:cs="Times New Roman"/>
          <w:b/>
          <w:bCs/>
          <w:kern w:val="44"/>
          <w:sz w:val="28"/>
          <w:szCs w:val="28"/>
        </w:rPr>
        <w:t>1　引言</w:t>
      </w:r>
      <w:bookmarkEnd w:id="0"/>
      <w:bookmarkEnd w:id="1"/>
    </w:p>
    <w:p w14:paraId="1203DC5E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3929C2AA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121DB64C">
      <w:pPr>
        <w:jc w:val="both"/>
        <w:rPr>
          <w:rFonts w:hint="eastAsia" w:ascii="宋体" w:hAnsi="宋体" w:cs="宋体"/>
        </w:rPr>
        <w:sectPr>
          <w:footerReference r:id="rId11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2、3章。</w:t>
      </w:r>
    </w:p>
    <w:p w14:paraId="18E7407A">
      <w:pPr>
        <w:pStyle w:val="2"/>
        <w:snapToGrid w:val="0"/>
        <w:spacing w:beforeAutospacing="1" w:line="440" w:lineRule="atLeast"/>
        <w:jc w:val="left"/>
        <w:rPr>
          <w:rFonts w:hint="eastAsia" w:ascii="黑体" w:hAnsi="黑体"/>
          <w:bCs/>
          <w:kern w:val="44"/>
          <w:szCs w:val="28"/>
        </w:rPr>
      </w:pPr>
      <w:bookmarkStart w:id="2" w:name="section-3"/>
      <w:bookmarkStart w:id="3" w:name="_Toc10942"/>
      <w:r>
        <w:rPr>
          <w:rFonts w:hint="eastAsia" w:ascii="Times New Roman" w:hAnsi="Times New Roman" w:eastAsia="黑体" w:cs="Times New Roman"/>
          <w:b/>
          <w:bCs/>
          <w:kern w:val="44"/>
          <w:sz w:val="28"/>
          <w:szCs w:val="28"/>
        </w:rPr>
        <w:t>2　数据介绍</w:t>
      </w:r>
      <w:bookmarkEnd w:id="2"/>
      <w:bookmarkEnd w:id="3"/>
    </w:p>
    <w:p w14:paraId="7AA14B01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本项目使用课程提供的城市电力负荷监测数据，文件为单个CSV，共52,416条记录、9个字段，覆盖2017年1月1日0时至12月30日23时50分，采样间隔10分钟，已记录时段内无中断（数据止于12月30日，共364天，缺12月31日）。</w:t>
      </w:r>
    </w:p>
    <w:p w14:paraId="18C75888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数据由两类信息组成。一类是三个区域的用电负荷，分别记为区域1、区域2和区域3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29C13ED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数据没有注明负荷与气象变度和百分比；风速、两项辐射量与负荷的单位则无从确认。因此本报告在涉及绝对数值时一律按原始单位陈述，不做单位换算，涉及区域间比较的结论均使用比值或百分比，不受单位影响。字段的完整说明见表1。原始列名中，区域2与区域3的字段名含有连续两个空格，这一细节在第3章的数据清洗中单独处理。</w:t>
      </w:r>
    </w:p>
    <w:p w14:paraId="28B53F9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表1　数据字段说明</w:t>
      </w:r>
    </w:p>
    <w:tbl>
      <w:tblPr>
        <w:tblStyle w:val="17"/>
        <w:tblW w:w="8896" w:type="dxa"/>
        <w:jc w:val="center"/>
        <w:shd w:val="clear" w:color="1F2430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6"/>
        <w:gridCol w:w="899"/>
        <w:gridCol w:w="1524"/>
        <w:gridCol w:w="899"/>
        <w:gridCol w:w="795"/>
        <w:gridCol w:w="899"/>
        <w:gridCol w:w="899"/>
        <w:gridCol w:w="795"/>
        <w:gridCol w:w="1600"/>
      </w:tblGrid>
      <w:tr w14:paraId="3EAEB1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63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56660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序号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957F13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原始列名</w:t>
            </w:r>
          </w:p>
        </w:tc>
        <w:tc>
          <w:tcPr>
            <w:tcW w:w="171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8D5E4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清洗后列名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26B71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类型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9078D5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单位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7878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最小值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BEF8E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最大值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1E3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均值</w:t>
            </w:r>
          </w:p>
        </w:tc>
        <w:tc>
          <w:tcPr>
            <w:tcW w:w="1798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9C81C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含义</w:t>
            </w:r>
          </w:p>
        </w:tc>
      </w:tr>
      <w:tr w14:paraId="7D20E3F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94C8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91B6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DateTime</w:t>
            </w:r>
          </w:p>
        </w:tc>
        <w:tc>
          <w:tcPr>
            <w:tcW w:w="171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D01C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timestamp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0A147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datetime64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BF3B7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A480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2017-01-01 00:00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8B47E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2017-12-30 23:50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17A2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  <w:tc>
          <w:tcPr>
            <w:tcW w:w="1798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C8D85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时间戳，10分钟采样</w:t>
            </w:r>
          </w:p>
        </w:tc>
      </w:tr>
      <w:tr w14:paraId="79E928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64A7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3282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Temperature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58E65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temperature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986F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0AEEF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℃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7E800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3.25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16D0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40.01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C03DA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18.81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0AB5B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气温</w:t>
            </w:r>
          </w:p>
        </w:tc>
      </w:tr>
      <w:tr w14:paraId="6DA8B9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B86B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AED2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Humidity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985A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humidity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946C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5C053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%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41A9F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11.34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194A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94.80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F88F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68.26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55A5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相对湿度</w:t>
            </w:r>
          </w:p>
        </w:tc>
      </w:tr>
      <w:tr w14:paraId="499028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78F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813B1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Wind Speed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C5CD6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wind_speed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66E58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F58F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499B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0.0500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9668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6.48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AE541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1.96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DC6E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风速</w:t>
            </w:r>
          </w:p>
        </w:tc>
      </w:tr>
      <w:tr w14:paraId="5A4901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648A1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13988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general 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082D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general_diffuse_flows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914C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DF9F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C62D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0.0040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F966D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1,163.00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A320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182.70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8ED33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总漫射辐射</w:t>
            </w:r>
          </w:p>
        </w:tc>
      </w:tr>
      <w:tr w14:paraId="70A438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378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94AC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B2741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1C9C7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ABD36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DA038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0.0110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5A46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936.00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41389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75.03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25010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漫射辐射</w:t>
            </w:r>
          </w:p>
        </w:tc>
      </w:tr>
      <w:tr w14:paraId="004710F3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5050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70067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1 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4B9E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zone1_power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DA9D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7A6B4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72ADD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13,895.70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4785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52,204.40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09438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32,344.97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1369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区域1负荷</w:t>
            </w:r>
          </w:p>
        </w:tc>
      </w:tr>
      <w:tr w14:paraId="1B103D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1FD9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95B7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2Power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480BB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zone2_power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6AA5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0FE2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5218E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8,560.08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0F78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37,408.86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4F20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21,042.51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6A7C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区域2负荷（原列名含连续两个空格）</w:t>
            </w:r>
          </w:p>
        </w:tc>
      </w:tr>
      <w:tr w14:paraId="466612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12B77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15947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3Power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D8E9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zone3_power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33BC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7FDE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3855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5,935.17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03ED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47,598.33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69F5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17,835.41</w:t>
            </w:r>
          </w:p>
        </w:tc>
        <w:tc>
          <w:tcPr>
            <w:tcW w:w="1798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B5DB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区域3负荷（原列名含连续两个空格）</w:t>
            </w:r>
          </w:p>
        </w:tc>
      </w:tr>
    </w:tbl>
    <w:p w14:paraId="54E6C28C">
      <w:pPr>
        <w:jc w:val="both"/>
        <w:rPr>
          <w:color w:val="4B5563"/>
        </w:rPr>
        <w:sectPr>
          <w:footerReference r:id="rId12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注：统计范围为2017年1月1日至12月30日共364天的52,416条记录。温度与湿度按数值量纲判断为℃和%；风速、两项辐射量与负荷的单位原始数据未注明，本表不做推断。</w:t>
      </w:r>
    </w:p>
    <w:p w14:paraId="33C256F1">
      <w:pPr>
        <w:pStyle w:val="2"/>
        <w:jc w:val="left"/>
      </w:pPr>
      <w:bookmarkStart w:id="4" w:name="section-4"/>
      <w:bookmarkStart w:id="5" w:name="_Toc1697"/>
      <w:r>
        <w:rPr>
          <w:rFonts w:hint="eastAsia" w:ascii="Times New Roman" w:hAnsi="Times New Roman" w:eastAsia="黑体" w:cs="Times New Roman"/>
          <w:b/>
          <w:sz w:val="28"/>
        </w:rPr>
        <w:t>3　数据清洗与预处理</w:t>
      </w:r>
      <w:bookmarkEnd w:id="4"/>
      <w:bookmarkEnd w:id="5"/>
    </w:p>
    <w:p w14:paraId="418E2C79">
      <w:pPr>
        <w:pStyle w:val="3"/>
        <w:spacing w:before="280" w:beforeAutospacing="1" w:after="280" w:afterAutospacing="1"/>
        <w:jc w:val="left"/>
        <w:rPr>
          <w:rFonts w:hint="eastAsia" w:ascii="黑体" w:hAnsi="黑体"/>
          <w:bCs/>
          <w:kern w:val="44"/>
          <w:szCs w:val="24"/>
        </w:rPr>
      </w:pPr>
      <w:bookmarkStart w:id="6" w:name="section-4-1"/>
      <w:r>
        <w:rPr>
          <w:rFonts w:hint="eastAsia" w:ascii="Times New Roman" w:hAnsi="Times New Roman" w:eastAsia="黑体" w:cs="Times New Roman"/>
          <w:b/>
          <w:bCs/>
          <w:kern w:val="44"/>
          <w:sz w:val="24"/>
          <w:szCs w:val="24"/>
        </w:rPr>
        <w:t>3.1　列名</w:t>
      </w:r>
      <w:r>
        <w:rPr>
          <w:rStyle w:val="27"/>
          <w:rFonts w:hint="eastAsia" w:ascii="Times New Roman" w:hAnsi="Times New Roman" w:eastAsia="黑体" w:cs="Times New Roman"/>
          <w:b/>
          <w:sz w:val="24"/>
        </w:rPr>
        <w:t>与类型规整</w:t>
      </w:r>
      <w:bookmarkEnd w:id="6"/>
    </w:p>
    <w:p w14:paraId="064CFE65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原始列名混用了空格、大小写和缩写（如</w:t>
      </w:r>
      <w:r>
        <w:rPr>
          <w:rFonts w:ascii="Times New Roman" w:hAnsi="Times New Roman" w:eastAsia="宋体" w:cs="Times New Roman"/>
          <w:sz w:val="24"/>
        </w:rPr>
        <w:t>Wind Speed、general diffuse flows）</w:t>
      </w:r>
      <w:r>
        <w:rPr>
          <w:rFonts w:hint="eastAsia" w:ascii="Times New Roman" w:hAnsi="Times New Roman" w:eastAsia="宋体" w:cs="Times New Roman"/>
          <w:sz w:val="24"/>
        </w:rPr>
        <w:t>，其中区域2、区域3的列名还带有连续两个空格。清洗时先将连续空白折叠为单个空格、去除首尾空格，再统一映射为小写下划线形式，得到timestamp、temperature、humidity、wind_speed、general_diffuse_flows、diffuse_flows、zone1_power、zone2_power、zone3_power共9个列名。</w:t>
      </w:r>
    </w:p>
    <w:p w14:paraId="52C8136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sz w:val="24"/>
        </w:rPr>
        <w:t>原始时间列形如1/1/2017 0:00，按字符串读入时是object类型。用pandas.to_datetime解析后转为datetime64类型，52,416条记录全部解析成功，没有出现无法识别的格式。其余8个数值字段统一转为float64，转换过程中没有产生新的缺失值。</w:t>
      </w:r>
    </w:p>
    <w:p w14:paraId="609D1E6C">
      <w:pPr>
        <w:pStyle w:val="3"/>
        <w:jc w:val="left"/>
      </w:pPr>
      <w:bookmarkStart w:id="7" w:name="section-4-2"/>
      <w:r>
        <w:rPr>
          <w:rFonts w:hint="eastAsia" w:ascii="Times New Roman" w:hAnsi="Times New Roman" w:eastAsia="黑体" w:cs="Times New Roman"/>
          <w:b/>
          <w:sz w:val="24"/>
        </w:rPr>
        <w:t>3.2　缺失值与重复值</w:t>
      </w:r>
      <w:bookmarkEnd w:id="7"/>
    </w:p>
    <w:p w14:paraId="06A5046F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数据不含缺失值，52,416行×9列均完整，因此没有做插值或删除。完全重复的行为0条，重复时间戳为0个，时间序列严格按10分钟等间隔排列，也不存在跨天、跨月的采样中断。这一点在时间序列建模中很重要：如果存在缺测时段，构造t+6的预测目标时会出现目标时刻无观测的情况；本数据没有这个问题，可以直接按固定步长构造样本。</w:t>
      </w:r>
    </w:p>
    <w:p w14:paraId="03A7B8B8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8" w:name="section-4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3.3　异常值</w:t>
      </w:r>
      <w:bookmarkEnd w:id="8"/>
    </w:p>
    <w:p w14:paraId="54662CA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异常值用IQR规则标记，即超出Q1 − 3×IQR或Q3 + 3×IQR的点。九个字段中共标记1,708条，其中diffuse_flows 1,690条、zone3_power 18条，其余字段在3倍IQR下没有被标记。</w:t>
      </w:r>
    </w:p>
    <w:p w14:paraId="6ECB08C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对这些点逐类核对后，决定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只标记、不删除、不替换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diffuse_flows的极端点集中在9时至16时以及2月和5月，正是日照最强的时段和月份，反映的是气象变量的真实波动，删除会削掉白天的信息；zone3_power的18个点集中在7月的19时至20时，对应夏季晚高峰，属于业务上需要重点关注的时段，尤其不能删。清洗阶段另有一项判断：负荷出现负值应视为错误，检查结果为0条。标记结果单独写入anomaly_flags.csv，仅用于说明，不作为模型输入。</w:t>
      </w:r>
    </w:p>
    <w:p w14:paraId="7E1BE65F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9" w:name="section-4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3.4　输出接口</w:t>
      </w:r>
      <w:bookmarkEnd w:id="9"/>
    </w:p>
    <w:p w14:paraId="0F61B9E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清洗后的数据固定输出9列，行按时间升序排列、索引重置，写入data/processed/power_load_clean.csv，列名与类型在docs/data_interface.md中固定下来。后续的特征工程、模型训练和误差分析统一从这个文件读取，避免各人按不同假设重复读取原始数据。清洗结果的质量指标汇总在表2。</w:t>
      </w:r>
    </w:p>
    <w:p w14:paraId="3326BD33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表2　数据质量与清洗情况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2129"/>
        <w:gridCol w:w="4053"/>
      </w:tblGrid>
      <w:tr w14:paraId="584E309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12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509E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检查项</w:t>
            </w:r>
          </w:p>
        </w:tc>
        <w:tc>
          <w:tcPr>
            <w:tcW w:w="212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CA65A5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结果</w:t>
            </w:r>
          </w:p>
        </w:tc>
        <w:tc>
          <w:tcPr>
            <w:tcW w:w="405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AA4CBA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处理方式</w:t>
            </w:r>
          </w:p>
        </w:tc>
      </w:tr>
      <w:tr w14:paraId="3FC8363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AC0E5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原始记录数</w:t>
            </w:r>
          </w:p>
        </w:tc>
        <w:tc>
          <w:tcPr>
            <w:tcW w:w="212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AE090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52,416</w:t>
            </w:r>
          </w:p>
        </w:tc>
        <w:tc>
          <w:tcPr>
            <w:tcW w:w="405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C1B1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3DB9148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5D02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字段数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9F23A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7ECE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56A5877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5E72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时间范围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92522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2017-01-01 00:00至2017-12-30 23:50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67AEB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204779C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A4E1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时间跨度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2F09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364天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F3E28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0A43809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72AA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采样间隔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CCD37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10分钟（1种）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DA358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无需重采样，保持10分钟粒度</w:t>
            </w:r>
          </w:p>
        </w:tc>
      </w:tr>
      <w:tr w14:paraId="273136C0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7E0F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缺失值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6E369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187B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无缺失，未做插值</w:t>
            </w:r>
          </w:p>
        </w:tc>
      </w:tr>
      <w:tr w14:paraId="5A8EB48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E3C7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完全重复行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327D7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0行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042F1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重复行整行删除</w:t>
            </w:r>
          </w:p>
        </w:tc>
      </w:tr>
      <w:tr w14:paraId="72B1B1F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AFB97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重复时间戳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9F23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D79A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无重复，不需要去重</w:t>
            </w:r>
          </w:p>
        </w:tc>
      </w:tr>
      <w:tr w14:paraId="3644FB6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4716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负荷负值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0144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96ABA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无负值，未做截断</w:t>
            </w:r>
          </w:p>
        </w:tc>
      </w:tr>
      <w:tr w14:paraId="37319C6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6DFD1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列名规整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93C85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2处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7A12D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Zone 2 / Zone 3列名的连续空格折叠为单空格，再统一为snake_case</w:t>
            </w:r>
          </w:p>
        </w:tc>
      </w:tr>
      <w:tr w14:paraId="749809A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9A3D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类型转换失败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E233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A388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全部字段可转为数值，无需人工修正</w:t>
            </w:r>
          </w:p>
        </w:tc>
      </w:tr>
      <w:tr w14:paraId="00EFED1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65D3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异常值标记（3×IQR）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337B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1,708条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1E13F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只标记到anomaly_flags.csv，不删除、不替换</w:t>
            </w:r>
          </w:p>
        </w:tc>
      </w:tr>
      <w:tr w14:paraId="5A013AD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66DAA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输出记录数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F0FF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52,416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7426C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行按时间升序，索引重置</w:t>
            </w:r>
          </w:p>
        </w:tc>
      </w:tr>
      <w:tr w14:paraId="69125B6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B6F6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其中diffuse_flows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2D6A5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1,690条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5F7D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极端点集中在固定时段，按真实波动保留</w:t>
            </w:r>
          </w:p>
        </w:tc>
      </w:tr>
      <w:tr w14:paraId="10F1553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89BB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其中zone3_power</w:t>
            </w:r>
          </w:p>
        </w:tc>
        <w:tc>
          <w:tcPr>
            <w:tcW w:w="212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B730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18条</w:t>
            </w:r>
          </w:p>
        </w:tc>
        <w:tc>
          <w:tcPr>
            <w:tcW w:w="405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8DDC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极端点集中在固定时段，按真实波动保留</w:t>
            </w:r>
          </w:p>
        </w:tc>
      </w:tr>
    </w:tbl>
    <w:p w14:paraId="155E053B">
      <w:pPr>
        <w:jc w:val="both"/>
        <w:rPr>
          <w:color w:val="4B5563"/>
        </w:rPr>
        <w:sectPr>
          <w:footerReference r:id="rId13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注：异常值为3倍四分位距规则的统计标记，仅用于提示，清洗阶段不做删除或替换；负荷峰值属真实用电行为，保留原值。</w:t>
      </w:r>
    </w:p>
    <w:p w14:paraId="52FB6666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10" w:name="section-5"/>
      <w:bookmarkStart w:id="11" w:name="_Toc2067"/>
      <w:r>
        <w:rPr>
          <w:rFonts w:hint="eastAsia" w:ascii="Times New Roman" w:hAnsi="Times New Roman" w:eastAsia="黑体" w:cs="Times New Roman"/>
          <w:b/>
          <w:color w:val="1F2430"/>
          <w:sz w:val="28"/>
        </w:rPr>
        <w:t>4　负荷的时序规律</w:t>
      </w:r>
      <w:bookmarkEnd w:id="10"/>
      <w:bookmarkEnd w:id="11"/>
    </w:p>
    <w:p w14:paraId="11943937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2" w:name="section-5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4.1　年内走势</w:t>
      </w:r>
      <w:bookmarkEnd w:id="12"/>
    </w:p>
    <w:p w14:paraId="7E63A48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负荷水平差距明显。年内日均值分别为32,345、21,043和17,835，区域1约为区域3的1.8倍，且这一量级关系在年内稳定（图1）。季节形态则三个区各不相同：区域1最平缓，最高月比最低月高约两成半；区域2在7、8月形成夏季峰，11、12月又出现一个高于春季的次高峰；区域3起伏最剧烈，7月达到28,200，12月降至11,000，最高月是最低月的2.6倍。按季节平均，区域3夏季负荷是冬季的1.59倍，区域1和区域2分别只有1.17和1.12倍。</w:t>
      </w:r>
    </w:p>
    <w:p w14:paraId="0136A7CA">
      <w:p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区域3从9月到12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1在训练期的日均值为33,065，测试期为29,056。这一事实直接关系到第6章的数据划分方式。</w:t>
      </w:r>
    </w:p>
    <w:p w14:paraId="6B1ADE94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979295"/>
            <wp:effectExtent l="0" t="0" r="889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BE9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图1　三个区域日均负荷的全年走势</w:t>
      </w:r>
    </w:p>
    <w:p w14:paraId="3C7267C6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2017年1月1日至12月30日，52,416条10分钟观测按日取均值；浅色线为日均值，粗线为7日滑动平均；阴影区间为6—8月。</w:t>
      </w:r>
    </w:p>
    <w:p w14:paraId="0C03EF80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3" w:name="section-5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4.2　日内规律</w:t>
      </w:r>
      <w:bookmarkEnd w:id="13"/>
    </w:p>
    <w:p w14:paraId="0E07B4E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三个区域的峰谷时刻高度一致，谷值出现在6至7时，峰值出现在20时。区域1和区域2的峰谷比为1.89，区域3为2.23（图2）。曲线呈"凌晨低谷、午间平台、晚间高峰"的三段结构，并非典型双峰。</w:t>
      </w:r>
    </w:p>
    <w:p w14:paraId="58B3CC9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工作日与周末的差距主要落在白天：区域1晚高峰时段工作日与周末仅差2.8%，全天差距3.6%；区域2差别更明显（6.2% 与8.2%）；区域3几乎没有区别。峰值时刻的日间稳定性很高：三个区分别有98.9%、97.5%、99.2% 的日子全天最高负荷落在18至21时。日峰值本身的波动则差别明显：变异系数区域1为7.4%、区域2为12.5%、区域3高达27.7%——这一差别解释了第6章分区域误差的分布：区域3难预测，主因不在模型，而在目标序列自身的波动幅度。</w:t>
      </w:r>
    </w:p>
    <w:p w14:paraId="04BDCD47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302885" cy="1636395"/>
            <wp:effectExtent l="0" t="0" r="571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C449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图2　日内负荷曲线：工作日与周末对比</w:t>
      </w:r>
    </w:p>
    <w:p w14:paraId="340ECD6E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已记录时段内观测按小时取均值，实线为工作日，虚线为周末；三个子图的纵轴范围各自独立，不宜直接比较幅度。</w:t>
      </w:r>
    </w:p>
    <w:p w14:paraId="36EBD58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4" w:name="section-5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4.3　周内规律</w:t>
      </w:r>
      <w:bookmarkEnd w:id="14"/>
    </w:p>
    <w:p w14:paraId="106C200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区域1和区域2的周内走势一致：周一至周四持平，周五开始走弱，周日最低，工作日与周末的比值分别为1.04和1.09。区域3的走向相反，周五反而是全周最低，工作日与周末比值0.99，实际不存在星期效应（图3）。这一差异决定了星期特征对区域3的贡献有限。</w:t>
      </w:r>
    </w:p>
    <w:p w14:paraId="1F14BB1B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347335" cy="1583690"/>
            <wp:effectExtent l="0" t="0" r="1206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AE22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图3　周内各天的平均负荷</w:t>
      </w:r>
    </w:p>
    <w:p w14:paraId="26D7387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已记录时段内观测按星期取均值；三个子图纵轴范围独立，跨区域比较请参见第4.5节汇总表。</w:t>
      </w:r>
    </w:p>
    <w:p w14:paraId="299D756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5" w:name="section-5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4.4　季节规律</w:t>
      </w:r>
      <w:bookmarkEnd w:id="15"/>
    </w:p>
    <w:p w14:paraId="18AE0AA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4）。各区极值月份：区域1、2最高月在8月，区域3在7月；最低月区域1、3分别为11、12月，区域2的低谷却出现在4月——该区域冬季负荷并不低，真正的低谷在春季。</w:t>
      </w:r>
    </w:p>
    <w:p w14:paraId="67DA488E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3449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64C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图4　按月份的负荷分布</w:t>
      </w:r>
    </w:p>
    <w:p w14:paraId="750CDD10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已记录时段内10分钟观测按月份绘制的箱线图，箱体为四分位区间，横线为中位数，须线延伸至1.5倍四分位距，离群点已隐去；三个子图纵轴范围独立。</w:t>
      </w:r>
    </w:p>
    <w:p w14:paraId="0989A68D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6" w:name="section-5-5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4.5　分区对比</w:t>
      </w:r>
      <w:bookmarkEnd w:id="16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1"/>
        <w:gridCol w:w="1965"/>
        <w:gridCol w:w="1965"/>
        <w:gridCol w:w="1965"/>
      </w:tblGrid>
      <w:tr w14:paraId="60ED9E0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72CE5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指标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11ED1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C2338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40684A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05A0C9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D510E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年内日均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F6EA0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32,345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7DD7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21,043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F0D5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17,835</w:t>
            </w:r>
          </w:p>
        </w:tc>
      </w:tr>
      <w:tr w14:paraId="3B2D9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622B7B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峰时 / 谷时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B2B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164C8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2A62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7时</w:t>
            </w:r>
          </w:p>
        </w:tc>
      </w:tr>
      <w:tr w14:paraId="47C16F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5122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峰谷比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352E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FC15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89ED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2.23</w:t>
            </w:r>
          </w:p>
        </w:tc>
      </w:tr>
      <w:tr w14:paraId="53ACAA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E318D9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周末相对工作日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D159F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−3.6%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357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−8.2%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8B7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+1.2%</w:t>
            </w:r>
          </w:p>
        </w:tc>
      </w:tr>
      <w:tr w14:paraId="25B4D8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A1DD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夏冬比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7037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1.17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BCD1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1.12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77F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1.59</w:t>
            </w:r>
          </w:p>
        </w:tc>
      </w:tr>
    </w:tbl>
    <w:p w14:paraId="25DC1829">
      <w:pPr>
        <w:jc w:val="both"/>
        <w:rPr>
          <w:color w:val="1F2430"/>
        </w:rPr>
        <w:sectPr>
          <w:footerReference r:id="rId14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共享同一套时间结构，差别集中在幅度上：区域1量级最大、曲线最平稳；区域2星期效应最强且冬季有次高峰；区域3量级最小，季节性和日内波动都最强。建模时应当区别对待，而不是对三个区套用同一组特征。</w:t>
      </w:r>
    </w:p>
    <w:p w14:paraId="0797AA39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17" w:name="_Toc26779"/>
      <w:bookmarkStart w:id="18" w:name="section-6"/>
      <w:r>
        <w:rPr>
          <w:rFonts w:hint="eastAsia" w:ascii="Times New Roman" w:hAnsi="Times New Roman" w:eastAsia="黑体" w:cs="Times New Roman"/>
          <w:b/>
          <w:color w:val="1F2430"/>
          <w:sz w:val="28"/>
        </w:rPr>
        <w:t>5　天气因素与负荷的关系</w:t>
      </w:r>
      <w:bookmarkEnd w:id="17"/>
      <w:bookmarkEnd w:id="18"/>
    </w:p>
    <w:p w14:paraId="606A119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9" w:name="section-6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5.1　相关系数</w:t>
      </w:r>
      <w:bookmarkEnd w:id="19"/>
    </w:p>
    <w:p w14:paraId="6030BEB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三个区域的负荷与五个气象因子的相关系数见图5与下表（括号外Pearson，括号内Spearman）。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4"/>
        <w:gridCol w:w="2224"/>
        <w:gridCol w:w="2224"/>
        <w:gridCol w:w="2224"/>
      </w:tblGrid>
      <w:tr w14:paraId="4D8C60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25B69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因子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9A38F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148BAE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F46D0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304718C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5686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温度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3CB1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+0.44（+0.43）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2A1EB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+0.38（+0.38）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AA48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+0.49（+0.44）</w:t>
            </w:r>
          </w:p>
        </w:tc>
      </w:tr>
      <w:tr w14:paraId="5ACF59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8D56B1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湿度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38F1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−0.29（−0.30）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4D6C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−0.29（−0.31）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F2731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−0.23（−0.21）</w:t>
            </w:r>
          </w:p>
        </w:tc>
      </w:tr>
      <w:tr w14:paraId="1C8A32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A64DD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风速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40CA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+0.17（+0.11）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5AE8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+0.15（+0.09）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4EDF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+0.28（+0.08）</w:t>
            </w:r>
          </w:p>
        </w:tc>
      </w:tr>
      <w:tr w14:paraId="18F638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249E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总漫射辐射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9C69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+0.19（+0.26）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D42DA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+0.16（+0.24）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82C3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+0.06（+0.08）</w:t>
            </w:r>
          </w:p>
        </w:tc>
      </w:tr>
      <w:tr w14:paraId="1837F0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F3370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漫射辐射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34B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+0.08（+0.12）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B247E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+0.04（+0.10）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E16A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−0.04（−0.02）</w:t>
            </w:r>
          </w:p>
        </w:tc>
      </w:tr>
    </w:tbl>
    <w:p w14:paraId="350EF42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温度是唯一在三区都稳定为正的因子。风速和总漫射辐射的两种系数差距较大（如区域3风速Pearson 0.28、Spearman仅0.08），说明其数值主要由少数极端时段支撑，放进线性模型并不可靠。三个区域负荷之间的相关系数在0.75至0.84之间，说明三区受共同因素驱动。</w:t>
      </w:r>
    </w:p>
    <w:p w14:paraId="19B8D68F">
      <w:pPr>
        <w:jc w:val="both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4907915" cy="4319905"/>
            <wp:effectExtent l="0" t="0" r="6985" b="107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D861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图5　天气因子与各区域负荷的相关系数</w:t>
      </w:r>
    </w:p>
    <w:p w14:paraId="5878F66D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已记录时段内52,416条观测计算的Pearson相关系数；色标固定为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−1至1，对角线为变量自身相关，数值恒为1。</w:t>
      </w:r>
    </w:p>
    <w:p w14:paraId="339290B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0" w:name="section-6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5.2　温度与负荷的分段特征</w:t>
      </w:r>
      <w:bookmarkEnd w:id="20"/>
    </w:p>
    <w:p w14:paraId="18C74DA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分箱均值显示（图6）：6 ℃ 至33 ℃ 区间负荷随温度单调上升，33 ℃ 以上进入平台。温度从6.5 ℃ 升到33.5 ℃ 时，区域1、2的分箱均值各上升69%，区域3上升158%，与它夏冬比1.59、峰谷比2.23的结论一致。数据中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没有观察到典型的U形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：3 ℃ 至5 ℃ 的负荷并不高于20 ℃ 附近，说明这三个区域的用电对低温不敏感，温度特征在冬季的作用有限。</w:t>
      </w:r>
    </w:p>
    <w:p w14:paraId="30FB7D00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706245"/>
            <wp:effectExtent l="0" t="0" r="889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47B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图6　温度与负荷的关系</w:t>
      </w:r>
    </w:p>
    <w:p w14:paraId="3B86DB5F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灰点为从已记录时段观测中随机抽样的8,000条记录，折线为按1 ℃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分箱后的负荷均值，仅保留样本量不少于50的区间；三个子图纵轴范围独立。</w:t>
      </w:r>
    </w:p>
    <w:p w14:paraId="3F9AA593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1" w:name="section-6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5.3　与消融结果的呼应</w:t>
      </w:r>
      <w:bookmarkEnd w:id="21"/>
    </w:p>
    <w:p w14:paraId="2ACEDEF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第6章的消融实验显示，在原始特征集上，线性回归加入天气特征后区域3的测试集RMSE下降34.6%，是三个区里降幅最大的；区域2只下降4.1%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6.5），本节的结论应理解为"温度与负荷的统计关联确实存在"，而非"天气特征在任何特征集下都有同等增益"。</w:t>
      </w:r>
    </w:p>
    <w:p w14:paraId="5D4D1035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2" w:name="section-6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5.4　局限</w:t>
      </w:r>
      <w:bookmarkEnd w:id="22"/>
    </w:p>
    <w:p w14:paraId="7073B6F7">
      <w:pPr>
        <w:jc w:val="both"/>
        <w:rPr>
          <w:color w:val="1F2430"/>
        </w:rPr>
        <w:sectPr>
          <w:footerReference r:id="rId15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223F0949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23" w:name="section-7"/>
      <w:bookmarkStart w:id="24" w:name="_Toc27609"/>
      <w:r>
        <w:rPr>
          <w:rFonts w:hint="eastAsia" w:ascii="Times New Roman" w:hAnsi="Times New Roman" w:eastAsia="黑体" w:cs="Times New Roman"/>
          <w:b/>
          <w:color w:val="1F2430"/>
          <w:sz w:val="28"/>
        </w:rPr>
        <w:t>6　短期负荷预测：模型、消融与误差分析</w:t>
      </w:r>
      <w:bookmarkEnd w:id="23"/>
      <w:bookmarkEnd w:id="24"/>
    </w:p>
    <w:p w14:paraId="6753EA3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5" w:name="section-7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6.1　预测任务与实验协议</w:t>
      </w:r>
      <w:bookmarkEnd w:id="25"/>
    </w:p>
    <w:p w14:paraId="194C4E3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预测任务定义为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提前1小时</w:t>
      </w:r>
      <w:r>
        <w:rPr>
          <w:rFonts w:hint="eastAsia" w:ascii="Times New Roman" w:hAnsi="Times New Roman" w:eastAsia="宋体" w:cs="Times New Roman"/>
          <w:color w:val="1F2430"/>
          <w:sz w:val="24"/>
        </w:rPr>
        <w:t>预测：对预测起点t，目标是其后第6个时间步（t+6）的负荷。三个区域分别建样本、分别训练、分别评价。数据按预测起点的时间顺序划分为训练/验证/测试三部分，比例70%/15%/15%，实际边界为：训练集至2017-09-14 19:40（35,975个起点），验证集至11-07 08:40（7,704个），测试集至12-30 22:50（7,711个），三区域共用同一套切分。</w:t>
      </w:r>
    </w:p>
    <w:p w14:paraId="1F625E5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边界purge。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目标在起点之后一小时，如果只按起点切分，子集末尾若干起点的标签时刻会落到下一个子集的起点区间内——训练集末尾的标签会被验证集"看到"，验证集末尾同理。为此训练集与验证集末尾各剔除6个起点（共12个样本不进入任何子集）。剔除后：训练末起点的目标时刻（09-14 20:40）早于验证集首起点（09-14 20:50），验证末起点的目标时刻（11-07 09:40）早于测试集首起点（11-07 09:50），任一子集的标签区间与下一子集的起点区间不再重叠。该断言已写入verify_against_plan() 与自动化检查。测试集区间不受影响，历史同期基线的指标与剔除前完全一致。</w:t>
      </w:r>
    </w:p>
    <w:p w14:paraId="1BCA03D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防泄漏规则：所有特征只使用预测起点t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300195C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6" w:name="section-7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6.2　特征与模型</w:t>
      </w:r>
      <w:bookmarkEnd w:id="26"/>
    </w:p>
    <w:p w14:paraId="47DC1B9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特征分三组。历史负荷组：当前负荷、1小时前、24小时前同期、7天前同期（load_lag_0/6/144/1008）；时间组：小时、星期、月份及其周期编码；天气组：起点时刻的温度、湿度、风速与两项辐射。历史同期基线不消费特征，直接取目标时刻的上一周同期值y(t+6−1008)。</w:t>
      </w:r>
    </w:p>
    <w:p w14:paraId="621AFB9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这里埋着一个容易被忽略的口径差异：基线取的是y(t−1002)，即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目标时刻</w:t>
      </w:r>
      <w:r>
        <w:rPr>
          <w:rFonts w:hint="eastAsia" w:ascii="Times New Roman" w:hAnsi="Times New Roman" w:eastAsia="宋体" w:cs="Times New Roman"/>
          <w:color w:val="1F2430"/>
          <w:sz w:val="24"/>
        </w:rPr>
        <w:t>往前一周；而特征组里的load_lag_1008是起点往前一周，比目标时刻再早一小时。两个学习模型因此没有直接拿到基线所使用的那条记录。6.4节专门检验这一点，并在6.5节之后改用修正后的特征集。</w:t>
      </w:r>
    </w:p>
    <w:p w14:paraId="4033CA18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三个模型：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历史同期基线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（无训练、无超参）；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线性回归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（标准化 + 最小二乘，无超参）；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梯度提升树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（scikit-learn HistGradientBoostingRegressor，在验证集上对小规模参数网格选优，随机种子42）。评价指标为MAE / RMSE / MSE，按（模型 × 区域）在测试集上分别计算，并给出三区合并口径。</w:t>
      </w:r>
    </w:p>
    <w:p w14:paraId="1DDCD19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版本一致性。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梯度提升树的数值结果会随scikit-learn版本发生微小漂移。全组统一锁定scikit-learn==1.6.1后，消融实验中"含天气"组的指标与主实验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逐值一致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（线性回归本就确定性可复现）；此前记录的0.3%–3.1% 偏差系版本不同所致，已随本次重跑消除。</w:t>
      </w:r>
    </w:p>
    <w:p w14:paraId="3B6048CB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7" w:name="section-7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6.3　模型比较（表3、图7）</w:t>
      </w:r>
      <w:bookmarkEnd w:id="27"/>
    </w:p>
    <w:p w14:paraId="77D5788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表3　三个模型在测试集上的对比（原特征集）</w:t>
      </w:r>
    </w:p>
    <w:p w14:paraId="537D9248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注：测试集为2017-11-07 09:50至2017-12-30 22:50，每区域7,711个样本；加粗为同区域最优；MSE按逐点预测误差平方的均值计算，RMSE为其平方根，各指标均由未舍入结果计算后再显示舍入。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2"/>
        <w:gridCol w:w="1600"/>
        <w:gridCol w:w="1600"/>
        <w:gridCol w:w="1600"/>
        <w:gridCol w:w="1600"/>
        <w:gridCol w:w="1254"/>
      </w:tblGrid>
      <w:tr w14:paraId="07DC4E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61B9B0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D4D23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24F409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B2B936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57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783271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89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4137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77E4B9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8441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历史同期基线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8360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831.04/ 1151.45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DECC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966.29/ 1366.37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0A12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1354.70/ 2216.34</w:t>
            </w:r>
          </w:p>
        </w:tc>
        <w:tc>
          <w:tcPr>
            <w:tcW w:w="1457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C2098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1050.68/ 1643.67</w:t>
            </w:r>
          </w:p>
        </w:tc>
        <w:tc>
          <w:tcPr>
            <w:tcW w:w="1289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F3CB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2,701,655</w:t>
            </w:r>
          </w:p>
        </w:tc>
      </w:tr>
      <w:tr w14:paraId="44D2B9C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B58C6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82D0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2143.03/ 2512.61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5193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1016.45/ 1550.16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48C7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</w:t>
            </w: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321.49/ 1666.97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DDAB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1493.66/ 1957.47</w:t>
            </w:r>
          </w:p>
        </w:tc>
        <w:tc>
          <w:tcPr>
            <w:tcW w:w="128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EC99B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3,831,677</w:t>
            </w:r>
          </w:p>
        </w:tc>
      </w:tr>
      <w:tr w14:paraId="0734B3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E0A7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555FA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1596.96/ 2255.25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2BE3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1091.57/ 1728.73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8214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1840.15/ 2233.54</w:t>
            </w:r>
          </w:p>
        </w:tc>
        <w:tc>
          <w:tcPr>
            <w:tcW w:w="1457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710D1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1509.56/ 2086.73</w:t>
            </w:r>
          </w:p>
        </w:tc>
        <w:tc>
          <w:tcPr>
            <w:tcW w:w="128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FE79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4,354,460</w:t>
            </w:r>
          </w:p>
        </w:tc>
      </w:tr>
    </w:tbl>
    <w:p w14:paraId="0BE72853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466080" cy="3036570"/>
            <wp:effectExtent l="0" t="0" r="7620" b="1143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A57C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图7　测试集片段：真实负荷与预测负荷对比</w:t>
      </w:r>
    </w:p>
    <w:p w14:paraId="06935BC5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2017年12月14日至12月17日的局部片段，三行分别为三个模型、三列为三个区域；完整测试区间的指标见表3。</w:t>
      </w:r>
    </w:p>
    <w:p w14:paraId="5E34404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MSE根据测试集逐点预测误差的平方计算，RMSE为MSE的平方根。表中指标分别由未舍入的原始结果计算后再进行显示舍入；逐区MSE见outputs/metrics/report_table3.csv。三个指标各有侧重：MAE反映平均绝对偏差，RMSE与MSE对大误差更敏感（平方项放大极端值），三者排序一致时结论更稳健。</w:t>
      </w:r>
    </w:p>
    <w:p w14:paraId="1591AD1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十二个（模型 × 区域 × 指标）组合中，仅线性回归在区域3的MAE与RMSE同时优于基线（−2.45% 与 −24.79%），其余十项基线占优。基线占优的原因有二：其一，日周期极稳定（97% 以上的日子峰值落在18–21时），"上周同一时刻"本身就是很强的预测量；其二，测试期负荷水平较训练期下移（区域1日均33,065→29,056，区域3 20,052→11,949），学习模型外推训练期水平产生系统性偏差，而基线锚定上周同期值，天然免疫这种漂移。</w:t>
      </w:r>
    </w:p>
    <w:p w14:paraId="10AB37E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但这还不能下结论说"学习模型不适合这个任务"。因为两个学习模型手里的周特征与基线并不同源（见6.2）：基线看的是目标时刻的上一周，它们看的是起点的上一周。下一节专门检验这一点。</w:t>
      </w:r>
    </w:p>
    <w:p w14:paraId="138BA6BB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8" w:name="section-7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6.4　归因实验：补上目标时刻对齐的周同期特征</w:t>
      </w:r>
      <w:bookmarkEnd w:id="28"/>
    </w:p>
    <w:p w14:paraId="6F880E4D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在特征集中新增一项load_lag_target_week = y(t−1002)，即历史同期基线所用的那条记录。该值在预测起点时已经是历史观测（t−1002远早于t），不构成未来信息；原有的load_lag_1008保留，样本、切分、模型配置、评价指标全部不变，因此差异只能归因到这一项特征。</w:t>
      </w:r>
    </w:p>
    <w:p w14:paraId="51998CEB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表4　归因实验：补上目标对齐周同期特征后的测试集指标</w:t>
      </w:r>
    </w:p>
    <w:p w14:paraId="0ABFF169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注：样本、切分、模型配置与评价指标与主实验完全一致，唯一差别是新增一项load_lag_target_week = y(t−1002)；MSE为三区合并口径。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1600"/>
        <w:gridCol w:w="1600"/>
        <w:gridCol w:w="1600"/>
        <w:gridCol w:w="1600"/>
        <w:gridCol w:w="1240"/>
      </w:tblGrid>
      <w:tr w14:paraId="13B56C9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9CFB0D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57D427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729903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64D9F2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A16F2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9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F0951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16DA3E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4134F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历史同期基线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57C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831.04/ 1151.45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5A9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966.29/ 1366.37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417B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1354.70/ 2216.34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DE819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1050.68/ 1643.67</w:t>
            </w:r>
          </w:p>
        </w:tc>
        <w:tc>
          <w:tcPr>
            <w:tcW w:w="129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7DD82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2,701,655</w:t>
            </w:r>
          </w:p>
        </w:tc>
      </w:tr>
      <w:tr w14:paraId="24D9BC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DFCF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FE587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547.15/ 777.86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95753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513.58/ 729.94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DEB7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481.52/ 792.29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DED4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514.09/ 767.16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54CA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588,534</w:t>
            </w:r>
          </w:p>
        </w:tc>
      </w:tr>
      <w:tr w14:paraId="048EFD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1D24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0DB94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925.93/ 1201.90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9F23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762.60/ 1118.37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F34B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</w:t>
            </w: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103.33/ 1434.54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6955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930.62/ 1258.73</w:t>
            </w:r>
          </w:p>
        </w:tc>
        <w:tc>
          <w:tcPr>
            <w:tcW w:w="129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B24C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1,584,408</w:t>
            </w:r>
          </w:p>
        </w:tc>
      </w:tr>
    </w:tbl>
    <w:p w14:paraId="7C97407D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括号内的相对变化均为相对历史同期基线；MSE为合并口径。</w:t>
      </w:r>
    </w:p>
    <w:p w14:paraId="5192085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结果远超预期：加入该特征后，线性回归在三区的测试集RMSE相对原特征集下降52.5%–69.0%，相对基线下降32.4%–64.3%，合并口径MAE/RMSE由1493.66/1957.47降至514.09/767.16（−51.1%/−53.3%）；梯度提升树相对基线除区域1略高（+4.4%）外，区域2、3分别下降18.2% 和35.3%，合并口径 −11.4%/−23.4%。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两个学习模型转为全面优于基线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</w:t>
      </w:r>
    </w:p>
    <w:p w14:paraId="6A5731C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这说明6.3的结论需要修正：此前"学习模型不敌基线"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"简单基线不可战胜"的误判。</w:t>
      </w:r>
    </w:p>
    <w:p w14:paraId="2E1E356E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9" w:name="section-7-5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6.5　天气特征消融（表5、图9）</w:t>
      </w:r>
      <w:bookmarkEnd w:id="29"/>
    </w:p>
    <w:p w14:paraId="57F47A0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由于6.4已确认应改用含目标对齐周特征的特征集，消融随之在新特征集上重做：A组 = 历史（含周同期）+ 时间特征，B组 = A组 + 天气特征，除天气开关外样本、切分、模型、参数完全一致。</w:t>
      </w:r>
    </w:p>
    <w:p w14:paraId="58FA39C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表5　天气特征消融结果（含周同期特征的新特征集）</w:t>
      </w:r>
    </w:p>
    <w:p w14:paraId="128876D2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注：数值为含天气特征组（B组）相对不含天气特征组（A组）的测试集RMSE变化，负值表示误差下降；加粗的三个组合误差反而上升，为如实报告。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1"/>
        <w:gridCol w:w="1800"/>
        <w:gridCol w:w="4355"/>
      </w:tblGrid>
      <w:tr w14:paraId="129D16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15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4307BF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80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CD95D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</w:t>
            </w:r>
          </w:p>
        </w:tc>
        <w:tc>
          <w:tcPr>
            <w:tcW w:w="4355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7BC0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测试集RMSE变化</w:t>
            </w:r>
          </w:p>
        </w:tc>
      </w:tr>
      <w:tr w14:paraId="62CC39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5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66CC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</w:t>
            </w:r>
          </w:p>
        </w:tc>
        <w:tc>
          <w:tcPr>
            <w:tcW w:w="180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6E0F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Z1/Z2/Z3</w:t>
            </w:r>
          </w:p>
        </w:tc>
        <w:tc>
          <w:tcPr>
            <w:tcW w:w="4355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F1F83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−10.99%/+5.08%/ +0.98%</w:t>
            </w:r>
          </w:p>
        </w:tc>
      </w:tr>
      <w:tr w14:paraId="613235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5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C90C2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3E88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Z1/Z2/Z3</w:t>
            </w:r>
          </w:p>
        </w:tc>
        <w:tc>
          <w:tcPr>
            <w:tcW w:w="435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5CF51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−17.85%/−5.94%/ −0.43%</w:t>
            </w:r>
          </w:p>
        </w:tc>
      </w:tr>
    </w:tbl>
    <w:p w14:paraId="5E322BFF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2013585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BB9D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图9（a）　天气特征消融：原特征集下的测试集RMSE对照</w:t>
      </w:r>
    </w:p>
    <w:p w14:paraId="2700580B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六个（模型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×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区域）组合的测试集RMSE，柱高越低越好；深色为含天气特征组，浅色为不含天气特征组。</w:t>
      </w:r>
    </w:p>
    <w:p w14:paraId="533E67F3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2013585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B9D5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图9（b）　天气特征消融：含周同期特征的新特征集下的测试集RMSE对照</w:t>
      </w:r>
    </w:p>
    <w:p w14:paraId="14B3F11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与（a）同一消融在新增load_lag_target_week后重跑的结果；两图纵轴刻度不同，比较幅度请见表5。</w:t>
      </w:r>
    </w:p>
    <w:p w14:paraId="563457C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作为对照，在原特征集（不含周同期）上同一消融的结果是：线性回归−23.30%/−4.24%/−34.56%，梯度提升树−23.18%/−10.54%/−5.22%，六个组合中五个下降。</w:t>
      </w:r>
    </w:p>
    <w:p w14:paraId="3118E42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两组结果放在一起看，结论要谨慎：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天气特征的增益依赖于模型已经掌握了多少周期性信息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在原本的模型上，天气特征填补了缺失的周期信息，因而显得很有用（最多−34.6%）；一旦把周同期特征直接交给模型，天气带来的边际增益就大幅缩小，六个组合中三个下降（梯度提升树三个区域全部下降，−0.4% 至 −17.9%），线性回归在区域2、3反而略升（+5.1%、+1.0%）。因此本报告的结论是：天气特征确实有增益，但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在周同期特征已存在的前提下增益有限，且因区域和模型而异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，不宜概括为"天气特征显著改善预测"。天气仅用预测起点的同步观测，实际部署时应替换为天气预报，届时增益预计进一步打折。</w:t>
      </w:r>
    </w:p>
    <w:p w14:paraId="22F6A5F5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0" w:name="section-7-6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6.6　分区域与高峰时段误差分析（图8）</w:t>
      </w:r>
      <w:bookmarkEnd w:id="30"/>
    </w:p>
    <w:p w14:paraId="6B497B6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下分析基于6.4之后的推荐模型（含周同期特征）。消除量级差异后按nRMSE比较：线性回归为2.68%/3.10%/6.63%，梯度提升树为4.14%/4.75%/12.01%，历史同期基线为3.96%/5.81%/18.55%。区域3对三个模型都最难，与第4章的发现一致（日峰值变异系数27.7%）；线性回归在三区都是最优，且把区域3的相对误差从基线的18.55% 压到6.63%。</w:t>
      </w:r>
    </w:p>
    <w:p w14:paraId="7D0FD84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系统性偏差（bias = 预测 − 实际）方向不一：线性回归为+86/−223/−173，梯度提升树为+522/−271/+549，基线为−17/−109/+108。加入周同期特征后，此前学习模型在区域1、3的严重高估（+1020/+1670）已大幅收敛。</w:t>
      </w:r>
    </w:p>
    <w:p w14:paraId="63E864D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高峰时段（阈值取训练集负荷分布Q90）分析：区域2高峰时段梯度提升树RMSE为1732，是普通时段（825）的2.1倍，且偏差由−100转为−793——模型在高峰时段系统性低估峰值，这是对电网调度最不安全的误差方向，这一结论在特征修正后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依然成立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。区域1测试期高峰样本仅9条、区域3为0条（测试期负荷整体下移），这两个区域的高峰表现无法从本次数据确认。</w:t>
      </w:r>
    </w:p>
    <w:p w14:paraId="65729374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22425"/>
            <wp:effectExtent l="0" t="0" r="8890" b="317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BE2D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图8（a）　分小时预测误差（测试集）</w:t>
      </w:r>
    </w:p>
    <w:p w14:paraId="607FB9E9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按目标时刻的小时统计MAE，三个区域各一子图；基于含周同期特征的推荐模型。</w:t>
      </w:r>
    </w:p>
    <w:p w14:paraId="1F0BF956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22425"/>
            <wp:effectExtent l="0" t="0" r="8890" b="317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1BFB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图8（b）　残差分布（梯度提升树）</w:t>
      </w:r>
    </w:p>
    <w:p w14:paraId="4063277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残差 = 预测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−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实际，横轴为残差，纵轴为频数；三个区域各一子图。</w:t>
      </w:r>
    </w:p>
    <w:p w14:paraId="36ED5A9E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3835400"/>
            <wp:effectExtent l="0" t="0" r="889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232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图8（c）　残差随时间变化（梯度提升树，日平均）</w:t>
      </w:r>
    </w:p>
    <w:p w14:paraId="642476FD">
      <w:pPr>
        <w:jc w:val="both"/>
        <w:rPr>
          <w:color w:val="4B5563"/>
        </w:rPr>
        <w:sectPr>
          <w:footerReference r:id="rId16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测试集残差按日取均值后按日期排列，用于检查误差是否随时间漂移。</w:t>
      </w:r>
    </w:p>
    <w:p w14:paraId="65F5A50B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31" w:name="section-8"/>
      <w:bookmarkStart w:id="32" w:name="_Toc14671"/>
      <w:r>
        <w:rPr>
          <w:rFonts w:hint="eastAsia" w:ascii="Times New Roman" w:hAnsi="Times New Roman" w:eastAsia="黑体" w:cs="Times New Roman"/>
          <w:b/>
          <w:color w:val="1F2430"/>
          <w:sz w:val="28"/>
        </w:rPr>
        <w:t>7　总结与结论</w:t>
      </w:r>
      <w:bookmarkEnd w:id="31"/>
      <w:bookmarkEnd w:id="32"/>
    </w:p>
    <w:p w14:paraId="1BC98EB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3" w:name="section-8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7.1　主要发现</w:t>
      </w:r>
      <w:bookmarkEnd w:id="33"/>
    </w:p>
    <w:p w14:paraId="1E757FD1">
      <w:pPr>
        <w:jc w:val="both"/>
        <w:rPr>
          <w:b/>
          <w:color w:val="1F2430"/>
        </w:rPr>
      </w:pPr>
      <w:r>
        <w:rPr>
          <w:rFonts w:ascii="Times New Roman" w:hAnsi="Times New Roman" w:eastAsia="宋体" w:cs="Times New Roman"/>
          <w:color w:val="1F2430"/>
          <w:sz w:val="24"/>
        </w:rPr>
        <w:t xml:space="preserve">1.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"学习模型不敌基线"是特征口径问题，不是模型问题。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在原始特征集下基线最优（合并MAE/RMSE 1050.68/1643.67），但基线用的y(t−1002) 与学习模型手里的y(t−1008) 并不同源。补上目标时刻对齐的周同期特征后，线性回归降至514.09/767.16（−51.1%/−53.3%）、梯度提升树降至930.62/1258.73（−11.4%/−23.4%），两个学习模型全面反超基线。这是本项目最重要的一条结论：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做模型比较前必须先确认基线和学习模型拿到的信息是否同源。</w:t>
      </w:r>
    </w:p>
    <w:p w14:paraId="1CB52D46">
      <w:pPr>
        <w:jc w:val="both"/>
        <w:rPr>
          <w:color w:val="1F2430"/>
        </w:rPr>
      </w:pPr>
      <w:r>
        <w:rPr>
          <w:rFonts w:ascii="Times New Roman" w:hAnsi="Times New Roman" w:eastAsia="宋体" w:cs="Times New Roman"/>
          <w:color w:val="1F2430"/>
          <w:sz w:val="24"/>
        </w:rPr>
        <w:t xml:space="preserve">2.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三个区域的预测难度差异主要来自数据本身。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改进后区域3的nRMSE仍最高（线性回归6.63%，基线18.55%），与其日峰值变异系数27.7% 一致；区域间比较必须使用相对指标。</w:t>
      </w:r>
    </w:p>
    <w:p w14:paraId="6D96A0A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3.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天气特征的增益依赖模型已掌握多少周期信息。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原特征集上5/6组合下降（最多 −34.6%），补上周同期特征后仅3/6下降（梯度提升树三区全降 −0.4% 至 −17.9%，线性回归在区域2、3略升）。不宜概括为"天气特征显著改善预测"。</w:t>
      </w:r>
    </w:p>
    <w:p w14:paraId="469F33A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4.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高峰时段更难预测且方向不利。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区域2高峰误差为普通时段2.1倍，且系统性低估峰值（bias由 −100转为 −793），这一结论在特征修正后依然成立；区域1、3因样本不足无法确认。</w:t>
      </w:r>
    </w:p>
    <w:p w14:paraId="648CDAF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4" w:name="section-8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7.2　对电网调度的建议</w:t>
      </w:r>
      <w:bookmarkEnd w:id="34"/>
    </w:p>
    <w:p w14:paraId="0AB82A8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小时级调度优先使用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带目标对齐周同期特征的线性回归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：测试集三区合并MAE/RMSE最低，且三区nRMSE均为三者最小； - 历史同期基线可作为无训练、无维护成本的兜底方案，但精度比改进后的线性模型低一半以上； - 高峰时段（18–21时）模型倾向低估，调度裕度应向高估方向留，尤其区域2； - 区域3波动最大、预测最难，建议单独监控并保留更大备用容量； - 引入天气预报替换同步观测时收益有限，建议先把周同期特征与实时负荷接入做扎实，再评估天气投入。</w:t>
      </w:r>
    </w:p>
    <w:p w14:paraId="5643D10F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5" w:name="section-8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7.3　局限</w:t>
      </w:r>
      <w:bookmarkEnd w:id="35"/>
    </w:p>
    <w:p w14:paraId="02B814C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本数据仅覆盖一个城市、一年（364天，缺12月31日），以下结论不能外推：跨城市、跨年度的一般规律；跨年度季节性断言（区域3的9–12月下滑含趋势成分，无法与季节性分离）；采暖季模型有效性（未观察到低温U形回升）；节假日与极端天气下的表现（样本极少）。全部对比仅报数值与相对变化，未做显著性检验，不使用"显著"一类措辞。</w:t>
      </w:r>
    </w:p>
    <w:p w14:paraId="6B00DD98">
      <w:pPr>
        <w:jc w:val="both"/>
        <w:rPr>
          <w:color w:val="1F2430"/>
        </w:rPr>
        <w:sectPr>
          <w:footerReference r:id="rId17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另有两点方法上的限定需要说明。其一，6.4的大幅改善高度依赖日周周期的稳定性（97% 以上的日子峰值落在18–21时），在作息规律较弱或负荷波动更剧烈的场景下，周同期特征的增益预计会小于本数据的观测值。其二，y(t−1002) 与天气特征一样，取的是预测起点时的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</w:t>
      </w:r>
      <w:r>
        <w:rPr>
          <w:rFonts w:hint="eastAsia" w:ascii="Times New Roman" w:hAnsi="Times New Roman" w:eastAsia="宋体" w:cs="Times New Roman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docs/results_conclusions.md的对照表。</w:t>
      </w:r>
    </w:p>
    <w:p w14:paraId="1B41F3E1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36" w:name="section-9"/>
      <w:bookmarkStart w:id="37" w:name="_Toc14928"/>
      <w:r>
        <w:rPr>
          <w:rFonts w:hint="eastAsia" w:ascii="Times New Roman" w:hAnsi="Times New Roman" w:eastAsia="黑体" w:cs="Times New Roman"/>
          <w:b/>
          <w:color w:val="1F2430"/>
          <w:sz w:val="28"/>
        </w:rPr>
        <w:t>8　小组成员分工与个人承担</w:t>
      </w:r>
      <w:bookmarkEnd w:id="36"/>
      <w:bookmarkEnd w:id="37"/>
    </w:p>
    <w:p w14:paraId="4C35B942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8" w:name="section-9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8.1　分工表</w:t>
      </w:r>
      <w:bookmarkEnd w:id="38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240"/>
        <w:gridCol w:w="2154"/>
        <w:gridCol w:w="4011"/>
      </w:tblGrid>
      <w:tr w14:paraId="07E0E73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0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0ED7F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成员</w:t>
            </w:r>
          </w:p>
        </w:tc>
        <w:tc>
          <w:tcPr>
            <w:tcW w:w="120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73F6C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学号</w:t>
            </w:r>
          </w:p>
        </w:tc>
        <w:tc>
          <w:tcPr>
            <w:tcW w:w="216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CF21B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承担章节/模块</w:t>
            </w:r>
          </w:p>
        </w:tc>
        <w:tc>
          <w:tcPr>
            <w:tcW w:w="403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4E0349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具体工作内容</w:t>
            </w:r>
          </w:p>
        </w:tc>
      </w:tr>
      <w:tr w14:paraId="6C5D61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28E1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郑宜桥</w:t>
            </w:r>
          </w:p>
        </w:tc>
        <w:tc>
          <w:tcPr>
            <w:tcW w:w="120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18D7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25121628</w:t>
            </w:r>
          </w:p>
        </w:tc>
        <w:tc>
          <w:tcPr>
            <w:tcW w:w="216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C5C1B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第2、3、4、5章；数据模块</w:t>
            </w:r>
          </w:p>
        </w:tc>
        <w:tc>
          <w:tcPr>
            <w:tcW w:w="403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663DCC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数据审计、清洗与接口定义、日/周/季节规律分析、天气与负荷关系分析、表1与表2</w:t>
            </w:r>
          </w:p>
        </w:tc>
      </w:tr>
      <w:tr w14:paraId="35EAF8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68992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况子昱</w:t>
            </w: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C97E1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25121631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7D070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第6章；模型模块</w:t>
            </w:r>
          </w:p>
        </w:tc>
        <w:tc>
          <w:tcPr>
            <w:tcW w:w="403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4317A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预测协议、时间切分与特征、基线与梯度提升模型、模型比较与交付检查</w:t>
            </w:r>
          </w:p>
        </w:tc>
      </w:tr>
      <w:tr w14:paraId="204A25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D196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徐启翔</w:t>
            </w:r>
          </w:p>
        </w:tc>
        <w:tc>
          <w:tcPr>
            <w:tcW w:w="120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44D6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25121632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AA18C0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摘要、第1、7章；消融与误差分析</w:t>
            </w:r>
          </w:p>
        </w:tc>
        <w:tc>
          <w:tcPr>
            <w:tcW w:w="403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4374C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报告框架与整合、天气特征消融、分区域与高峰时段误差分析、汇报材料</w:t>
            </w:r>
          </w:p>
        </w:tc>
      </w:tr>
    </w:tbl>
    <w:p w14:paraId="5784868E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9" w:name="section-9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8.2　个人承担说明</w:t>
      </w:r>
      <w:bookmarkEnd w:id="39"/>
    </w:p>
    <w:p w14:paraId="122AE22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郑宜桥（成员A）</w:t>
      </w:r>
    </w:p>
    <w:p w14:paraId="1232F9F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第2章数据介绍、第3章数据清洗与预处理、第4章负荷时序规律、第5章天气与负荷关系，以及对应的代码：数据审计、清洗模块、时序分析、天气分析、报告表格生成。代码提交对应仓库中的A1至A4与表格、报告两次提交。</w:t>
      </w:r>
    </w:p>
    <w:p w14:paraId="48AB4B1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6E6DC36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Pearson与Spearman两种相关系数，并对温度按1 ℃ 分箱求负荷均值。报告中的表格由脚本从数据直接生成，不手工填写。</w:t>
      </w:r>
    </w:p>
    <w:p w14:paraId="03EED3F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有三个。</w:t>
      </w:r>
    </w:p>
    <w:p w14:paraId="7C455F9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列名里藏了连续两个空格。区域2和区域3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0C71606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异常值该不该删。按四分位距标记出1,708个极端点，其中漫射辐射一项占了1,690个。最初的直觉是删掉，但把这些点按小时和月份汇总后发现，它们集中在上午9点到下午4点、以及2月和5月，正是日照最强的时段。漫射辐射本身受太阳高度角控制，用全年分布去衡量，晴天正午的数据自然被判为离群。这类点是物理规律，不是录入错误。另一批极端点在区域3的7月19时至20时，对应夏季晚高峰，更是不能删。最后决定只标记不删除，把判断依据写进报告第3章。</w:t>
      </w:r>
    </w:p>
    <w:p w14:paraId="748B1D0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三个区域量级差得太多。区域1的日均负荷是区域3的1.8倍，画在同一张图里，区域3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17E4E9A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原始数据没有标注负荷与气象变量的单位，报告里所有跨区域比较只能使用比值，绝对量级的讨论无法展开。另外，区域3从9月到12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43E3DB4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况子昱（成员B）</w:t>
      </w:r>
    </w:p>
    <w:p w14:paraId="175FC3B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第6章的预测协议与模型模块：时间切分、特征构造、历史同期基线、线性回归与梯度提升树、统一比较入口，以及配套的自动化检查。代码对应B1至B6六次提交。</w:t>
      </w:r>
    </w:p>
    <w:p w14:paraId="4FE4925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预测任务最怕的不是模型差，而是把未来的信息喂给了模型，得出一个好看但没用的数字。所以动手写模型之前，先把协议定下来：目标定在起点之后1小时，数据按时间顺序切，特征只能取起点及更早的观测，验证集用来选参数、测试集只在最后评一次。协议写进文档后，后续每一步都拿它对照，包括后来成员C的消融和误差分析也复用同一套切分和特征接口，不另起炉灶。</w:t>
      </w:r>
    </w:p>
    <w:p w14:paraId="0ECF9A7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先按70%/15%/15% 按时间切出训练、验证、测试三段，边界固定在2017-09-14 20:40与11-07 09:40；再实现特征构造的开关，历史负荷、时间编码、天气三组可分别开关，供后面消融使用；然后依次实现基线、线性回归、梯度提升树，统一训练与预测接口，最后用一个入口脚本重跑三模型并输出比较表与图7。检查部分写成可执行的测试：三模型测试区间是否完全一致、特征索引是否越界、预测文件字段是否合规、指标能否从预测文件复算出来。</w:t>
      </w:r>
    </w:p>
    <w:p w14:paraId="4D65357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有三个。</w:t>
      </w:r>
    </w:p>
    <w:p w14:paraId="3EC13AE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一是基线的索引差一位。历史同期基线看似简单，但目标时刻是t+6，"上一周同期"应该是y(t+6−1008) 也就是y(t−1002)，不是y(t−1008)。写错一位就变成了错开一小时的比较，指标会虚高。最后是靠测试逐值比对清洗数据才确认下来的。</w:t>
      </w:r>
    </w:p>
    <w:p w14:paraId="15FE530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梯度提升树跑得太慢。经典实现单区域训练要40到108秒，参数网格一铺开就不可接受了。换成同一库的直方图版本后降到0.5到3.5秒，快了约30倍，算法族没有变，这一决策按协议里的备选条款执行并记进了实验日志。</w:t>
      </w:r>
    </w:p>
    <w:p w14:paraId="58C38DC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三是交付前发现成员C机器上的梯度提升树结果与本机对不上，相对差异在0.3% 到3.1% 之间。逐层排查后排除了数据、切分和参数，确认是scikit-learn版本不同导致的数值微差，线性回归和其他结构性指标全部逐值一致。这件事没有掩盖，写进了交付报告，并建议全组锁定版本。</w:t>
      </w:r>
    </w:p>
    <w:p w14:paraId="6122F68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数据没有天气预报字段，起点的天气只能用同步观测代替，这是所有天气特征结论的前提，报告里必须写明。另外候选扩展特征（半小时滞后、24小时滚动均值等）已经实现但默认关闭，没有进入主实验。</w:t>
      </w:r>
    </w:p>
    <w:p w14:paraId="1557FD0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徐启翔（成员C）</w:t>
      </w:r>
    </w:p>
    <w:p w14:paraId="6B92853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摘要、第1章引言、第7章结论，第6.4节的归因实验、第6.5节的天气特征消融、第6.6节的分区域与高峰时段误差分析，以及报告框架、实验记录规范和最后的整合定稿。代码对应 `src/ablation.py`、`src/error_analysis.py` 与 `src/probe_target_week.py`，提交为C1至C5。</w:t>
      </w:r>
    </w:p>
    <w:p w14:paraId="6F0CF44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B已经生成的预测文件；高峰阈值只在训练集上取，不在测试集上挑。</w:t>
      </w:r>
    </w:p>
    <w:p w14:paraId="5F053B1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>C1阶段先读课程模板确认章节要求，据此排出章节分工表和图表清单，并建立实验日志模板。C2阶段做天气消融：沿用成员B的特征接口，只切换天气开关，两个模型分别跑含天气与不含天气两组，梯度提升树直接读取已选定的配置以保证可比。C3阶段做误差分析：先按区域算总体指标和相对指标，再按小时、星期、月份拆解，最后单独看高峰时段，阈值取训练集负荷分布的九十分位。C4阶段把结论一条条对应到具体证据和图表上，写不出来的就不写。C5阶段把各章并成完整稿并统一数字口径。</w:t>
      </w:r>
    </w:p>
    <w:p w14:paraId="66B7AFD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有四个。</w:t>
      </w:r>
    </w:p>
    <w:p w14:paraId="2FE20C4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一是消融结果与主实验对不上。梯度提升树带天气那一组的指标和成员B的主实验有0.3% 到3.1% 的相对差异。查下来是我本机scikit-learn版本与成员B的1.6.1不同，直方图实现有数值微差。线性回归、样本区间、样本量全部逐值一致，说明不是流程问题。处理方式是先在实验日志里注明版本差异并如实写进结论，随后全组在 `requirements.txt` 中锁定 `scikit-learn==1.6.1` 并重跑，偏差已消除，消融带天气组与主实验逐值一致。</w:t>
      </w:r>
    </w:p>
    <w:p w14:paraId="0DFD974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高峰时段样本量不够。阈值按训练集九十分位取，结果到了测试期，区域1只剩9条高峰样本，区域3一条都没有，原因是测试期负荷整体下移。这两个区域的高峰表现确实无法从本次数据确认，我没有拿区域2的数字去外推，而是在报告里明确写成"无法确认"。</w:t>
      </w:r>
    </w:p>
    <w:p w14:paraId="54A0201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三是图里的减号显示成方框。残差分布图的坐标轴标签用了Unicode减号，黑体字库不支持，导出后是一个个小方块。换成ASCII减号后重新生成了三张图。</w:t>
      </w:r>
    </w:p>
    <w:p w14:paraId="1DFC8BF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四是自己写错了一处结论。第6.3节初稿写"只有线性回归在区域3的RMSE优于基线"，核对 `improvement_vs_naive.csv` 后发现MAE同样占优（−2.69%），改成"两项指标同时占优"。这类错如果不逐列核对源文件是发现不了的，所以整合阶段我把报告里每个数字都回查了一遍原始结果文件。</w:t>
      </w:r>
    </w:p>
    <w:p w14:paraId="7C91781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版本统一后消融与误差分析都在新特征集上重做了一遍，但仍有两处留白：高峰时段结论只有区域2有足够样本支撑，区域1和区域3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73B9C906">
      <w:pPr>
        <w:jc w:val="both"/>
        <w:rPr>
          <w:color w:val="1F2430"/>
        </w:rPr>
        <w:sectPr>
          <w:footerReference r:id="rId18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ascii="Times New Roman" w:hAnsi="Times New Roman" w:eastAsia="宋体" w:cs="Times New Roman"/>
          <w:color w:val="1F2430"/>
          <w:sz w:val="24"/>
        </w:rPr>
        <w:t>---</w:t>
      </w:r>
    </w:p>
    <w:p w14:paraId="3961D8F3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40" w:name="section-10"/>
      <w:bookmarkStart w:id="41" w:name="_Toc28244"/>
      <w:r>
        <w:rPr>
          <w:rFonts w:hint="eastAsia" w:ascii="Times New Roman" w:hAnsi="Times New Roman" w:eastAsia="黑体" w:cs="Times New Roman"/>
          <w:b/>
          <w:color w:val="1F2430"/>
          <w:sz w:val="28"/>
        </w:rPr>
        <w:t>9　附录</w:t>
      </w:r>
      <w:bookmarkEnd w:id="40"/>
      <w:bookmarkEnd w:id="41"/>
    </w:p>
    <w:p w14:paraId="79CCC02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42" w:name="section-10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附录A　代码仓库</w:t>
      </w:r>
      <w:bookmarkEnd w:id="42"/>
    </w:p>
    <w:p w14:paraId="3EF4D59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GitHub仓库：https://github.com/77xiang/python_data_processing</w:t>
      </w:r>
    </w:p>
    <w:p w14:paraId="51B2BC8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代码结构：src/data_cleaning.py（清洗）→ src/features.py、src/splits.py（特征与切分）→ src/models.py、src/evaluate.py、src/compare.py（模型与比较）→ src/ablation.py（消融）→ src/error_analysis.py（误差分析）→ src/probe_target_week.py（归因实验）；分析图表分别由src/eda.py、src/weather_analysis.py生成。</w:t>
      </w:r>
    </w:p>
    <w:p w14:paraId="50F74322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43" w:name="section-10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附录B　复现说明</w:t>
      </w:r>
      <w:bookmarkEnd w:id="43"/>
    </w:p>
    <w:p w14:paraId="38D7631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1. 将原始数据放至data/raw/题4_城市电力负荷.csv（原始数据不入库）；2. 依赖见requirements.txt，其中scikit-learn==1.6.1必须锁定（梯度提升树数值随版本漂移，实测1.6.1与1.9.1之间相差0.3%–3.1%）；3. python src/compare.py完整重跑三模型并生成表3、图7；4. python src/probe_target_week.py复现表4（目标对齐周特征对照）并写出改进模型的测试集预测；5. python src/ablation.py --target-week复现表5（新特征集上的天气消融），python src/ablation.py复现原特征集消融；6. python src/error_analysis.py --tag _tw复现图8与误差分析（默认无 --tag时分析原模型）；7. 自动化检查：tests/（切分与特征索引含purge检查、模型对齐、交付核对共20项）。</w:t>
      </w:r>
    </w:p>
    <w:p w14:paraId="006076FD">
      <w:pPr>
        <w:pStyle w:val="3"/>
        <w:spacing w:before="280" w:beforeAutospacing="1" w:after="280" w:afterAutospacing="1"/>
        <w:jc w:val="left"/>
        <w:rPr>
          <w:rFonts w:hint="eastAsia" w:ascii="Times New Roman" w:hAnsi="Times New Roman" w:eastAsia="黑体" w:cs="Times New Roman"/>
          <w:b/>
          <w:color w:val="1F2430"/>
          <w:sz w:val="24"/>
        </w:rPr>
      </w:pPr>
      <w:bookmarkStart w:id="44" w:name="section-10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附录C　主要代码片段</w:t>
      </w:r>
      <w:bookmarkEnd w:id="44"/>
    </w:p>
    <w:p w14:paraId="03A04F8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以下为与本文结论直接相关的三段核心代码，完整实现见仓库对应文件。</w:t>
      </w:r>
    </w:p>
    <w:p w14:paraId="0AFB3A3A">
      <w:pPr>
        <w:numPr>
          <w:ilvl w:val="0"/>
          <w:numId w:val="1"/>
        </w:num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历史同期基线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（src/models.py）：直接取目标时刻的上一周同期值，NAIVE_LAG = 1008 − 6 = 1002。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744"/>
      </w:tblGrid>
      <w:tr w14:paraId="27420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744" w:type="dxa"/>
          </w:tcPr>
          <w:p w14:paraId="19E8117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7EDAE8E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"seasonal_naive"</w:t>
            </w:r>
          </w:p>
          <w:p w14:paraId="277FA5F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"linear_regression"</w:t>
            </w:r>
          </w:p>
          <w:p w14:paraId="4CEED97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"gradient_boosting"</w:t>
            </w:r>
          </w:p>
          <w:p w14:paraId="0F4F223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SUPPORTED_MODELS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</w:p>
          <w:p w14:paraId="1188A94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975E85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小范围候选参数（协议 §6：验证集上比较少量关键参数，测试集不参与）</w:t>
            </w:r>
          </w:p>
          <w:p w14:paraId="4439FE2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GBT_CANDIDATES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{</w:t>
            </w:r>
          </w:p>
          <w:p w14:paraId="7EAE55D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"max_iter"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400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3D8D4EE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"learning_rate"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0.05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34FFC1D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"max_depth"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676CEC1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  <w:p w14:paraId="4E31182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42</w:t>
            </w:r>
          </w:p>
          <w:p w14:paraId="12E659D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历史同期基线取"目标时刻往前 7 天"的负荷：t+6-1008 = t-1002</w:t>
            </w:r>
          </w:p>
          <w:p w14:paraId="6B79E09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WEEK_STEPS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FORECAST_HORIZON</w:t>
            </w:r>
          </w:p>
          <w:p w14:paraId="38B2F1B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seasonal_naive_predict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0300244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1E583E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3B032EE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ValueError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0317F63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"存在起点不足7天历史的样本，无法取上一周同期值；"</w:t>
            </w:r>
          </w:p>
          <w:p w14:paraId="5F4CDCE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"协议规定可用起点必须 ≥ 1008，请检查切分逻辑"</w:t>
            </w:r>
          </w:p>
          <w:p w14:paraId="12E2B9E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)</w:t>
            </w:r>
          </w:p>
          <w:p w14:paraId="535DE08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1F76F7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240" w:afterAutospacing="0" w:line="120" w:lineRule="auto"/>
              <w:jc w:val="left"/>
              <w:textAlignment w:val="auto"/>
            </w:pPr>
          </w:p>
          <w:p w14:paraId="0B06AE1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train_linear_regression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Pipeline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74D394A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Pipeline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5067DE2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steps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</w:p>
          <w:p w14:paraId="065A17B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"scaler"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StandardScaler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()),</w:t>
            </w:r>
          </w:p>
          <w:p w14:paraId="2F095E3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"regressor"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()),</w:t>
            </w:r>
          </w:p>
          <w:p w14:paraId="7FA75E9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]</w:t>
            </w:r>
          </w:p>
          <w:p w14:paraId="6686306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0FBFE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240" w:afterAutospacing="0" w:line="120" w:lineRule="auto"/>
              <w:jc w:val="left"/>
              <w:textAlignment w:val="auto"/>
            </w:pPr>
          </w:p>
          <w:p w14:paraId="060C12A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train_gradient_boosting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669A61F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144892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1F684B7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223B05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71EC687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0849298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73C909F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24B32DD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HistGradientBoostingRegressor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6FA5BEC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HistGradientBoostingRegressor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0CA9497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3A0983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2704E30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1433A2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early_stopping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0ABD233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EB628D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color w:val="1F2430"/>
                <w:sz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</w:tc>
      </w:tr>
    </w:tbl>
    <w:p w14:paraId="77ADAC72">
      <w:pPr>
        <w:numPr>
          <w:numId w:val="0"/>
        </w:num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</w:p>
    <w:p w14:paraId="3BFDDE64">
      <w:pPr>
        <w:numPr>
          <w:ilvl w:val="0"/>
          <w:numId w:val="1"/>
        </w:numPr>
        <w:ind w:left="0" w:leftChars="0" w:firstLine="482" w:firstLine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特征构造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（src/features.py的build_zone_samples）：滞后特征只回溯起点及更早的观测；目标对齐周同期特征由include_target_week开关控制，天气特征由include_weather开关控制，供消融切换。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744"/>
      </w:tblGrid>
      <w:tr w14:paraId="76D40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744" w:type="dxa"/>
          </w:tcPr>
          <w:p w14:paraId="153B830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6204D02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build_zone_samples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40E9B4E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70DAD55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4B28401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7709263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include_weather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EEB265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include_candidates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1684CD9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include_target_week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B75356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tuple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Series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]:</w:t>
            </w:r>
          </w:p>
          <w:p w14:paraId="2362798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zone_label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zone_col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_resolve_zone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8EB381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_validate_df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include_weather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502CB5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C2CC5B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origin_bounds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4F49A5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first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AF505B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zone_col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98170E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ts_arr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"timestamp"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435851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693356D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E11D9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6B802BE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历史负荷滞后特征（相对起点t回溯，全部 ≤ t）</w:t>
            </w:r>
          </w:p>
          <w:p w14:paraId="0F09759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HISTORY_LAGS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():</w:t>
            </w:r>
          </w:p>
          <w:p w14:paraId="198D2D1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21A366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2D33D34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include_candidates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186A36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"load_lag_3"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75EA19E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回溯 24 小时均值：窗口 [t-143, t]，右端点 t，不含任何未来观测</w:t>
            </w:r>
          </w:p>
          <w:p w14:paraId="5810D70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roll24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(</w:t>
            </w:r>
          </w:p>
          <w:p w14:paraId="42EF71D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Series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E4E503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rolling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window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ROLL24_WINDOW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min_periods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ROLL24_WINDOW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510AB2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2DF50A0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E8BA26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)</w:t>
            </w:r>
          </w:p>
          <w:p w14:paraId="18EF7D0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"load_roll24_mean"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roll24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3A34DB7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过去 7 天同期均值：mean(y(t-144k))，k=1..7</w:t>
            </w:r>
          </w:p>
          <w:p w14:paraId="00A72D4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zeros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B831F0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SEASON_DAYS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):</w:t>
            </w:r>
          </w:p>
          <w:p w14:paraId="1AE1166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DAY_STEPS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449205C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"load_season7_mean"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SEASON_DAYS</w:t>
            </w:r>
          </w:p>
          <w:p w14:paraId="12954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7E4FFCC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目标时刻对齐的上周同期：y(t+6-1008) = y(t-1002)，与历史同期基线同源</w:t>
            </w:r>
          </w:p>
          <w:p w14:paraId="00CB5F2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（基线不消费特征矩阵，此处把同一条信息显式交给学习模型）</w:t>
            </w:r>
          </w:p>
          <w:p w14:paraId="61F0962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include_target_week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F6E8FF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TARGET_WEEK_LAG_NAME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TARGET_WEEK_LAG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2DF642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444B36D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时间特征：取预测起点 t 的时刻</w:t>
            </w:r>
          </w:p>
          <w:p w14:paraId="69CD88D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origin_dt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DatetimeIndex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ts_arr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])</w:t>
            </w:r>
          </w:p>
          <w:p w14:paraId="0A311D6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hour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origin_dt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hour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0CD230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"hour"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hour</w:t>
            </w:r>
          </w:p>
          <w:p w14:paraId="5160206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"dayofweek"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origin_dt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dayofweek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21D5F8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"month"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origin_dt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month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058DA2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"hour_sin"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hour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097FDA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"hour_cos"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hour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9EE66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290EE33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天气特征：t时刻同步观测（可用性假设见协议3.3）</w:t>
            </w:r>
          </w:p>
          <w:p w14:paraId="56B712A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include_weather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059FC00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WEATHER_COLUMNS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A6609F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2586D3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</w:p>
          <w:p w14:paraId="57969E9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Series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FORECAST_HORIZON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</w:p>
          <w:p w14:paraId="43515B7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"target"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026D34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F59530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"origin_timestamp"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ts_arr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183F1C8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"target_timestamp"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ts_arr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FORECAST_HORIZON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5374DB8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"zone"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zone_label</w:t>
            </w:r>
          </w:p>
          <w:p w14:paraId="012C1E1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"split"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split_labels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3EE8EC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2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color w:val="1F2430"/>
                <w:sz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meta</w:t>
            </w:r>
          </w:p>
        </w:tc>
      </w:tr>
    </w:tbl>
    <w:p w14:paraId="23B11ECF">
      <w:pPr>
        <w:ind w:left="0" w:leftChars="0" w:firstLine="0" w:firstLineChars="0"/>
        <w:jc w:val="both"/>
        <w:rPr>
          <w:rFonts w:hint="eastAsia" w:ascii="Times New Roman" w:hAnsi="Times New Roman" w:eastAsia="宋体" w:cs="Times New Roman"/>
          <w:b/>
          <w:color w:val="1F2430"/>
          <w:sz w:val="24"/>
        </w:rPr>
      </w:pPr>
    </w:p>
    <w:p w14:paraId="72121214">
      <w:pPr>
        <w:numPr>
          <w:ilvl w:val="0"/>
          <w:numId w:val="1"/>
        </w:numPr>
        <w:ind w:left="0" w:leftChars="0" w:firstLine="482" w:firstLine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梯度提升树训练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（src/models.py）：关闭内部早停（迭代数由验证集网格决定），固定种子保证可复现。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078"/>
      </w:tblGrid>
      <w:tr w14:paraId="0C6F0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78" w:type="dxa"/>
          </w:tcPr>
          <w:p w14:paraId="47DAC56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27B1E71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"seasonal_naive"</w:t>
            </w:r>
          </w:p>
          <w:p w14:paraId="31AEB73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"linear_regression"</w:t>
            </w:r>
          </w:p>
          <w:p w14:paraId="44A1E8D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"gradient_boosting"</w:t>
            </w:r>
          </w:p>
          <w:p w14:paraId="7BD9DC5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SUPPORTED_MODELS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434F0C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</w:p>
          <w:p w14:paraId="651A5C3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小范围候选参数（协议 §6：验证集上比较少量关键参数，测试集不参与）</w:t>
            </w:r>
          </w:p>
          <w:p w14:paraId="0C20FBB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GBT_CANDIDATES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{</w:t>
            </w:r>
          </w:p>
          <w:p w14:paraId="5F0CED2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"max_iter"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400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088788C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"learning_rate"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0.05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6E48B1A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"max_depth"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49BCAD0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  <w:p w14:paraId="139F632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42</w:t>
            </w:r>
          </w:p>
          <w:p w14:paraId="231BA3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</w:pPr>
          </w:p>
          <w:p w14:paraId="401A44A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历史同期基线取"目标时刻往前 7 天"的负荷：t+6-1008 = t-1002</w:t>
            </w:r>
          </w:p>
          <w:p w14:paraId="79ECE47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WEEK_STEPS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FORECAST_HORIZON</w:t>
            </w:r>
          </w:p>
          <w:p w14:paraId="6A3CB9A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240" w:afterAutospacing="0" w:line="144" w:lineRule="auto"/>
              <w:jc w:val="left"/>
              <w:textAlignment w:val="auto"/>
            </w:pPr>
          </w:p>
          <w:p w14:paraId="2995F0C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seasonal_naive_predict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</w:p>
          <w:p w14:paraId="654D5DB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ndarray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23CBEEA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"""历史同期基线预测。</w:t>
            </w:r>
          </w:p>
          <w:p w14:paraId="40A2F1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</w:pPr>
          </w:p>
          <w:p w14:paraId="14975C8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load: 负荷序列（与清洗后数据行序一致）；</w:t>
            </w:r>
          </w:p>
          <w:p w14:paraId="6AC47C9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origins: 预测起点行索引（协议保证 ≥ 1008）。</w:t>
            </w:r>
          </w:p>
          <w:p w14:paraId="17AB894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"""</w:t>
            </w:r>
          </w:p>
          <w:p w14:paraId="4A6783F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asarray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512742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E89B9D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ValueError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1846C9C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"存在起点不足7天历史的样本，无法取上一周同期值；"</w:t>
            </w:r>
          </w:p>
          <w:p w14:paraId="525897A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"协议规定可用起点必须 ≥ 1008，请检查切分逻辑"</w:t>
            </w:r>
          </w:p>
          <w:p w14:paraId="73B7837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)</w:t>
            </w:r>
          </w:p>
          <w:p w14:paraId="2FCF959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origins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NAIVE_LAG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4D6ADC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240" w:afterAutospacing="0" w:line="144" w:lineRule="auto"/>
              <w:jc w:val="left"/>
              <w:textAlignment w:val="auto"/>
            </w:pPr>
          </w:p>
          <w:p w14:paraId="786CD79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train_linear_regression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Pipeline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50A4CD1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"""标准化（仅训练集拟合）+ 线性回归。X_train 可为 DataFrame 或数组。"""</w:t>
            </w:r>
          </w:p>
          <w:p w14:paraId="351365B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Pipeline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46EA39D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steps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</w:p>
          <w:p w14:paraId="4E5B423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"scaler"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StandardScaler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()),</w:t>
            </w:r>
          </w:p>
          <w:p w14:paraId="634A097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"regressor"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LinearRegression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()),</w:t>
            </w:r>
          </w:p>
          <w:p w14:paraId="3EDD4BF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    ]</w:t>
            </w:r>
          </w:p>
          <w:p w14:paraId="103B7C8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8F9C6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240" w:afterAutospacing="0" w:line="144" w:lineRule="auto"/>
              <w:jc w:val="left"/>
              <w:textAlignment w:val="auto"/>
            </w:pPr>
          </w:p>
          <w:p w14:paraId="6E43DD0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train_gradient_boosting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50D58EB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5A95BB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9CA12E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A5B1B9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GBT_SEED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1E397E9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CD31B9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2BA11DB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3B9986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HistGradientBoostingRegressor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5FCF8DF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"""梯度提升树：关闭内部早停（迭代数由验证集网格决定），种子固定保证可复现。"""</w:t>
            </w:r>
          </w:p>
          <w:p w14:paraId="1D6D634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HistGradientBoostingRegressor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68EDBBE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45DE052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learning_rate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47C7F7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max_depth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2A8E725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early_stopping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44C550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random_state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234B26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    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y_train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B59929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44" w:lineRule="auto"/>
              <w:jc w:val="left"/>
              <w:textAlignment w:val="auto"/>
              <w:rPr>
                <w:rFonts w:hint="eastAsia" w:ascii="Consolas" w:hAnsi="Consolas" w:eastAsia="Consolas" w:cs="Consolas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bookmarkStart w:id="45" w:name="_GoBack"/>
            <w:bookmarkEnd w:id="45"/>
          </w:p>
        </w:tc>
      </w:tr>
    </w:tbl>
    <w:p w14:paraId="06BA8541">
      <w:pPr>
        <w:numPr>
          <w:numId w:val="0"/>
        </w:numPr>
        <w:ind w:left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</w:p>
    <w:sectPr>
      <w:footerReference r:id="rId19" w:type="default"/>
      <w:pgSz w:w="12240" w:h="15840"/>
      <w:pgMar w:top="1383" w:right="1689" w:bottom="1383" w:left="168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F4B95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B31CE">
    <w:pPr>
      <w:pStyle w:val="1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A40B79">
    <w:pPr>
      <w:pStyle w:val="10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33BF7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2EE01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0FB45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03F7BC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C5CAD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4AAAD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83C9E7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5C7D46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4EBD1D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F19DC">
    <w:pPr>
      <w:pStyle w:val="11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7DCE18">
    <w:pPr>
      <w:pStyle w:val="11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7003FC">
    <w:pPr>
      <w:pStyle w:val="11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66453"/>
    <w:multiLevelType w:val="singleLevel"/>
    <w:tmpl w:val="7C86645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2DF"/>
    <w:rsid w:val="000814DE"/>
    <w:rsid w:val="00233623"/>
    <w:rsid w:val="00550CA7"/>
    <w:rsid w:val="005953DA"/>
    <w:rsid w:val="00692C94"/>
    <w:rsid w:val="00880E1E"/>
    <w:rsid w:val="008B3316"/>
    <w:rsid w:val="00910A56"/>
    <w:rsid w:val="00963A2E"/>
    <w:rsid w:val="009972DF"/>
    <w:rsid w:val="009F13B2"/>
    <w:rsid w:val="00B37FCB"/>
    <w:rsid w:val="00B9268D"/>
    <w:rsid w:val="00C55963"/>
    <w:rsid w:val="00C655AC"/>
    <w:rsid w:val="00ED1A38"/>
    <w:rsid w:val="00FC2F9E"/>
    <w:rsid w:val="22DE346D"/>
    <w:rsid w:val="29C601D3"/>
    <w:rsid w:val="43A00481"/>
    <w:rsid w:val="4DE71A0D"/>
    <w:rsid w:val="5A0377E1"/>
    <w:rsid w:val="65E90AB1"/>
    <w:rsid w:val="6C98782A"/>
    <w:rsid w:val="73CB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before="100" w:beforeAutospacing="1" w:line="440" w:lineRule="atLeast"/>
      <w:ind w:firstLine="480" w:firstLineChars="200"/>
      <w:jc w:val="both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uiPriority w:val="0"/>
    <w:pPr>
      <w:jc w:val="left"/>
      <w:outlineLvl w:val="0"/>
    </w:pPr>
    <w:rPr>
      <w:rFonts w:ascii="Times New Roman" w:hAnsi="Times New Roman" w:eastAsia="黑体" w:cs="Times New Roman"/>
      <w:b/>
      <w:sz w:val="28"/>
      <w:lang w:val="en-US" w:eastAsia="zh-CN" w:bidi="ar-SA"/>
    </w:rPr>
  </w:style>
  <w:style w:type="paragraph" w:styleId="3">
    <w:name w:val="heading 2"/>
    <w:link w:val="27"/>
    <w:uiPriority w:val="0"/>
    <w:pPr>
      <w:spacing w:before="0" w:after="0" w:line="408" w:lineRule="auto"/>
      <w:jc w:val="left"/>
      <w:outlineLvl w:val="1"/>
    </w:pPr>
    <w:rPr>
      <w:rFonts w:ascii="Times New Roman" w:hAnsi="Times New Roman" w:eastAsia="黑体" w:cs="Times New Roman"/>
      <w:b/>
      <w:sz w:val="24"/>
      <w:lang w:val="en-US" w:eastAsia="zh-CN" w:bidi="ar-SA"/>
    </w:rPr>
  </w:style>
  <w:style w:type="paragraph" w:styleId="4">
    <w:name w:val="heading 3"/>
    <w:uiPriority w:val="0"/>
    <w:pPr>
      <w:jc w:val="left"/>
      <w:outlineLvl w:val="2"/>
    </w:pPr>
    <w:rPr>
      <w:rFonts w:ascii="Times New Roman" w:hAnsi="Times New Roman" w:eastAsia="黑体" w:cs="Times New Roman"/>
      <w:b/>
      <w:sz w:val="27"/>
      <w:lang w:val="en-US" w:eastAsia="zh-CN" w:bidi="ar-SA"/>
    </w:rPr>
  </w:style>
  <w:style w:type="character" w:default="1" w:styleId="19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6">
    <w:name w:val="Body Text"/>
    <w:uiPriority w:val="0"/>
    <w:pPr>
      <w:spacing w:after="12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7">
    <w:name w:val="toc 5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8">
    <w:name w:val="toc 3"/>
    <w:qFormat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9">
    <w:name w:val="toc 8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0">
    <w:name w:val="footer"/>
    <w:basedOn w:val="1"/>
    <w:link w:val="21"/>
    <w:unhideWhenUsed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link w:val="20"/>
    <w:unhideWhenUsed/>
    <w:uiPriority w:val="99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qFormat/>
    <w:uiPriority w:val="0"/>
    <w:pPr>
      <w:tabs>
        <w:tab w:val="right" w:leader="dot" w:pos="9072"/>
      </w:tabs>
      <w:spacing w:before="360" w:after="360" w:line="360" w:lineRule="auto"/>
    </w:pPr>
    <w:rPr>
      <w:rFonts w:ascii="Times New Roman" w:hAnsi="Times New Roman" w:eastAsia="宋体" w:cs="Times New Roman"/>
      <w:b/>
      <w:kern w:val="2"/>
      <w:sz w:val="22"/>
      <w:szCs w:val="22"/>
      <w:lang w:val="en-US" w:eastAsia="zh-CN" w:bidi="ar-SA"/>
    </w:rPr>
  </w:style>
  <w:style w:type="paragraph" w:styleId="13">
    <w:name w:val="toc 4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4">
    <w:name w:val="toc 6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5">
    <w:name w:val="toc 2"/>
    <w:qFormat/>
    <w:uiPriority w:val="0"/>
    <w:pPr>
      <w:tabs>
        <w:tab w:val="right" w:leader="dot" w:pos="9072"/>
      </w:tabs>
      <w:spacing w:after="60" w:line="360" w:lineRule="auto"/>
      <w:ind w:left="420"/>
    </w:pPr>
    <w:rPr>
      <w:rFonts w:ascii="Times New Roman" w:hAnsi="Times New Roman" w:eastAsia="宋体" w:cs="Times New Roman"/>
      <w:b/>
      <w:kern w:val="2"/>
      <w:sz w:val="22"/>
      <w:szCs w:val="22"/>
      <w:lang w:val="en-US" w:eastAsia="zh-CN" w:bidi="ar-SA"/>
    </w:rPr>
  </w:style>
  <w:style w:type="paragraph" w:styleId="16">
    <w:name w:val="toc 9"/>
    <w:qFormat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table" w:styleId="18">
    <w:name w:val="Table Grid"/>
    <w:basedOn w:val="17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页眉 字符"/>
    <w:basedOn w:val="19"/>
    <w:link w:val="11"/>
    <w:uiPriority w:val="99"/>
    <w:rPr>
      <w:sz w:val="18"/>
      <w:szCs w:val="18"/>
    </w:rPr>
  </w:style>
  <w:style w:type="character" w:customStyle="1" w:styleId="21">
    <w:name w:val="页脚 字符"/>
    <w:basedOn w:val="19"/>
    <w:link w:val="10"/>
    <w:uiPriority w:val="99"/>
    <w:rPr>
      <w:sz w:val="18"/>
      <w:szCs w:val="18"/>
    </w:rPr>
  </w:style>
  <w:style w:type="paragraph" w:customStyle="1" w:styleId="22">
    <w:name w:val="TOC 标题1"/>
    <w:next w:val="1"/>
    <w:qFormat/>
    <w:uiPriority w:val="0"/>
    <w:pPr>
      <w:spacing w:before="480" w:line="276" w:lineRule="auto"/>
    </w:pPr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customStyle="1" w:styleId="23">
    <w:name w:val="HTML 代码1"/>
    <w:qFormat/>
    <w:uiPriority w:val="0"/>
    <w:rPr>
      <w:rFonts w:ascii="Courier New" w:hAnsi="Courier New" w:eastAsia="Courier New" w:cs="Courier New"/>
      <w:kern w:val="2"/>
      <w:szCs w:val="24"/>
      <w:lang w:val="en-US" w:eastAsia="zh-CN" w:bidi="ar-SA"/>
    </w:rPr>
  </w:style>
  <w:style w:type="paragraph" w:customStyle="1" w:styleId="24">
    <w:name w:val="WPSOffice手动目录 1"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25">
    <w:name w:val="WPSOffice手动目录 2"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26">
    <w:name w:val="WPSOffice手动目录 3"/>
    <w:uiPriority w:val="0"/>
    <w:pPr>
      <w:ind w:left="400" w:leftChars="400"/>
    </w:pPr>
    <w:rPr>
      <w:rFonts w:asciiTheme="minorHAnsi" w:hAnsiTheme="minorHAnsi" w:eastAsiaTheme="minorEastAsia" w:cstheme="minorBidi"/>
      <w:lang w:val="en-US" w:eastAsia="zh-CN" w:bidi="ar-SA"/>
    </w:rPr>
  </w:style>
  <w:style w:type="character" w:customStyle="1" w:styleId="27">
    <w:name w:val="标题 2 字符"/>
    <w:link w:val="3"/>
    <w:uiPriority w:val="0"/>
    <w:rPr>
      <w:rFonts w:ascii="Times New Roman" w:hAnsi="Times New Roman" w:eastAsia="黑体" w:cs="Times New Roman"/>
      <w:b/>
      <w:kern w:val="2"/>
      <w:sz w:val="24"/>
      <w:szCs w:val="24"/>
      <w:lang w:val="en-US" w:eastAsia="zh-CN" w:bidi="ar-SA"/>
    </w:rPr>
  </w:style>
  <w:style w:type="paragraph" w:customStyle="1" w:styleId="28">
    <w:name w:val="HTML 代码2"/>
    <w:uiPriority w:val="0"/>
    <w:rPr>
      <w:rFonts w:ascii="Courier New" w:hAnsi="Courier New" w:eastAsia="Courier New" w:cs="Courier New"/>
      <w:lang w:val="en-US" w:eastAsia="zh-CN" w:bidi="ar-SA"/>
    </w:rPr>
  </w:style>
  <w:style w:type="paragraph" w:customStyle="1" w:styleId="29">
    <w:name w:val="HTML 代码3"/>
    <w:uiPriority w:val="0"/>
    <w:rPr>
      <w:rFonts w:ascii="Courier New" w:hAnsi="Courier New" w:eastAsia="Courier New" w:cs="Courier New"/>
      <w:lang w:val="en-US" w:eastAsia="zh-CN" w:bidi="ar-SA"/>
    </w:rPr>
  </w:style>
  <w:style w:type="paragraph" w:customStyle="1" w:styleId="30">
    <w:name w:val="HTML 代码4"/>
    <w:uiPriority w:val="0"/>
    <w:rPr>
      <w:rFonts w:ascii="Courier New" w:hAnsi="Courier New" w:eastAsia="Courier New" w:cs="Courier New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12.png"/><Relationship Id="rId31" Type="http://schemas.openxmlformats.org/officeDocument/2006/relationships/image" Target="media/image11.png"/><Relationship Id="rId30" Type="http://schemas.openxmlformats.org/officeDocument/2006/relationships/image" Target="media/image10.png"/><Relationship Id="rId3" Type="http://schemas.openxmlformats.org/officeDocument/2006/relationships/footnotes" Target="footnotes.xml"/><Relationship Id="rId29" Type="http://schemas.openxmlformats.org/officeDocument/2006/relationships/image" Target="media/image9.png"/><Relationship Id="rId28" Type="http://schemas.openxmlformats.org/officeDocument/2006/relationships/image" Target="media/image8.png"/><Relationship Id="rId27" Type="http://schemas.openxmlformats.org/officeDocument/2006/relationships/image" Target="media/image7.png"/><Relationship Id="rId26" Type="http://schemas.openxmlformats.org/officeDocument/2006/relationships/image" Target="media/image6.png"/><Relationship Id="rId25" Type="http://schemas.openxmlformats.org/officeDocument/2006/relationships/image" Target="media/image5.png"/><Relationship Id="rId24" Type="http://schemas.openxmlformats.org/officeDocument/2006/relationships/image" Target="media/image4.png"/><Relationship Id="rId23" Type="http://schemas.openxmlformats.org/officeDocument/2006/relationships/image" Target="media/image3.png"/><Relationship Id="rId22" Type="http://schemas.openxmlformats.org/officeDocument/2006/relationships/image" Target="media/image2.png"/><Relationship Id="rId21" Type="http://schemas.openxmlformats.org/officeDocument/2006/relationships/image" Target="media/image1.pn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oter" Target="footer12.xml"/><Relationship Id="rId18" Type="http://schemas.openxmlformats.org/officeDocument/2006/relationships/footer" Target="footer11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宋体"/>
        <a:cs typeface="Times New Roman"/>
      </a:majorFont>
      <a:minorFont>
        <a:latin typeface="Times New Roman"/>
        <a:ea typeface="宋体"/>
        <a:cs typeface="Times New Roman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6903</Words>
  <Characters>9104</Characters>
  <Lines>974</Lines>
  <Paragraphs>429</Paragraphs>
  <TotalTime>16</TotalTime>
  <ScaleCrop>false</ScaleCrop>
  <LinksUpToDate>false</LinksUpToDate>
  <CharactersWithSpaces>9298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2026-10-21T23:55:00Z</dcterms:created>
  <dc:creator>xiang</dc:creator>
  <cp:lastModifiedBy>WangXY</cp:lastModifiedBy>
  <cp:lastPrinted>2026-10-22T06:02:00Z</cp:lastPrinted>
  <dcterms:modified xsi:type="dcterms:W3CDTF">2026-10-22T06:21:32Z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  <property fmtid="{D5CDD505-2E9C-101B-9397-08002B2CF9AE}" pid="3" name="KSOTemplateDocerSaveRecord">
    <vt:lpwstr>eyJoZGlkIjoiNzQ4ODZmOWZkOTFhMmM5Njk2NGU5MGI2YzFiZGM0ZjgiLCJ1c2VySWQiOiIyMzc4NDA5MzgifQ==</vt:lpwstr>
  </property>
  <property fmtid="{D5CDD505-2E9C-101B-9397-08002B2CF9AE}" pid="4" name="KSOProductBuildVer">
    <vt:lpwstr>2052-12.1.0.29161</vt:lpwstr>
  </property>
  <property fmtid="{D5CDD505-2E9C-101B-9397-08002B2CF9AE}" pid="5" name="ICV">
    <vt:lpwstr>B6F46C51CC634B0BBE78112B8259D99C_13</vt:lpwstr>
  </property>
</Properties>
</file>