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 w:before="0" w:after="0"/>
        <w:ind w:firstLine="640"/>
        <w:rPr>
          <w:rFonts w:ascii="方正楷体_GBK" w:hAnsi="方正楷体_GBK" w:eastAsia="方正楷体_GBK"/>
          <w:sz w:val="32"/>
          <w:szCs w:val="32"/>
          <w:lang w:eastAsia="zh-CN"/>
        </w:rPr>
      </w:pPr>
      <w:r>
        <w:rPr>
          <w:rFonts w:ascii="方正楷体_GBK" w:hAnsi="方正楷体_GBK" w:eastAsia="方正楷体_GBK"/>
          <w:sz w:val="32"/>
          <w:szCs w:val="32"/>
          <w:lang w:eastAsia="zh-CN"/>
        </w:rPr>
        <w:t xml:space="preserve">（三）系统及电气二次部分 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1. 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 xml:space="preserve">系统继电保护 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船闸110千伏变电站配置故障录波装置1套 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2. 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 xml:space="preserve">调度自动化 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ascii="方正仿宋_GBK" w:hAnsi="方正仿宋_GBK" w:eastAsia="方正仿宋_GBK"/>
          <w:sz w:val="32"/>
          <w:szCs w:val="32"/>
          <w:lang w:eastAsia="zh-CN"/>
        </w:rPr>
        <w:t>（</w:t>
      </w:r>
      <w:r>
        <w:rPr>
          <w:rFonts w:eastAsia="方正仿宋_GBK" w:ascii="方正仿宋_GBK" w:hAnsi="方正仿宋_GBK"/>
          <w:sz w:val="32"/>
          <w:szCs w:val="32"/>
          <w:lang w:eastAsia="zh-CN"/>
        </w:rPr>
        <w:t>1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 xml:space="preserve">）电能量计量系统 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船闸110千伏变电站主变高压、低压侧设置关口计量点，计量精度为0.2S级，其他出线为平衡计量点，计量精度为0.5级。本期维持前期电能量终端服务器现状。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3. 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>电气二次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ascii="方正仿宋_GBK" w:hAnsi="方正仿宋_GBK" w:eastAsia="方正仿宋_GBK"/>
          <w:sz w:val="32"/>
          <w:szCs w:val="32"/>
          <w:lang w:eastAsia="zh-CN"/>
        </w:rPr>
        <w:t>（</w:t>
      </w:r>
      <w:r>
        <w:rPr>
          <w:rFonts w:eastAsia="方正仿宋_GBK" w:ascii="方正仿宋_GBK" w:hAnsi="方正仿宋_GBK"/>
          <w:sz w:val="32"/>
          <w:szCs w:val="32"/>
          <w:lang w:eastAsia="zh-CN"/>
        </w:rPr>
        <w:t>1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>）计算机监控系统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船闸110千伏变电站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>计算机监控系统本期扩容，扩建间隔测控装置单套配置。</w:t>
      </w: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完善二次设备室及10kV开关柜内交换机。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ascii="方正仿宋_GBK" w:hAnsi="方正仿宋_GBK" w:eastAsia="方正仿宋_GBK"/>
          <w:sz w:val="32"/>
          <w:szCs w:val="32"/>
          <w:lang w:eastAsia="zh-CN"/>
        </w:rPr>
        <w:t>（</w:t>
      </w: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2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 xml:space="preserve">）元件保护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船闸110千伏变电站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本期新增3号主变配置双套主后合一保护以及一套非电量保护，组1面柜，集中布置于二次设备室。 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船闸110千伏变电站本期10kV线路、分段、无功补偿装置及接地变采用保护测控集成装置，单套配置。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>。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ascii="方正仿宋_GBK" w:hAnsi="方正仿宋_GBK" w:eastAsia="方正仿宋_GBK"/>
          <w:sz w:val="32"/>
          <w:szCs w:val="32"/>
          <w:lang w:eastAsia="zh-CN"/>
        </w:rPr>
        <w:t>（</w:t>
      </w:r>
      <w:r>
        <w:rPr>
          <w:rFonts w:eastAsia="方正仿宋_GBK" w:ascii="方正仿宋_GBK" w:hAnsi="方正仿宋_GBK"/>
          <w:sz w:val="32"/>
          <w:szCs w:val="32"/>
          <w:lang w:eastAsia="zh-CN"/>
        </w:rPr>
        <w:t>3</w:t>
      </w:r>
      <w:r>
        <w:rPr>
          <w:rFonts w:ascii="方正仿宋_GBK" w:hAnsi="方正仿宋_GBK" w:eastAsia="方正仿宋_GBK"/>
          <w:sz w:val="32"/>
          <w:szCs w:val="32"/>
          <w:lang w:eastAsia="zh-CN"/>
        </w:rPr>
        <w:t>）其他：</w:t>
      </w:r>
    </w:p>
    <w:p>
      <w:pPr>
        <w:pStyle w:val="Normal"/>
        <w:spacing w:lineRule="exact" w:line="560" w:before="0" w:after="0"/>
        <w:ind w:firstLine="640"/>
        <w:rPr>
          <w:rFonts w:ascii="方正仿宋_GBK" w:hAnsi="方正仿宋_GBK" w:eastAsia="方正仿宋_GBK"/>
          <w:sz w:val="32"/>
          <w:szCs w:val="32"/>
          <w:lang w:eastAsia="zh-CN"/>
        </w:rPr>
      </w:pPr>
      <w:r>
        <w:rPr>
          <w:rFonts w:eastAsia="方正仿宋_GBK" w:ascii="方正仿宋_GBK" w:hAnsi="方正仿宋_GBK"/>
          <w:sz w:val="32"/>
          <w:szCs w:val="32"/>
          <w:lang w:eastAsia="zh-CN"/>
        </w:rPr>
        <w:t xml:space="preserve">船闸110千伏变电站配置主变油色谱在线监测系统1套，视频监控系统扩容。 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仿宋_GB2312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方正楷体_GBK">
    <w:charset w:val="01"/>
    <w:family w:val="roman"/>
    <w:pitch w:val="variable"/>
  </w:font>
  <w:font w:name="方正仿宋_GBK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a9e"/>
    <w:pPr>
      <w:widowControl/>
      <w:bidi w:val="0"/>
      <w:spacing w:lineRule="auto" w:line="276" w:before="0" w:after="200"/>
      <w:jc w:val="left"/>
    </w:pPr>
    <w:rPr>
      <w:rFonts w:ascii="仿宋_GB2312" w:hAnsi="仿宋_GB2312" w:eastAsia="仿宋_GB2312" w:cs="" w:cstheme="minorBid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页眉 字符"/>
    <w:basedOn w:val="DefaultParagraphFont"/>
    <w:uiPriority w:val="99"/>
    <w:qFormat/>
    <w:rsid w:val="00e618bf"/>
    <w:rPr/>
  </w:style>
  <w:style w:type="character" w:styleId="Style6" w:customStyle="1">
    <w:name w:val="页脚 字符"/>
    <w:basedOn w:val="DefaultParagraphFont"/>
    <w:uiPriority w:val="99"/>
    <w:qFormat/>
    <w:rsid w:val="00e618bf"/>
    <w:rPr/>
  </w:style>
  <w:style w:type="character" w:styleId="1" w:customStyle="1">
    <w:name w:val="标题 1 字符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标题 2 字符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标题 3 字符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Style7" w:customStyle="1">
    <w:name w:val="标题 字符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8" w:customStyle="1">
    <w:name w:val="副标题 字符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Style9" w:customStyle="1">
    <w:name w:val="正文文本 字符"/>
    <w:basedOn w:val="DefaultParagraphFont"/>
    <w:uiPriority w:val="99"/>
    <w:qFormat/>
    <w:rsid w:val="00aa1d8d"/>
    <w:rPr/>
  </w:style>
  <w:style w:type="character" w:styleId="21" w:customStyle="1">
    <w:name w:val="正文文本 2 字符"/>
    <w:basedOn w:val="DefaultParagraphFont"/>
    <w:link w:val="BodyText2"/>
    <w:uiPriority w:val="99"/>
    <w:qFormat/>
    <w:rsid w:val="00aa1d8d"/>
    <w:rPr/>
  </w:style>
  <w:style w:type="character" w:styleId="31" w:customStyle="1">
    <w:name w:val="正文文本 3 字符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宏文本 字符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Style11" w:customStyle="1">
    <w:name w:val="引用 字符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4" w:customStyle="1">
    <w:name w:val="标题 4 字符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5" w:customStyle="1">
    <w:name w:val="标题 5 字符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6" w:customStyle="1">
    <w:name w:val="标题 6 字符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7" w:customStyle="1">
    <w:name w:val="标题 7 字符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8" w:customStyle="1">
    <w:name w:val="标题 8 字符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9" w:customStyle="1">
    <w:name w:val="标题 9 字符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明显引用 字符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  <w:style w:type="paragraph" w:styleId="Style15">
    <w:name w:val="页眉与页脚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21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1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tyle11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Style12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16" w:default="1">
    <w:name w:val="无列表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LibreOffice/25.2.5.2$Linux_X86_64 LibreOffice_project/fb4792146257752f54eab576deb869869b108571</Application>
  <AppVersion>15.0000</AppVersion>
  <Pages>2</Pages>
  <Words>185</Words>
  <Characters>667</Characters>
  <CharactersWithSpaces>757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2025-07-19T02:45:00Z</dcterms:created>
  <dc:creator>python-docx</dc:creator>
  <dc:description>generated by python-docx</dc:description>
  <dc:language>zh-CN</dc:language>
  <cp:lastModifiedBy/>
  <dcterms:modified xsi:type="dcterms:W3CDTF">2025-07-23T16:56:48Z</dcterms:modified>
  <cp:revision>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