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21D07">
      <w:pPr>
        <w:spacing w:before="480" w:after="480" w:line="288" w:lineRule="auto"/>
        <w:ind w:left="0"/>
      </w:pPr>
      <w:bookmarkStart w:id="29" w:name="_GoBack"/>
      <w:bookmarkEnd w:id="29"/>
      <w:r>
        <w:rPr>
          <w:rFonts w:ascii="Arial" w:hAnsi="Arial" w:eastAsia="等线" w:cs="Arial"/>
          <w:b/>
          <w:sz w:val="52"/>
        </w:rPr>
        <w:t>综合管控平台移动端详细方案设计</w:t>
      </w:r>
    </w:p>
    <w:p w14:paraId="0107182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一、设计总则</w:t>
      </w:r>
      <w:bookmarkEnd w:id="0"/>
    </w:p>
    <w:p w14:paraId="65CE64E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设计核心</w:t>
      </w:r>
      <w:bookmarkEnd w:id="1"/>
    </w:p>
    <w:p w14:paraId="42B6F5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“最简设计、高效便捷、聚焦核心”原则，适配露天煤矿移动端使用场景（户外作业、单手操作、快速获取关键信息），简化操作路径，减少冗余功能，确保核心数据一眼可见、常用功能一键可达，同时兼顾安全性和实用性，适配矿山复杂网络环境</w:t>
      </w:r>
    </w:p>
    <w:p w14:paraId="1E98C76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适配要求</w:t>
      </w:r>
      <w:bookmarkEnd w:id="2"/>
    </w:p>
    <w:p w14:paraId="5300D65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设备适配：支持主流安卓（Android 10.0及以上）、</w:t>
      </w:r>
      <w:r>
        <w:rPr>
          <w:rFonts w:hint="eastAsia" w:ascii="Arial" w:hAnsi="Arial" w:eastAsia="等线" w:cs="Arial"/>
          <w:sz w:val="22"/>
          <w:lang w:val="en-US" w:eastAsia="zh-CN"/>
        </w:rPr>
        <w:t>鸿蒙</w:t>
      </w:r>
      <w:r>
        <w:rPr>
          <w:rFonts w:ascii="Arial" w:hAnsi="Arial" w:eastAsia="等线" w:cs="Arial"/>
          <w:sz w:val="22"/>
        </w:rPr>
        <w:t>移动端设备</w:t>
      </w:r>
    </w:p>
    <w:p w14:paraId="4762F48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屏幕适配：支持3.5-7.0英寸手机屏幕，字体、图标自适应，避免过小或过大，确保户外强光下清晰可见；</w:t>
      </w:r>
    </w:p>
    <w:p w14:paraId="254F6F1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操作适配：支持单手操作，核心按钮、菜单间距合理，避免误触，操作步骤不超过3步即可完成核心需求。</w:t>
      </w:r>
    </w:p>
    <w:p w14:paraId="66390FF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设计规范</w:t>
      </w:r>
      <w:bookmarkEnd w:id="3"/>
    </w:p>
    <w:p w14:paraId="2E299C3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色彩：主色调采用深蓝色（#1E40AF，代表安全、专业），辅助色采用橙色（#F97316，代表警示、醒目），背景色为浅灰色（#F3F4F6，护眼、清晰），文字色为深灰色（#1F2937，易读）；</w:t>
      </w:r>
    </w:p>
    <w:p w14:paraId="2E18B44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字体：标题采用加粗黑体（18-20sp），正文采用常规宋体（14-16sp），警示信息采用橙色加粗字体，核心数据采用加粗黑体（20-22sp）；</w:t>
      </w:r>
    </w:p>
    <w:p w14:paraId="686E7B8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图标：采用简约线性图标，尺寸统一（24×24dp），色彩与整体风格一致，避免复杂图案，确保快速识别；</w:t>
      </w:r>
    </w:p>
    <w:p w14:paraId="202E703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交互：页面切换采用滑动切换，无多余动画，加载状态显示简易加载图标，报错提示清晰（如“网络异常，请重试”“数据加载失败”）。</w:t>
      </w:r>
    </w:p>
    <w:p w14:paraId="38C35C8C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二、整体架构设计（底部一级菜单+顶部二级菜单）</w:t>
      </w:r>
      <w:bookmarkEnd w:id="4"/>
    </w:p>
    <w:p w14:paraId="42AD1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级菜单固定在页面底部（5个，不可滑动，始终可见），点击一级菜单切换对应主页面；二级菜单仅在“安全环保中心”“生产运营”页面顶部显示（可滑动，默认显示第一个子菜单），点击二级菜单切换对应子页面；其余页面（首页、知识库、我的）无二级菜单，仅显示主内容。</w:t>
      </w:r>
    </w:p>
    <w:p w14:paraId="69FDC1A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一级菜单（底部，5个，固定）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C396A3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885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菜单名称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E4B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图标设计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49E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35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默认状态</w:t>
            </w:r>
          </w:p>
        </w:tc>
      </w:tr>
      <w:tr w14:paraId="29057CD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EE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295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简约“首页”图标（房屋形状，主色调，选中时加深）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08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展示核心数据看板、待办提醒、常用功能快捷菜单，是用户进入平台的默认页面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F1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默认选中，进入平台直接显示首页</w:t>
            </w:r>
          </w:p>
        </w:tc>
      </w:tr>
      <w:tr w14:paraId="25415B9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E3A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安全环保中心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C37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简约“安全环保”图标（盾牌+绿叶形状，主色调）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E6C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包含安全监测、预警处置等6个二级菜单，聚焦安全、环保全流程管控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E0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未选中，点击切换至该页面，默认显示第一个二级菜单（安全监测）</w:t>
            </w:r>
          </w:p>
        </w:tc>
      </w:tr>
      <w:tr w14:paraId="1DD191F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A6E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生产运营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BB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简约“生产运营”图标（挖掘机+货车形状，主色调）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EE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包含生产监控、综合自动化等5个二级菜单，覆盖生产、产运销全环节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A4F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未选中，点击切换至该页面，默认显示第一个二级菜单（生产监控）</w:t>
            </w:r>
          </w:p>
        </w:tc>
      </w:tr>
      <w:tr w14:paraId="78B10FE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331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A84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简约“知识库”图标（书本形状，主色调）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917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展示矿山技术资料、操作规范等，支持搜索、查阅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7DD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未选中，点击切换至知识库页面</w:t>
            </w:r>
          </w:p>
        </w:tc>
      </w:tr>
      <w:tr w14:paraId="16A8215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67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F85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简约“个人中心”图标（人形轮廓，主色调）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82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展示个人信息、账号设置、消息通知等，支持退出登录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04E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未选中，点击切换至个人中心页面</w:t>
            </w:r>
          </w:p>
        </w:tc>
      </w:tr>
    </w:tbl>
    <w:p w14:paraId="125FBFE6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2.2 二级菜单（顶部，仅安全环保、生产运营页面显示）</w:t>
      </w:r>
      <w:bookmarkEnd w:id="6"/>
    </w:p>
    <w:p w14:paraId="181652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二级菜单采用横向滑动布局，超出屏幕部分可左右滑动，选中状态显示橙色下划线，字体加粗，未选中状态为默认文字色，无下划线。</w:t>
      </w:r>
    </w:p>
    <w:p w14:paraId="01405E53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三、各模块详细设计</w:t>
      </w:r>
      <w:bookmarkEnd w:id="7"/>
    </w:p>
    <w:p w14:paraId="17F4F076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3.1 首页（无二级菜单，仅1个页面）</w:t>
      </w:r>
      <w:bookmarkEnd w:id="8"/>
    </w:p>
    <w:p w14:paraId="73C27A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首页核心目标：快速展示核心数据、待办事项、常用功能，减少用户操作路径，适配户外快速查看需求，页面布局从上到下依次为：标题栏、核心数据看板、待办提醒、常用功能宫格，无多余内容。</w:t>
      </w:r>
    </w:p>
    <w:p w14:paraId="797D81B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3.1.1 标题栏</w:t>
      </w:r>
      <w:bookmarkEnd w:id="9"/>
    </w:p>
    <w:p w14:paraId="074A34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顶部固定标题栏，左侧无图标，中间显示“露天煤矿综合管控平台”（加粗，主色调），右侧显示“刷新”图标（24×24dp），点击可手动刷新页面数据（默认每5分钟自动刷新一次核心数据）。</w:t>
      </w:r>
    </w:p>
    <w:p w14:paraId="094BE8F7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3.1.2 核心数据看板（页面核心，占比40%）</w:t>
      </w:r>
      <w:bookmarkEnd w:id="10"/>
    </w:p>
    <w:p w14:paraId="5E41FB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卡片式布局，分区域展示生产、安全、设备、环保、产存销5类核心数据，每类数据一个卡片，卡片采用浅灰色背景，边框轻微加粗，核心数据字体放大加粗（22sp），辅助文字（单位、说明）字体缩小（12sp），色彩区分数据类型：</w:t>
      </w:r>
    </w:p>
    <w:p w14:paraId="1208C0F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生产核心数据卡片（占2格）：左侧“今日采煤量”（单位：万吨，黑色加粗），右侧“今日剥离量”（单位：万立方米，黑色加粗），下方标注“运输量：XXX万吨”（灰色字体）；</w:t>
      </w:r>
    </w:p>
    <w:p w14:paraId="24292B8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安全核心数据卡片（占2格）：左侧“未处理风险”（单位：项，橙色加粗，若为0则显示黑色），右侧“未处理隐患”（单位：项，橙色加粗，若为0则显示黑色）；</w:t>
      </w:r>
    </w:p>
    <w:p w14:paraId="219A518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设备核心数据卡片（占2格）：左侧“在线设备”（单位：台，绿色加粗），右侧“故障设备”（单位：台，红色加粗，若为0则显示黑色）；</w:t>
      </w:r>
    </w:p>
    <w:p w14:paraId="34E48F4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环保核心数据卡片（占2格）：展示4项核心环保指标，分2行排列，每行2项，分别为“水质：达标”“土壤：达标”“固废：合规”“大气：达标”（达标显示绿色，异常显示红色，字体加粗）；</w:t>
      </w:r>
    </w:p>
    <w:p w14:paraId="2E996C2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产存销核心数据卡片（占2格）：左侧“今日产量”（单位：万吨，黑色加粗），右侧“当前库存”（单位：万吨，黑色加粗），下方标注“今日销量：XXX万吨”（灰色字体）。</w:t>
      </w:r>
    </w:p>
    <w:p w14:paraId="3A2729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说明：所有数据支持点击查看详情（跳转至对应二级菜单详情页，如点击“未处理隐患”，跳转至安全环保中心→隐患排查页面）；数据异常时（如故障设备＞0、未处理隐患＞0），卡片边框显示对应警示色（红色/橙色），并轻微闪烁（每2秒一次，不影响视觉体验）。</w:t>
      </w:r>
    </w:p>
    <w:p w14:paraId="644B6867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3.1.3 待办提醒（占比20%）</w:t>
      </w:r>
      <w:bookmarkEnd w:id="11"/>
    </w:p>
    <w:p w14:paraId="402A76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为“待办提醒”（加粗，16sp，主色调），下方为待办列表，最多显示3条（超出部分显示“更多待办”，点击跳转至对应待办详情），每条待办包含：待办类型（如“隐患整改”“预警处置”）、待办内容（简洁描述，不超过15字）、截止时间（如“今日18:00前”），待办条目左侧显示橙色警示点，点击待办条目直接跳转至处理页面。</w:t>
      </w:r>
    </w:p>
    <w:p w14:paraId="5CA603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示例：【隐患整改】边坡隐患需整改（今日18:00前）</w:t>
      </w:r>
    </w:p>
    <w:p w14:paraId="5C11FD23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3.1.4 常用功能快捷菜单（宫格，占比30%）</w:t>
      </w:r>
      <w:bookmarkEnd w:id="12"/>
    </w:p>
    <w:p w14:paraId="39C288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采用3×3宫格布局（9个常用功能，覆盖高频操作），每个宫格包含图标+文字（文字不超过6字），图标尺寸24×24dp，文字14sp，点击宫格直接跳转至对应功能页面，宫格功能按使用频率排序：</w:t>
      </w:r>
    </w:p>
    <w:p w14:paraId="167F190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隐患上报（图标：警示符号，跳转至隐患排查→隐患上报页面）；</w:t>
      </w:r>
    </w:p>
    <w:p w14:paraId="66E0976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视频监控（图标：摄像头，跳转至生产运营→生产视频页面）；</w:t>
      </w:r>
    </w:p>
    <w:p w14:paraId="5A4FDD6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风险查看（图标：风险符号，跳转至安全环保中心→风险管控页面）；</w:t>
      </w:r>
    </w:p>
    <w:p w14:paraId="0C5D2C0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生产报表（图标：报表符号，跳转至生产运营→生产报表页面）；</w:t>
      </w:r>
    </w:p>
    <w:p w14:paraId="26A5491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应急通讯录（图标：电话符号，跳转至安全环保中心→应急通讯录页面）；</w:t>
      </w:r>
    </w:p>
    <w:p w14:paraId="71481F3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设备状态（图标：设备符号，跳转至生产运营→生产监控页面）；</w:t>
      </w:r>
    </w:p>
    <w:p w14:paraId="7A14DF7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环保监测（图标：绿叶符号，跳转至安全环保中心→环保监测页面）；</w:t>
      </w:r>
    </w:p>
    <w:p w14:paraId="3B03989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技术资料（图标：书本符号，跳转至知识库页面）；</w:t>
      </w:r>
    </w:p>
    <w:p w14:paraId="76B51D5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消息通知（图标：铃铛符号，跳转至我的→消息通知页面）。</w:t>
      </w:r>
    </w:p>
    <w:p w14:paraId="2E6FE191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3.1.5 页面底部</w:t>
      </w:r>
      <w:bookmarkEnd w:id="13"/>
    </w:p>
    <w:p w14:paraId="3C95B5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显示数据更新时间（如“数据更新于：202X-XX-XX XX:XX”），灰色小字体（12sp），居中显示，无其他冗余内容。</w:t>
      </w:r>
    </w:p>
    <w:p w14:paraId="7459E9E5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3.2 安全环保中心（一级菜单，6个二级菜单，顶部横向滑动）</w:t>
      </w:r>
      <w:bookmarkEnd w:id="14"/>
    </w:p>
    <w:p w14:paraId="24B282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核心目标：聚焦安全、环保管控，简化监测、处置、排查流程，所有二级菜单页面均保留顶部标题栏（显示“安全环保中心”）和二级菜单栏，内容区域聚焦核心功能，避免冗余。</w:t>
      </w:r>
    </w:p>
    <w:p w14:paraId="2A453AE7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3.2.1 二级菜单：安全监测（默认显示）</w:t>
      </w:r>
      <w:bookmarkEnd w:id="15"/>
    </w:p>
    <w:p w14:paraId="009E27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核心功能：实时监测人员、车辆、边坡等7类安全指标，支持异常提醒、详情查看，页面布局：标题栏→筛选栏→监测列表/地图。</w:t>
      </w:r>
    </w:p>
    <w:p w14:paraId="4409DAA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筛选栏：横向滑动，包含7类监测类型（人员、车辆、边坡、煤层防自燃、防排水、生产系统安全监测、AI视频监测），点击筛选对应类型，默认显示“全部”；</w:t>
      </w:r>
    </w:p>
    <w:p w14:paraId="735E2E5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内容区域：默认显示地图模式（简化矿山地图，标注监测点位置），监测点按状态区分（正常：绿色圆点，异常：红色圆点，预警：橙色圆点），点击监测点显示详情（监测指标、实时数据、异常说明）；</w:t>
      </w:r>
    </w:p>
    <w:p w14:paraId="5F9D2D2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功能：顶部右侧显示“异常提醒”图标（铃铛形状，有异常时显示红色角标，标注异常数量），点击查看异常列表，直接跳转至异常监测点详情；支持“刷新”“筛选”功能，筛选可按监测状态（正常、异常、预警）筛选。</w:t>
      </w:r>
    </w:p>
    <w:p w14:paraId="6A6BC7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各监测类型详情：</w:t>
      </w:r>
    </w:p>
    <w:p w14:paraId="4724212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人员监测：监测作业人员位置、在岗状态、防护装备佩戴情况，异常提醒（如“人员离岗”“未佩戴防护装备”）；</w:t>
      </w:r>
    </w:p>
    <w:p w14:paraId="647A0DA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车辆监测：监测作业车辆位置、速度、运行状态（正常、故障、违规），异常提醒（如“车辆超速”“车辆偏离作业区域”）；</w:t>
      </w:r>
    </w:p>
    <w:p w14:paraId="6CC1437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边坡监测：监测边坡位移、沉降、裂缝等指标，实时显示数据，异常提醒（如“边坡位移超标”）；</w:t>
      </w:r>
    </w:p>
    <w:p w14:paraId="0E6D351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煤层防自燃：监测煤层温度、瓦斯浓度，异常提醒（如“温度超标”“瓦斯浓度异常”）；</w:t>
      </w:r>
    </w:p>
    <w:p w14:paraId="6A88D72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防排水：监测水位、排水量，异常提醒（如“水位超标”“排水故障”）；</w:t>
      </w:r>
    </w:p>
    <w:p w14:paraId="42AD2D4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生产系统安全监测：监测破碎站、运输系统等核心生产系统的运行状态，异常提醒（如“系统故障”“运行异常”）；</w:t>
      </w:r>
    </w:p>
    <w:p w14:paraId="6F138C6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AI视频监测：实时查看矿山关键区域视频（如作业面、破碎站），AI智能识别违规操作（如“违规动火”“人员聚集”），异常提醒并自动抓拍截图。</w:t>
      </w:r>
    </w:p>
    <w:p w14:paraId="6ADB7DAA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3.2.2 二级菜单：预警处置</w:t>
      </w:r>
      <w:bookmarkEnd w:id="16"/>
    </w:p>
    <w:p w14:paraId="7735B5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核心功能：接收、查看、处置各类安全、环保预警，流程简化为“查看预警→分配处置→反馈结果”，页面布局：标题栏→预警筛选→预警列表→处置入口。</w:t>
      </w:r>
    </w:p>
    <w:p w14:paraId="6EDB6EFC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预警筛选：按预警级别（一般、较重、严重、特别严重）、预警类型（安全、环保）、处置状态（未处置、处置中、已处置）筛选，默认显示“未处置”预警；</w:t>
      </w:r>
    </w:p>
    <w:p w14:paraId="0C728CA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预警列表：每条预警包含“预警级别（颜色区分：一般-蓝色、较重-黄色、严重-橙色、特别严重-红色）、预警内容、预警时间、发生位置”，点击列表项进入处置页面；</w:t>
      </w:r>
    </w:p>
    <w:p w14:paraId="7980345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置页面：显示预警详细信息（预警指标、异常数据、现场照片/视频），包含“分配处置”“现场处置”“反馈结果”3个按钮，操作流程：分配处置（选择处置人员、设置截止时间）→现场处置（填写处置措施、上传现场照片）→反馈结果（确认处置完成，提交归档）；</w:t>
      </w:r>
    </w:p>
    <w:p w14:paraId="251FF64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辅助功能：支持“预警详情分享”“处置进度跟踪”，未处置预警标红，处置中预警标黄，已处置预警标灰，支持搜索预警（按预警内容、位置搜索）。</w:t>
      </w:r>
    </w:p>
    <w:p w14:paraId="5058AFD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3.2.3 二级菜单：风险管控</w:t>
      </w:r>
      <w:bookmarkEnd w:id="17"/>
    </w:p>
    <w:p w14:paraId="7FAAA0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核心功能：展示矿山各类安全风险，支持风险分级、管控措施查看、风险更新，页面布局：标题栏→风险分级筛选→风险列表。</w:t>
      </w:r>
    </w:p>
    <w:p w14:paraId="323528B8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风险分级筛选：按风险等级（重大、较大、一般、低风险）筛选，等级颜色区分（重大-红色、较大-橙色、一般-黄色、低风险-蓝色），默认显示“全部风险”；</w:t>
      </w:r>
    </w:p>
    <w:p w14:paraId="5D41B6C7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风险列表：每条风险包含“风险名称、风险等级、管控责任人、管控措施、风险位置”，点击列表项查看详细管控方案（含管控流程、应急措施、定期检查记录）；</w:t>
      </w:r>
    </w:p>
    <w:p w14:paraId="51B0666A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辅助功能：支持“风险上报”（点击右上角“+”，填写风险名称、等级、位置、描述，提交审核）、“风险更新”（管控责任人可更新风险状态、管控措施），定期检查记录可上传照片、填写检查结果。</w:t>
      </w:r>
    </w:p>
    <w:p w14:paraId="463CB74B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3.2.4 二级菜单：应急通讯录</w:t>
      </w:r>
      <w:bookmarkEnd w:id="18"/>
    </w:p>
    <w:p w14:paraId="75308A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核心功能：快速查询矿山应急人员、部门联系方式，支持一键拨号，简化应急联络流程，页面布局：标题栏→通讯录分类→联系人列表。</w:t>
      </w:r>
    </w:p>
    <w:p w14:paraId="12C3A1B9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通讯录分类：横向滑动，包含“应急指挥组、安全管理部、医疗急救、消防救援、设备维修、外部救援”，点击分类筛选对应联系人；</w:t>
      </w:r>
    </w:p>
    <w:p w14:paraId="125F8FFE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联系人列表：每条联系人包含“姓名、部门、职务、联系方式”，点击联系方式可直接拨号（无需跳转至手机拨号界面），长按联系人可保存至手机通讯录；</w:t>
      </w:r>
    </w:p>
    <w:p w14:paraId="6E22178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辅助功能：支持搜索联系人（按姓名、部门搜索），顶部显示“紧急呼叫”按钮（一键拨打应急指挥组电话），通讯录信息支持离线查看（缓存至本地）。</w:t>
      </w:r>
    </w:p>
    <w:p w14:paraId="15C6ACB4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3.2.5 二级菜单：隐患排查</w:t>
      </w:r>
      <w:bookmarkEnd w:id="19"/>
    </w:p>
    <w:p w14:paraId="58F0E0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核心功能：隐患上报、隐患查看、隐患整改、整改验收，流程简化为“上报隐患→分配整改→整改反馈→验收归档”，页面布局：标题栏→隐患筛选→隐患列表→上报入口。</w:t>
      </w:r>
    </w:p>
    <w:p w14:paraId="71F780A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隐患筛选：按隐患等级（重大、较大、一般）、整改状态（未整改、整改中、已整改、验收不合格）、排查区域筛选，默认显示“未整改”隐患；</w:t>
      </w:r>
    </w:p>
    <w:p w14:paraId="6F5A2146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隐患列表：每条隐患包含“隐患名称、隐患等级、排查人、排查时间、整改责任人、整改截止时间”，点击列表项查看隐患详情（含隐患照片、位置、描述、整改要求）；</w:t>
      </w:r>
    </w:p>
    <w:p w14:paraId="5067EE4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隐患上报：点击右上角“+”，进入上报页面，填写“隐患名称、等级、位置、描述”，上传现场照片/视频，选择排查人，提交上报（提交后自动分配给对应整改责任人）；</w:t>
      </w:r>
    </w:p>
    <w:p w14:paraId="4AAD6DD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整改流程：整改责任人收到隐患通知后，填写整改措施、上传整改照片，提交整改反馈；排查人对整改结果进行验收，验收合格则归档，验收不合格则退回重新整改；</w:t>
      </w:r>
    </w:p>
    <w:p w14:paraId="73BA14C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辅助功能：支持“隐患跟踪”（查看整改进度）、“隐患统计”（简单显示各等级、各状态隐患数量），未整改隐患标红，整改中标黄，已整改标绿。</w:t>
      </w:r>
    </w:p>
    <w:p w14:paraId="1D3DA6CF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3.2.6 二级菜单：环保监测</w:t>
      </w:r>
      <w:bookmarkEnd w:id="20"/>
    </w:p>
    <w:p w14:paraId="2C1735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核心功能：实时监测水质、土壤、固废等5类环保指标，支持数据查看、异常提醒、报表导出，页面布局：标题栏→监测类型筛选→监测数据/图表。</w:t>
      </w:r>
    </w:p>
    <w:p w14:paraId="1C3F3CF4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监测类型筛选：横向滑动，包含“水质、土壤、固废、大气、噪声”5类，点击筛选对应类型，默认显示“全部”；</w:t>
      </w:r>
    </w:p>
    <w:p w14:paraId="7B1605F5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内容区域：默认显示数据图表（折线图/柱状图，简化设计，清晰显示数据变化趋势），下方显示实时监测数据（指标名称、当前数值、标准值、状态），状态区分（达标：绿色，异常：红色）；</w:t>
      </w:r>
    </w:p>
    <w:p w14:paraId="00026B9B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各监测类型详情：</w:t>
      </w:r>
    </w:p>
    <w:p w14:paraId="1539C9E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水质监测：监测矿山废水、地表水的pH值、COD、氨氮等指标，实时显示数据，异常提醒（如“COD超标”）；</w:t>
      </w:r>
    </w:p>
    <w:p w14:paraId="72E36685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土壤监测：监测作业区域、排土场土壤的重金属含量、pH值等指标，显示监测点位，支持查看历史数据；</w:t>
      </w:r>
    </w:p>
    <w:p w14:paraId="23C112AE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固废监测：监测固废（煤矸石、废渣）的堆放量、堆放位置、处置情况，异常提醒（如“固废堆放超标”“处置违规”）；</w:t>
      </w:r>
    </w:p>
    <w:p w14:paraId="7360370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大气监测：监测空气中PM2.5、PM10、二氧化硫等指标，实时显示空气质量等级，异常提醒（如“PM2.5超标”）；</w:t>
      </w:r>
    </w:p>
    <w:p w14:paraId="21AEAE8E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噪声监测：监测作业区域、周边居民区的噪声值，显示实时噪声等级，异常提醒（如“噪声超标”）；</w:t>
      </w:r>
    </w:p>
    <w:p w14:paraId="6BC94905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辅助功能：支持“数据导出”（导出近7天/30天监测数据，格式为Excel）、“异常提醒设置”（可设置各指标预警阈值），数据支持离线缓存。</w:t>
      </w:r>
    </w:p>
    <w:p w14:paraId="24E1330A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3.3 生产运营（一级菜单，5个二级菜单，顶部横向滑动）</w:t>
      </w:r>
      <w:bookmarkEnd w:id="21"/>
    </w:p>
    <w:p w14:paraId="54BA5A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核心目标：覆盖生产、产运销全环节，聚焦生产监控、自动化管控、报表查看，简化操作，适配生产人员快速掌握生产动态的需求，所有二级菜单页面均保留顶部标题栏（显示“生产运营”）和二级菜单栏。</w:t>
      </w:r>
    </w:p>
    <w:p w14:paraId="33869837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3.3.1 二级菜单：生产监控（默认显示）</w:t>
      </w:r>
      <w:bookmarkEnd w:id="22"/>
    </w:p>
    <w:p w14:paraId="71E98C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核心功能：实时监控作业车辆、无人驾驶设备的运行状态，查看作业面动态，页面布局：标题栏→监控类型筛选→监控列表/地图。</w:t>
      </w:r>
    </w:p>
    <w:p w14:paraId="652F84E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监控类型筛选：横向滑动，包含“作业车辆、无人驾驶”2类，点击筛选对应类型，默认显示“全部”；</w:t>
      </w:r>
    </w:p>
    <w:p w14:paraId="694CC267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区域：默认显示地图模式（矿山作业面地图，标注车辆/设备位置），车辆/设备按状态区分（正常运行：绿色，故障：红色，闲置：蓝色），点击车辆/设备显示详情（设备编号、运行状态、速度、作业区域、驾驶员信息）；</w:t>
      </w:r>
    </w:p>
    <w:p w14:paraId="325E13F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作业车辆监控：显示所有作业车辆（挖掘机、装载机、运输车等）的实时位置、运行轨迹、工作时长，支持查看车辆历史轨迹（近24小时）；</w:t>
      </w:r>
    </w:p>
    <w:p w14:paraId="1D2FC28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无人驾驶监控：显示无人驾驶车辆的实时运行状态、作业任务（如“运输原煤”“排土”）、路线规划，异常提醒（如“无人驾驶故障”“路线偏离”）；</w:t>
      </w:r>
    </w:p>
    <w:p w14:paraId="5270A807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辅助功能：支持“视频联动”（点击车辆/设备，可查看对应现场视频）、“设备调度”（仅管理员可见，可发送调度指令）、“故障报警”（故障设备标红，发出声音提醒）。</w:t>
      </w:r>
    </w:p>
    <w:p w14:paraId="241A7CEF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3.3.2 二级菜单：综合自动化</w:t>
      </w:r>
      <w:bookmarkEnd w:id="23"/>
    </w:p>
    <w:p w14:paraId="3A8371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核心功能：监控破碎站无人值守、电力系统等自动化设备的运行状态，支持远程控制（部分功能），页面布局：标题栏→自动化系统筛选→系统状态列表。</w:t>
      </w:r>
    </w:p>
    <w:p w14:paraId="432A075E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自动化系统筛选：横向滑动，包含“破碎站无人值守、电力系统、运输系统自动化、排土系统自动化”，点击筛选对应系统，默认显示“全部”；</w:t>
      </w:r>
    </w:p>
    <w:p w14:paraId="1EB2A524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系统状态列表：每条系统包含“系统名称、运行状态（正常、故障、待机）、运行参数、责任人”，点击列表项查看系统详情（实时运行数据、设备状态、故障记录）；</w:t>
      </w:r>
    </w:p>
    <w:p w14:paraId="2D175227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破碎站无人值守：显示破碎站的运行状态、破碎量、进料量、出料量，支持远程启停（仅管理员权限），异常提醒（如“破碎站故障”“进料异常”）；</w:t>
      </w:r>
    </w:p>
    <w:p w14:paraId="5F8C258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电力系统：监测矿山电力供应、变压器、配电箱等设备的运行状态，显示电压、电流、功率等参数，异常提醒（如“电压异常”“设备故障”）；</w:t>
      </w:r>
    </w:p>
    <w:p w14:paraId="42BA6E34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3.3.3 二级菜单：生产报表</w:t>
      </w:r>
      <w:bookmarkEnd w:id="24"/>
    </w:p>
    <w:p w14:paraId="0C5EDF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核心功能：查看采剥、运输、排土等各类生产报表，支持报表筛选、导出，页面布局：标题栏→报表类型筛选→报表详情/图表。</w:t>
      </w:r>
    </w:p>
    <w:p w14:paraId="07D3126F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报表类型筛选：横向滑动，包含“采剥报表、运输报表、排土报表、产量汇总报表”，点击筛选对应报表，默认显示“产量汇总报表”；</w:t>
      </w:r>
    </w:p>
    <w:p w14:paraId="2FFC349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报表筛选：支持按时间筛选（今日、昨日、近7天、近30天、自定义时间），按作业区域筛选，默认显示“今日”报表；</w:t>
      </w:r>
    </w:p>
    <w:p w14:paraId="23BE4FDE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报表详情：采用简洁表格（适配移动端，横向可滑动），显示核心数据（如采剥报表：作业区域、采煤量、剥离量、作业时长），表格下方显示汇总数据（如“今日总采煤量：XXX万吨”）；</w:t>
      </w:r>
    </w:p>
    <w:p w14:paraId="72CBA94B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各报表详情：</w:t>
      </w:r>
    </w:p>
    <w:p w14:paraId="75DDD2FB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采剥报表：展示各作业面的采煤量、剥离量、采剥比、作业人员、设备数量等数据；</w:t>
      </w:r>
    </w:p>
    <w:p w14:paraId="4AFBAA10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运输报表：展示各运输线路的运输量、运输次数、车辆周转率、运输时长等数据；</w:t>
      </w:r>
    </w:p>
    <w:p w14:paraId="0C2C11D1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排土报表：展示各排土场的排土量、排土效率、作业设备等数据；</w:t>
      </w:r>
    </w:p>
    <w:p w14:paraId="18D2773F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产量汇总报表：汇总今日、昨日、本月、本年的采煤量、剥离量、运输量，采用图表+表格结合的方式展示；</w:t>
      </w:r>
    </w:p>
    <w:p w14:paraId="5270B1AA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辅助功能：支持“报表导出”（导出Excel格式）、“报表分享”（分享至工作群）、“数据对比”（对比不同时间段、不同区域的生产数据）。</w:t>
      </w:r>
    </w:p>
    <w:p w14:paraId="24939F8B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3.3.4 二级菜单：生产视频</w:t>
      </w:r>
      <w:bookmarkEnd w:id="25"/>
    </w:p>
    <w:p w14:paraId="652017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核心功能：查看矿山各关键区域的实时视频、历史视频，支持视频回放、抓拍，页面布局：标题栏→视频区域筛选→视频列表/播放界面。</w:t>
      </w:r>
    </w:p>
    <w:p w14:paraId="525D5AE7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视频区域筛选：横向滑动，包含“作业面、破碎站、运输线路、排土场、办公区”等关键区域，点击筛选对应区域的视频，默认显示“作业面”视频；</w:t>
      </w:r>
    </w:p>
    <w:p w14:paraId="72D4395A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视频列表：每个视频条目包含“区域名称、摄像头编号、实时画面缩略图、在线状态”，点击条目进入视频播放界面；</w:t>
      </w:r>
    </w:p>
    <w:p w14:paraId="76B51323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视频播放界面：支持全屏播放、倍速播放（1.0x、1.5x、2.0x）、暂停、抓拍（点击“抓拍”按钮，保存当前画面至本地）、回放（支持选择近24小时内的历史视频回放）；</w:t>
      </w:r>
    </w:p>
    <w:p w14:paraId="0414897F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功能：支持“视频联动”（关联对应区域的设备状态，点击视频中的设备，可查看设备详情）、“摄像头切换”（在播放界面可快速切换同区域其他摄像头）、“弱网适配”（弱网情况下自动降低视频清晰度，保证流畅播放）。</w:t>
      </w:r>
    </w:p>
    <w:p w14:paraId="2C149909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3.3.5 二级菜单：产运销</w:t>
      </w:r>
      <w:bookmarkEnd w:id="26"/>
    </w:p>
    <w:p w14:paraId="3A9F21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核心功能：查看产量、销售、库存等核心数据，掌握产运销全流程动态，页面布局：标题栏→数据类型筛选→数据详情/图表。</w:t>
      </w:r>
    </w:p>
    <w:p w14:paraId="134D9413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数据类型筛选：横向滑动，包含“产量、销售、库存”3类，点击筛选对应数据，默认显示“产量”数据；</w:t>
      </w:r>
    </w:p>
    <w:p w14:paraId="1C2F472E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产量数据：显示今日、昨日、本月、本年的采煤量、剥离量，按作业区域拆分，采用图表（柱状图）展示，支持查看每日产量趋势；</w:t>
      </w:r>
    </w:p>
    <w:p w14:paraId="73D72743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销售数据：显示今日、昨日、本月、本年的销售量、销售额、销售客户，按客户拆分，显示销售明细（客户名称、销售量、销售时间）；</w:t>
      </w:r>
    </w:p>
    <w:p w14:paraId="32654ECE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库存数据：显示当前原煤库存、剥离物库存，按库存区域（煤场、排土场）拆分，显示库存变化趋势（近7天），异常提醒（如“库存超标”“库存不足”）；</w:t>
      </w:r>
    </w:p>
    <w:p w14:paraId="4F52035B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辅助功能：支持“数据导出”（导出产运销数据Excel）、“库存预警设置”（设置库存上下限，超出范围提醒）、“销售明细查询”（按客户、时间查询销售记录）。</w:t>
      </w:r>
    </w:p>
    <w:p w14:paraId="6F0708AC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3.4 知识库（一级菜单，无二级菜单）</w:t>
      </w:r>
      <w:bookmarkEnd w:id="27"/>
    </w:p>
    <w:p w14:paraId="10CEDE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核心目标：提供矿山技术资料、操作规范等内容，支持快速搜索、查阅，适配现场人员随时学习、查询的需求，页面布局：标题栏→搜索栏→资料分类→资料列表。</w:t>
      </w:r>
    </w:p>
    <w:p w14:paraId="6362DA11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标题栏：显示“知识库”，右侧显示“搜索”图标（放大镜形状），点击进入搜索页面；</w:t>
      </w:r>
    </w:p>
    <w:p w14:paraId="3A6AD34D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搜索栏：居中显示，支持输入关键词（技术名称、操作规范、设备型号等）搜索，实时显示搜索结果，支持模糊搜索；</w:t>
      </w:r>
    </w:p>
    <w:p w14:paraId="5569A0A1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资料分类：横向滑动，包含“安全技术、设备操作、环保规范、生产工艺、应急处置”5类，点击分类筛选对应资料，默认显示“全部资料”；</w:t>
      </w:r>
    </w:p>
    <w:p w14:paraId="171ED892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资料列表：每条资料包含“资料标题、资料类型、发布时间、浏览量”，点击列表项进入资料详情页面；</w:t>
      </w:r>
    </w:p>
    <w:p w14:paraId="3A34C63B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料详情页面：显示资料完整内容（文字、图片，简化排版，适配移动端阅读），支持“收藏”（点击右上角“收藏”按钮，保存至个人收藏）、“分享”（分享至工作群）、“下载”（下载资料至本地，支持离线查看）；</w:t>
      </w:r>
    </w:p>
    <w:p w14:paraId="35B6F726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辅助功能：支持“个人收藏”（点击页面右上角“我的收藏”，查看收藏的资料）、“资料更新提醒”（有新资料发布时，显示提醒角标）、“资料分类管理”（管理员可添加、编辑、删除资料）。</w:t>
      </w:r>
    </w:p>
    <w:p w14:paraId="21DE37C3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3.5 我的（一级菜单，无二级菜单）</w:t>
      </w:r>
      <w:bookmarkEnd w:id="28"/>
    </w:p>
    <w:p w14:paraId="50C06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核心目标：展示个人信息、账号设置、消息通知等，简化账号管理、消息查看流程，页面布局：标题栏→个人信息卡片→功能列表→底部退出登录。</w:t>
      </w:r>
    </w:p>
    <w:p w14:paraId="5A84F049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标题栏：显示“我的”，右侧无多余图标；</w:t>
      </w:r>
    </w:p>
    <w:p w14:paraId="4E2F168B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个人信息卡片：显示头像（默认系统头像，可修改）、姓名、岗位、部门、账号状态（在线/离线），点击卡片可进入个人信息编辑页面（修改头像、姓名、联系方式等）；</w:t>
      </w:r>
    </w:p>
    <w:p w14:paraId="1A2E043E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功能列表：采用列表布局，每条功能包含图标+文字，点击进入对应功能页面，功能按使用频率排序：</w:t>
      </w:r>
    </w:p>
    <w:p w14:paraId="2926BB91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消息通知：查看系统消息、预警消息、待办消息，未读消息标红，显示未读数量；</w:t>
      </w:r>
    </w:p>
    <w:p w14:paraId="1540BBFF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我的待办：查看个人所有待办事项（隐患整改、预警处置等），按待办类型分类；</w:t>
      </w:r>
    </w:p>
    <w:p w14:paraId="43100396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我的收藏：查看在知识库中收藏的技术资料；</w:t>
      </w:r>
    </w:p>
    <w:p w14:paraId="71FAB000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账号设置：修改密码、绑定手机、设置消息提醒方式（推送/不推送）；</w:t>
      </w:r>
    </w:p>
    <w:p w14:paraId="71566465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意见反馈：提交平台使用过程中的意见、建议（填写内容、上传图片）；</w:t>
      </w:r>
    </w:p>
    <w:p w14:paraId="209EAC48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关于我们：显示平台版本、更新日志、联系方式；</w:t>
      </w:r>
    </w:p>
    <w:p w14:paraId="40CDBCCD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底部退出登录：显示“退出登录”按钮（红色字体，居中显示），点击弹出确认框（“确定退出登录？”），确认后退出当前账号，返回登录页面；</w:t>
      </w:r>
    </w:p>
    <w:p w14:paraId="6D7AD660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辅助功能：支持“自动登录”（可在账号设置中开启，下次进入平台无需输入账号密码）、“密码找回”（忘记密码时，通过绑定手机找回）。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ABEE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E52F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E82DE"/>
    <w:multiLevelType w:val="singleLevel"/>
    <w:tmpl w:val="8BCE82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CFD461F"/>
    <w:multiLevelType w:val="singleLevel"/>
    <w:tmpl w:val="8CFD46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FFF809E"/>
    <w:multiLevelType w:val="singleLevel"/>
    <w:tmpl w:val="8FFF80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76F0806"/>
    <w:multiLevelType w:val="singleLevel"/>
    <w:tmpl w:val="976F08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4523131"/>
    <w:multiLevelType w:val="singleLevel"/>
    <w:tmpl w:val="A45231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AFFC0541"/>
    <w:multiLevelType w:val="singleLevel"/>
    <w:tmpl w:val="AFFC05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FAA8EA"/>
    <w:multiLevelType w:val="singleLevel"/>
    <w:tmpl w:val="B5FAA8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77B7510"/>
    <w:multiLevelType w:val="singleLevel"/>
    <w:tmpl w:val="B77B75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9F6E60E"/>
    <w:multiLevelType w:val="singleLevel"/>
    <w:tmpl w:val="B9F6E6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9F97661"/>
    <w:multiLevelType w:val="singleLevel"/>
    <w:tmpl w:val="B9F976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D960A38"/>
    <w:multiLevelType w:val="singleLevel"/>
    <w:tmpl w:val="BD960A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DCEF5D6"/>
    <w:multiLevelType w:val="singleLevel"/>
    <w:tmpl w:val="BDCEF5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DDAD56A"/>
    <w:multiLevelType w:val="singleLevel"/>
    <w:tmpl w:val="BDDAD5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E75159D"/>
    <w:multiLevelType w:val="singleLevel"/>
    <w:tmpl w:val="BE7515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EEF9D23"/>
    <w:multiLevelType w:val="singleLevel"/>
    <w:tmpl w:val="BEEF9D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AB6F7E7"/>
    <w:multiLevelType w:val="singleLevel"/>
    <w:tmpl w:val="CAB6F7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6EB730E"/>
    <w:multiLevelType w:val="singleLevel"/>
    <w:tmpl w:val="D6EB73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9DEA0C9"/>
    <w:multiLevelType w:val="singleLevel"/>
    <w:tmpl w:val="D9DEA0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CA8D1D4"/>
    <w:multiLevelType w:val="singleLevel"/>
    <w:tmpl w:val="DCA8D1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DF29C80"/>
    <w:multiLevelType w:val="singleLevel"/>
    <w:tmpl w:val="DDF29C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DFB39D4"/>
    <w:multiLevelType w:val="singleLevel"/>
    <w:tmpl w:val="DDFB39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ED96761"/>
    <w:multiLevelType w:val="singleLevel"/>
    <w:tmpl w:val="DED96761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2">
    <w:nsid w:val="DEDA4832"/>
    <w:multiLevelType w:val="singleLevel"/>
    <w:tmpl w:val="DEDA48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FC7E18E"/>
    <w:multiLevelType w:val="singleLevel"/>
    <w:tmpl w:val="DFC7E1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FEE6EC0"/>
    <w:multiLevelType w:val="singleLevel"/>
    <w:tmpl w:val="DFEE6E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6FF092F"/>
    <w:multiLevelType w:val="singleLevel"/>
    <w:tmpl w:val="E6FF09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B7E0817"/>
    <w:multiLevelType w:val="singleLevel"/>
    <w:tmpl w:val="EB7E08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EBF375CB"/>
    <w:multiLevelType w:val="singleLevel"/>
    <w:tmpl w:val="EBF375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ED5E491C"/>
    <w:multiLevelType w:val="singleLevel"/>
    <w:tmpl w:val="ED5E49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EDBF4B10"/>
    <w:multiLevelType w:val="singleLevel"/>
    <w:tmpl w:val="EDBF4B10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0">
    <w:nsid w:val="EDE511B9"/>
    <w:multiLevelType w:val="singleLevel"/>
    <w:tmpl w:val="EDE511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EDFA0B8D"/>
    <w:multiLevelType w:val="singleLevel"/>
    <w:tmpl w:val="EDFA0B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EEDFE047"/>
    <w:multiLevelType w:val="singleLevel"/>
    <w:tmpl w:val="EEDFE0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EFD74CCC"/>
    <w:multiLevelType w:val="singleLevel"/>
    <w:tmpl w:val="EFD74C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EFEA4672"/>
    <w:multiLevelType w:val="singleLevel"/>
    <w:tmpl w:val="EFEA46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EFEF1E04"/>
    <w:multiLevelType w:val="singleLevel"/>
    <w:tmpl w:val="EFEF1E0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EFFE5EED"/>
    <w:multiLevelType w:val="singleLevel"/>
    <w:tmpl w:val="EFFE5E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3B78F50"/>
    <w:multiLevelType w:val="singleLevel"/>
    <w:tmpl w:val="F3B78F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3F79470"/>
    <w:multiLevelType w:val="singleLevel"/>
    <w:tmpl w:val="F3F794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5ED8A71"/>
    <w:multiLevelType w:val="singleLevel"/>
    <w:tmpl w:val="F5ED8A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5FC470D"/>
    <w:multiLevelType w:val="singleLevel"/>
    <w:tmpl w:val="F5FC470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F7934F37"/>
    <w:multiLevelType w:val="singleLevel"/>
    <w:tmpl w:val="F7934F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7F69AEC"/>
    <w:multiLevelType w:val="singleLevel"/>
    <w:tmpl w:val="F7F69A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7FE32D4"/>
    <w:multiLevelType w:val="singleLevel"/>
    <w:tmpl w:val="F7FE32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7FF5A5D"/>
    <w:multiLevelType w:val="singleLevel"/>
    <w:tmpl w:val="F7FF5A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B77E454"/>
    <w:multiLevelType w:val="singleLevel"/>
    <w:tmpl w:val="FB77E4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BD2C724"/>
    <w:multiLevelType w:val="singleLevel"/>
    <w:tmpl w:val="FBD2C7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C7D2CBA"/>
    <w:multiLevelType w:val="singleLevel"/>
    <w:tmpl w:val="FC7D2CB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8">
    <w:nsid w:val="FD3F9150"/>
    <w:multiLevelType w:val="singleLevel"/>
    <w:tmpl w:val="FD3F91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D86C272"/>
    <w:multiLevelType w:val="singleLevel"/>
    <w:tmpl w:val="FD86C2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FD967C53"/>
    <w:multiLevelType w:val="singleLevel"/>
    <w:tmpl w:val="FD967C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DCB3E9D"/>
    <w:multiLevelType w:val="singleLevel"/>
    <w:tmpl w:val="FDCB3E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DD45A9E"/>
    <w:multiLevelType w:val="singleLevel"/>
    <w:tmpl w:val="FDD45A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DFC3C08"/>
    <w:multiLevelType w:val="singleLevel"/>
    <w:tmpl w:val="FDFC3C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DFC74D9"/>
    <w:multiLevelType w:val="singleLevel"/>
    <w:tmpl w:val="FDFC74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FDFE199E"/>
    <w:multiLevelType w:val="singleLevel"/>
    <w:tmpl w:val="FDFE19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E7CA3E4"/>
    <w:multiLevelType w:val="singleLevel"/>
    <w:tmpl w:val="FE7CA3E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7">
    <w:nsid w:val="FEBEC5F5"/>
    <w:multiLevelType w:val="singleLevel"/>
    <w:tmpl w:val="FEBEC5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ECF56C9"/>
    <w:multiLevelType w:val="singleLevel"/>
    <w:tmpl w:val="FECF56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FEFDDB50"/>
    <w:multiLevelType w:val="singleLevel"/>
    <w:tmpl w:val="FEFDDB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EFF69AA"/>
    <w:multiLevelType w:val="singleLevel"/>
    <w:tmpl w:val="FEFF69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F4DFBA2"/>
    <w:multiLevelType w:val="singleLevel"/>
    <w:tmpl w:val="FF4DFB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FF569EE3"/>
    <w:multiLevelType w:val="singleLevel"/>
    <w:tmpl w:val="FF569E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F5B4068"/>
    <w:multiLevelType w:val="singleLevel"/>
    <w:tmpl w:val="FF5B40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F73FBD9"/>
    <w:multiLevelType w:val="singleLevel"/>
    <w:tmpl w:val="FF73FB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FB13A98"/>
    <w:multiLevelType w:val="singleLevel"/>
    <w:tmpl w:val="FFB13A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FFB79D5B"/>
    <w:multiLevelType w:val="singleLevel"/>
    <w:tmpl w:val="FFB79D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FC6AC33"/>
    <w:multiLevelType w:val="singleLevel"/>
    <w:tmpl w:val="FFC6A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FDE0A97"/>
    <w:multiLevelType w:val="singleLevel"/>
    <w:tmpl w:val="FFDE0A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FEFBEAB"/>
    <w:multiLevelType w:val="singleLevel"/>
    <w:tmpl w:val="FFEFBE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FFFC1A48"/>
    <w:multiLevelType w:val="singleLevel"/>
    <w:tmpl w:val="FFFC1A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FFEA6FA"/>
    <w:multiLevelType w:val="singleLevel"/>
    <w:tmpl w:val="FFFEA6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FFFFBD9D"/>
    <w:multiLevelType w:val="singleLevel"/>
    <w:tmpl w:val="FFFFBD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FFFFE9C6"/>
    <w:multiLevelType w:val="singleLevel"/>
    <w:tmpl w:val="FFFFE9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11F8F443"/>
    <w:multiLevelType w:val="singleLevel"/>
    <w:tmpl w:val="11F8F44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5">
    <w:nsid w:val="18CF2BA6"/>
    <w:multiLevelType w:val="singleLevel"/>
    <w:tmpl w:val="18CF2B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19FB1364"/>
    <w:multiLevelType w:val="singleLevel"/>
    <w:tmpl w:val="19FB136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7">
    <w:nsid w:val="1DAF2BB5"/>
    <w:multiLevelType w:val="singleLevel"/>
    <w:tmpl w:val="1DAF2B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1DED00E7"/>
    <w:multiLevelType w:val="singleLevel"/>
    <w:tmpl w:val="1DED00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27FF16AD"/>
    <w:multiLevelType w:val="singleLevel"/>
    <w:tmpl w:val="27FF16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2FBDD877"/>
    <w:multiLevelType w:val="singleLevel"/>
    <w:tmpl w:val="2FBDD8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5ACC63AB"/>
    <w:multiLevelType w:val="singleLevel"/>
    <w:tmpl w:val="5ACC63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5BEA4C48"/>
    <w:multiLevelType w:val="singleLevel"/>
    <w:tmpl w:val="5BEA4C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5DBF1A02"/>
    <w:multiLevelType w:val="singleLevel"/>
    <w:tmpl w:val="5DBF1A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5F5A2D30"/>
    <w:multiLevelType w:val="singleLevel"/>
    <w:tmpl w:val="5F5A2D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5FCF53CB"/>
    <w:multiLevelType w:val="singleLevel"/>
    <w:tmpl w:val="5FCF53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6577E63C"/>
    <w:multiLevelType w:val="singleLevel"/>
    <w:tmpl w:val="6577E6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6F7D4BE5"/>
    <w:multiLevelType w:val="singleLevel"/>
    <w:tmpl w:val="6F7D4B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73C73EB3"/>
    <w:multiLevelType w:val="singleLevel"/>
    <w:tmpl w:val="73C73E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75F74E00"/>
    <w:multiLevelType w:val="singleLevel"/>
    <w:tmpl w:val="75F74E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774ECE8C"/>
    <w:multiLevelType w:val="singleLevel"/>
    <w:tmpl w:val="774ECE8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7DF7C88A"/>
    <w:multiLevelType w:val="singleLevel"/>
    <w:tmpl w:val="7DF7C8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7FD171EC"/>
    <w:multiLevelType w:val="singleLevel"/>
    <w:tmpl w:val="7FD171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7FE49C53"/>
    <w:multiLevelType w:val="singleLevel"/>
    <w:tmpl w:val="7FE49C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7FEAB4AB"/>
    <w:multiLevelType w:val="singleLevel"/>
    <w:tmpl w:val="7FEAB4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7FECD3E0"/>
    <w:multiLevelType w:val="singleLevel"/>
    <w:tmpl w:val="7FECD3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7FEED749"/>
    <w:multiLevelType w:val="singleLevel"/>
    <w:tmpl w:val="7FEED7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7FF7F42A"/>
    <w:multiLevelType w:val="singleLevel"/>
    <w:tmpl w:val="7FF7F4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7FFF314B"/>
    <w:multiLevelType w:val="singleLevel"/>
    <w:tmpl w:val="7FFF314B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6"/>
  </w:num>
  <w:num w:numId="2">
    <w:abstractNumId w:val="71"/>
  </w:num>
  <w:num w:numId="3">
    <w:abstractNumId w:val="54"/>
  </w:num>
  <w:num w:numId="4">
    <w:abstractNumId w:val="75"/>
  </w:num>
  <w:num w:numId="5">
    <w:abstractNumId w:val="43"/>
  </w:num>
  <w:num w:numId="6">
    <w:abstractNumId w:val="39"/>
  </w:num>
  <w:num w:numId="7">
    <w:abstractNumId w:val="27"/>
  </w:num>
  <w:num w:numId="8">
    <w:abstractNumId w:val="33"/>
  </w:num>
  <w:num w:numId="9">
    <w:abstractNumId w:val="45"/>
  </w:num>
  <w:num w:numId="10">
    <w:abstractNumId w:val="86"/>
  </w:num>
  <w:num w:numId="11">
    <w:abstractNumId w:val="61"/>
  </w:num>
  <w:num w:numId="12">
    <w:abstractNumId w:val="4"/>
  </w:num>
  <w:num w:numId="13">
    <w:abstractNumId w:val="40"/>
  </w:num>
  <w:num w:numId="14">
    <w:abstractNumId w:val="76"/>
  </w:num>
  <w:num w:numId="15">
    <w:abstractNumId w:val="49"/>
  </w:num>
  <w:num w:numId="16">
    <w:abstractNumId w:val="35"/>
  </w:num>
  <w:num w:numId="17">
    <w:abstractNumId w:val="47"/>
  </w:num>
  <w:num w:numId="18">
    <w:abstractNumId w:val="74"/>
  </w:num>
  <w:num w:numId="19">
    <w:abstractNumId w:val="56"/>
  </w:num>
  <w:num w:numId="20">
    <w:abstractNumId w:val="21"/>
  </w:num>
  <w:num w:numId="21">
    <w:abstractNumId w:val="29"/>
  </w:num>
  <w:num w:numId="22">
    <w:abstractNumId w:val="26"/>
  </w:num>
  <w:num w:numId="23">
    <w:abstractNumId w:val="92"/>
  </w:num>
  <w:num w:numId="24">
    <w:abstractNumId w:val="67"/>
  </w:num>
  <w:num w:numId="25">
    <w:abstractNumId w:val="5"/>
  </w:num>
  <w:num w:numId="26">
    <w:abstractNumId w:val="13"/>
  </w:num>
  <w:num w:numId="27">
    <w:abstractNumId w:val="32"/>
  </w:num>
  <w:num w:numId="28">
    <w:abstractNumId w:val="53"/>
  </w:num>
  <w:num w:numId="29">
    <w:abstractNumId w:val="41"/>
  </w:num>
  <w:num w:numId="30">
    <w:abstractNumId w:val="96"/>
  </w:num>
  <w:num w:numId="31">
    <w:abstractNumId w:val="69"/>
  </w:num>
  <w:num w:numId="32">
    <w:abstractNumId w:val="10"/>
  </w:num>
  <w:num w:numId="33">
    <w:abstractNumId w:val="11"/>
  </w:num>
  <w:num w:numId="34">
    <w:abstractNumId w:val="87"/>
  </w:num>
  <w:num w:numId="35">
    <w:abstractNumId w:val="82"/>
  </w:num>
  <w:num w:numId="36">
    <w:abstractNumId w:val="52"/>
  </w:num>
  <w:num w:numId="37">
    <w:abstractNumId w:val="7"/>
  </w:num>
  <w:num w:numId="38">
    <w:abstractNumId w:val="78"/>
  </w:num>
  <w:num w:numId="39">
    <w:abstractNumId w:val="50"/>
  </w:num>
  <w:num w:numId="40">
    <w:abstractNumId w:val="85"/>
  </w:num>
  <w:num w:numId="41">
    <w:abstractNumId w:val="2"/>
  </w:num>
  <w:num w:numId="42">
    <w:abstractNumId w:val="63"/>
  </w:num>
  <w:num w:numId="43">
    <w:abstractNumId w:val="58"/>
  </w:num>
  <w:num w:numId="44">
    <w:abstractNumId w:val="36"/>
  </w:num>
  <w:num w:numId="45">
    <w:abstractNumId w:val="15"/>
  </w:num>
  <w:num w:numId="46">
    <w:abstractNumId w:val="62"/>
  </w:num>
  <w:num w:numId="47">
    <w:abstractNumId w:val="77"/>
  </w:num>
  <w:num w:numId="48">
    <w:abstractNumId w:val="64"/>
  </w:num>
  <w:num w:numId="49">
    <w:abstractNumId w:val="31"/>
  </w:num>
  <w:num w:numId="50">
    <w:abstractNumId w:val="12"/>
  </w:num>
  <w:num w:numId="51">
    <w:abstractNumId w:val="72"/>
  </w:num>
  <w:num w:numId="52">
    <w:abstractNumId w:val="91"/>
  </w:num>
  <w:num w:numId="53">
    <w:abstractNumId w:val="17"/>
  </w:num>
  <w:num w:numId="54">
    <w:abstractNumId w:val="57"/>
  </w:num>
  <w:num w:numId="55">
    <w:abstractNumId w:val="8"/>
  </w:num>
  <w:num w:numId="56">
    <w:abstractNumId w:val="34"/>
  </w:num>
  <w:num w:numId="57">
    <w:abstractNumId w:val="98"/>
  </w:num>
  <w:num w:numId="58">
    <w:abstractNumId w:val="28"/>
  </w:num>
  <w:num w:numId="59">
    <w:abstractNumId w:val="19"/>
  </w:num>
  <w:num w:numId="60">
    <w:abstractNumId w:val="60"/>
  </w:num>
  <w:num w:numId="61">
    <w:abstractNumId w:val="46"/>
  </w:num>
  <w:num w:numId="62">
    <w:abstractNumId w:val="68"/>
  </w:num>
  <w:num w:numId="63">
    <w:abstractNumId w:val="18"/>
  </w:num>
  <w:num w:numId="64">
    <w:abstractNumId w:val="20"/>
  </w:num>
  <w:num w:numId="65">
    <w:abstractNumId w:val="0"/>
  </w:num>
  <w:num w:numId="66">
    <w:abstractNumId w:val="3"/>
  </w:num>
  <w:num w:numId="67">
    <w:abstractNumId w:val="70"/>
  </w:num>
  <w:num w:numId="68">
    <w:abstractNumId w:val="66"/>
  </w:num>
  <w:num w:numId="69">
    <w:abstractNumId w:val="90"/>
  </w:num>
  <w:num w:numId="70">
    <w:abstractNumId w:val="81"/>
  </w:num>
  <w:num w:numId="71">
    <w:abstractNumId w:val="30"/>
  </w:num>
  <w:num w:numId="72">
    <w:abstractNumId w:val="38"/>
  </w:num>
  <w:num w:numId="73">
    <w:abstractNumId w:val="14"/>
  </w:num>
  <w:num w:numId="74">
    <w:abstractNumId w:val="55"/>
  </w:num>
  <w:num w:numId="75">
    <w:abstractNumId w:val="97"/>
  </w:num>
  <w:num w:numId="76">
    <w:abstractNumId w:val="9"/>
  </w:num>
  <w:num w:numId="77">
    <w:abstractNumId w:val="48"/>
  </w:num>
  <w:num w:numId="78">
    <w:abstractNumId w:val="79"/>
  </w:num>
  <w:num w:numId="79">
    <w:abstractNumId w:val="24"/>
  </w:num>
  <w:num w:numId="80">
    <w:abstractNumId w:val="94"/>
  </w:num>
  <w:num w:numId="81">
    <w:abstractNumId w:val="88"/>
  </w:num>
  <w:num w:numId="82">
    <w:abstractNumId w:val="59"/>
  </w:num>
  <w:num w:numId="83">
    <w:abstractNumId w:val="80"/>
  </w:num>
  <w:num w:numId="84">
    <w:abstractNumId w:val="95"/>
  </w:num>
  <w:num w:numId="85">
    <w:abstractNumId w:val="1"/>
  </w:num>
  <w:num w:numId="86">
    <w:abstractNumId w:val="25"/>
  </w:num>
  <w:num w:numId="87">
    <w:abstractNumId w:val="23"/>
  </w:num>
  <w:num w:numId="88">
    <w:abstractNumId w:val="37"/>
  </w:num>
  <w:num w:numId="89">
    <w:abstractNumId w:val="22"/>
  </w:num>
  <w:num w:numId="90">
    <w:abstractNumId w:val="42"/>
  </w:num>
  <w:num w:numId="91">
    <w:abstractNumId w:val="51"/>
  </w:num>
  <w:num w:numId="92">
    <w:abstractNumId w:val="89"/>
  </w:num>
  <w:num w:numId="93">
    <w:abstractNumId w:val="44"/>
  </w:num>
  <w:num w:numId="94">
    <w:abstractNumId w:val="93"/>
  </w:num>
  <w:num w:numId="95">
    <w:abstractNumId w:val="65"/>
  </w:num>
  <w:num w:numId="96">
    <w:abstractNumId w:val="83"/>
  </w:num>
  <w:num w:numId="97">
    <w:abstractNumId w:val="84"/>
  </w:num>
  <w:num w:numId="98">
    <w:abstractNumId w:val="6"/>
  </w:num>
  <w:num w:numId="99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DAB49A9"/>
    <w:rsid w:val="97A179AA"/>
    <w:rsid w:val="B3FBA4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1</TotalTime>
  <ScaleCrop>false</ScaleCrop>
  <LinksUpToDate>false</LinksUpToDate>
  <Application>WPS Office_12.1.24709.24709_F1E327BC-269C-435d-A152-05C5408002CA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2026-02-28T01:12:00Z</dcterms:created>
  <dc:creator>Apache POI</dc:creator>
  <cp:lastModifiedBy>孙瑞玉</cp:lastModifiedBy>
  <dcterms:modified xsi:type="dcterms:W3CDTF">2026-02-27T17:16:43Z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B2CD1D14377BED0B9E60A1690F1D9CE0_42</vt:lpwstr>
  </property>
</Properties>
</file>