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Times New Roman" w:hAnsi="Times New Roman" w:eastAsia="宋体" w:cs="Times New Roman"/>
          <w:b/>
          <w:bCs/>
          <w:sz w:val="22"/>
        </w:rPr>
      </w:pPr>
      <w:bookmarkStart w:id="0" w:name="_Hlk96449738"/>
      <w:r>
        <w:rPr>
          <w:rFonts w:ascii="Times New Roman" w:hAnsi="Times New Roman" w:eastAsia="宋体" w:cs="Times New Roman"/>
          <w:b/>
          <w:bCs/>
          <w:sz w:val="22"/>
        </w:rPr>
        <w:t>项目背景：本次项目我们主要进行</w:t>
      </w:r>
      <w:r>
        <w:rPr>
          <w:rFonts w:hint="eastAsia" w:ascii="Times New Roman" w:hAnsi="Times New Roman" w:eastAsia="宋体" w:cs="Times New Roman"/>
          <w:b/>
          <w:bCs/>
          <w:sz w:val="22"/>
        </w:rPr>
        <w:t>量化交易、基本面分析以及全球行业宏观分析，主要是针对中国A股市场量化因子进行数据挖掘，尤其需要用到excel深度功能以及python相关编程知识，实现资产配置模型的挖掘，数据分析以及模型预测。</w:t>
      </w:r>
    </w:p>
    <w:p>
      <w:pPr>
        <w:rPr>
          <w:rFonts w:hint="eastAsia" w:ascii="Times New Roman" w:hAnsi="Times New Roman" w:eastAsia="宋体" w:cs="Times New Roman"/>
          <w:b/>
          <w:bCs/>
          <w:sz w:val="22"/>
        </w:rPr>
      </w:pPr>
    </w:p>
    <w:bookmarkEnd w:id="0"/>
    <w:p>
      <w:pPr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>1、</w:t>
      </w:r>
      <w:r>
        <w:rPr>
          <w:rFonts w:ascii="Segoe UI Emoji" w:hAnsi="Segoe UI Emoji"/>
          <w:color w:val="404040"/>
          <w:shd w:val="clear" w:color="auto" w:fill="FFFFFF"/>
        </w:rPr>
        <w:t>假设每类投资者都有100人，初始财富都为100股的股票+10000元，股票的初始价值为100元每股，模拟100天结果：</w:t>
      </w:r>
    </w:p>
    <w:p>
      <w:pPr>
        <w:jc w:val="left"/>
        <w:rPr>
          <w:rStyle w:val="6"/>
          <w:rFonts w:ascii="Arial" w:hAnsi="Arial" w:eastAsia="宋体" w:cs="Arial"/>
          <w:kern w:val="0"/>
          <w:sz w:val="22"/>
          <w:szCs w:val="22"/>
        </w:rPr>
      </w:pPr>
    </w:p>
    <w:p>
      <w:pPr>
        <w:jc w:val="left"/>
        <w:rPr>
          <w:rStyle w:val="6"/>
          <w:rFonts w:ascii="Arial" w:hAnsi="Arial" w:eastAsia="宋体" w:cs="Arial"/>
          <w:kern w:val="0"/>
          <w:sz w:val="22"/>
          <w:szCs w:val="22"/>
        </w:rPr>
      </w:pPr>
      <w:r>
        <w:rPr>
          <w:rStyle w:val="6"/>
          <w:rFonts w:hint="eastAsia" w:ascii="Arial" w:hAnsi="Arial" w:eastAsia="宋体" w:cs="Arial"/>
          <w:kern w:val="0"/>
          <w:sz w:val="22"/>
          <w:szCs w:val="22"/>
        </w:rPr>
        <w:t>补充信息：</w:t>
      </w:r>
    </w:p>
    <w:p>
      <w:pPr>
        <w:jc w:val="left"/>
        <w:rPr>
          <w:rStyle w:val="6"/>
          <w:rFonts w:ascii="Arial" w:hAnsi="Arial" w:eastAsia="宋体" w:cs="Arial"/>
          <w:kern w:val="0"/>
          <w:sz w:val="22"/>
          <w:szCs w:val="22"/>
        </w:rPr>
      </w:pPr>
      <w:r>
        <w:rPr>
          <w:rStyle w:val="6"/>
          <w:rFonts w:hint="eastAsia" w:ascii="Arial" w:hAnsi="Arial" w:eastAsia="宋体" w:cs="Arial"/>
          <w:kern w:val="0"/>
          <w:sz w:val="22"/>
          <w:szCs w:val="22"/>
        </w:rPr>
        <w:t>理解投资者的申购行为：各类投资者根据自身的资源禀赋及信息处理能力形成价格预测后，便进入市场参与交易。由于目前中国证券交易主要由限价订单构成，所以本文只考虑限价订单，由报价和报量两部分构成。 对于报价，当投资者预测价格将会上涨（下跌）时，结合自己的预测及下单前观测到的市场即时信息来进行买入（卖出）报价，</w:t>
      </w:r>
      <w:r>
        <w:rPr>
          <w:rStyle w:val="6"/>
          <w:rFonts w:ascii="Arial" w:hAnsi="Arial" w:eastAsia="宋体" w:cs="Arial"/>
          <w:kern w:val="0"/>
          <w:sz w:val="22"/>
          <w:szCs w:val="22"/>
        </w:rPr>
        <w:t xml:space="preserve"> </w:t>
      </w:r>
      <w:r>
        <w:rPr>
          <w:rStyle w:val="6"/>
          <w:rFonts w:hint="eastAsia" w:ascii="Arial" w:hAnsi="Arial" w:eastAsia="宋体" w:cs="Arial"/>
          <w:kern w:val="0"/>
          <w:sz w:val="22"/>
          <w:szCs w:val="22"/>
        </w:rPr>
        <w:t>各类投资者按随机顺序进入市场下单，基于连续双向拍卖的基本机制，采用上海证券交易所的规则来确定双方的成交价格。具体地，进入市场的订单按价格优先和时间优先的准则在订单簿中排序，最优买入申报价格为最 高买入申报价格，记为Ｂ；最优卖出申报价格为最低卖出申报价格，记为 A。若新进入的买单报价&gt;= A, 则以 A 的价格成交，即 q(现价）= A; 若新进入的卖单报价&lt;=B,则以B的价格成交，即q(现价) = B。若最优买入申报价格与最优卖出申报价格相同，则q(现价）= A= B。</w:t>
      </w:r>
    </w:p>
    <w:p>
      <w:pPr>
        <w:jc w:val="left"/>
        <w:rPr>
          <w:rStyle w:val="6"/>
          <w:rFonts w:ascii="Arial" w:hAnsi="Arial" w:eastAsia="宋体" w:cs="Arial"/>
          <w:kern w:val="0"/>
          <w:sz w:val="22"/>
          <w:szCs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2"/>
        </w:rPr>
        <w:t>尝试大类资产配置模型，也就是常见的最小方差模型，公式为：</w:t>
      </w:r>
      <w:r>
        <w:rPr>
          <w:rFonts w:ascii="Times New Roman" w:hAnsi="Times New Roman" w:eastAsia="宋体" w:cs="Times New Roman"/>
          <w:sz w:val="22"/>
        </w:rPr>
        <w:drawing>
          <wp:inline distT="0" distB="0" distL="114300" distR="114300">
            <wp:extent cx="2822575" cy="1100455"/>
            <wp:effectExtent l="0" t="0" r="158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hint="eastAsia"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Σ \SigmaΣ表示各个资产间的协方差矩阵，我们将选取三个大类资产进行配置，分别是沪深300），债券（上证国债指数000012），南华商品期货指数（NHCI.NH）进行配置。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2"/>
          <w:lang w:eastAsia="zh-Hans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2"/>
        </w:rPr>
        <w:t>尝试配置大类资产模型，换四个资产df1 df2 df3 df4按最小风险配置，构建最优资产组合，通过</w:t>
      </w:r>
      <w:r>
        <w:rPr>
          <w:rFonts w:hint="eastAsia" w:ascii="宋体" w:hAnsi="宋体" w:eastAsia="宋体" w:cs="宋体"/>
          <w:kern w:val="0"/>
          <w:sz w:val="24"/>
        </w:rPr>
        <w:t xml:space="preserve">获取tushare地址 </w:t>
      </w:r>
      <w:r>
        <w:fldChar w:fldCharType="begin"/>
      </w:r>
      <w:r>
        <w:instrText xml:space="preserve"> HYPERLINK "https://tushare.pro/register?reg=385920"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</w:rPr>
        <w:t>https://tushare.pro/register?reg=385920</w:t>
      </w:r>
      <w:r>
        <w:rPr>
          <w:rStyle w:val="5"/>
          <w:rFonts w:hint="eastAsia" w:ascii="宋体" w:hAnsi="宋体" w:eastAsia="宋体" w:cs="宋体"/>
          <w:kern w:val="0"/>
          <w:sz w:val="24"/>
        </w:rPr>
        <w:fldChar w:fldCharType="end"/>
      </w:r>
      <w:r>
        <w:rPr>
          <w:rFonts w:hint="eastAsia" w:ascii="宋体" w:hAnsi="宋体" w:eastAsia="宋体" w:cs="宋体"/>
          <w:kern w:val="0"/>
          <w:sz w:val="24"/>
        </w:rPr>
        <w:t>，设置完净值和日期后，观察风险资产模型。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sectPr>
      <w:pgSz w:w="11906" w:h="16838"/>
      <w:pgMar w:top="1440" w:right="1800" w:bottom="1440" w:left="180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jZjNTJkODgzNDM5ODQ3NGFmNDkyODgwYWE2YzgifQ=="/>
  </w:docVars>
  <w:rsids>
    <w:rsidRoot w:val="7DED7A0F"/>
    <w:rsid w:val="000E10F8"/>
    <w:rsid w:val="000F4FDD"/>
    <w:rsid w:val="001A0530"/>
    <w:rsid w:val="002D4CD1"/>
    <w:rsid w:val="00303338"/>
    <w:rsid w:val="00452C86"/>
    <w:rsid w:val="00586693"/>
    <w:rsid w:val="006B59B1"/>
    <w:rsid w:val="006F1C3A"/>
    <w:rsid w:val="0089790C"/>
    <w:rsid w:val="00AA777C"/>
    <w:rsid w:val="00C34FD5"/>
    <w:rsid w:val="00D778AD"/>
    <w:rsid w:val="00E03D89"/>
    <w:rsid w:val="00E15411"/>
    <w:rsid w:val="00F86604"/>
    <w:rsid w:val="00FC31CA"/>
    <w:rsid w:val="12F04727"/>
    <w:rsid w:val="27922328"/>
    <w:rsid w:val="35DF05BA"/>
    <w:rsid w:val="79B52E6A"/>
    <w:rsid w:val="7DED7A0F"/>
    <w:rsid w:val="E9EF3015"/>
    <w:rsid w:val="EEAE129F"/>
    <w:rsid w:val="FBFF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jh-p"/>
    <w:basedOn w:val="4"/>
    <w:qFormat/>
    <w:uiPriority w:val="0"/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695</Words>
  <Characters>798</Characters>
  <Lines>6</Lines>
  <Paragraphs>1</Paragraphs>
  <TotalTime>0</TotalTime>
  <ScaleCrop>false</ScaleCrop>
  <LinksUpToDate>false</LinksUpToDate>
  <CharactersWithSpaces>818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2022-02-20T09:36:00Z</dcterms:created>
  <dc:creator>huiyisu</dc:creator>
  <cp:lastModifiedBy>Fg</cp:lastModifiedBy>
  <dcterms:modified xsi:type="dcterms:W3CDTF">2024-01-16T08:11:17Z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AB430CD1B41544E1884EDE3E7F58AC40</vt:lpwstr>
  </property>
</Properties>
</file>