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Letter to the Administration</w:t>
      </w:r>
    </w:p>
    <w:p>
      <w:pPr>
        <w:spacing w:after="240"/>
      </w:pPr>
    </w:p>
    <w:p>
      <w:pPr>
        <w:spacing w:after="240"/>
      </w:pPr>
      <w:r>
        <w:t>Date: February 6, 2026</w:t>
      </w:r>
    </w:p>
    <w:p>
      <w:pPr>
        <w:spacing w:after="240"/>
      </w:pPr>
    </w:p>
    <w:p>
      <w:pPr>
        <w:spacing w:after="240"/>
      </w:pPr>
      <w:r>
        <w:t>To: The Campus Planning Committee, Sungrove University</w:t>
      </w:r>
    </w:p>
    <w:p>
      <w:pPr>
        <w:spacing w:after="240"/>
      </w:pPr>
      <w:r>
        <w:t>Attn: Director of Campus Sustainability</w:t>
      </w:r>
    </w:p>
    <w:p>
      <w:pPr>
        <w:spacing w:after="240"/>
      </w:pPr>
    </w:p>
    <w:p>
      <w:pPr>
        <w:spacing w:after="240"/>
      </w:pPr>
      <w:r>
        <w:t>From: Team 2629073</w:t>
      </w:r>
    </w:p>
    <w:p>
      <w:pPr>
        <w:spacing w:after="240"/>
      </w:pPr>
    </w:p>
    <w:p>
      <w:pPr>
        <w:spacing w:after="240"/>
      </w:pPr>
      <w:r>
        <w:t>Subject: Strategic Roadmap for Climate-Resilient Passive Design: From Retrofit to Robust Future</w:t>
      </w:r>
    </w:p>
    <w:p>
      <w:pPr>
        <w:spacing w:after="240"/>
      </w:pPr>
    </w:p>
    <w:p>
      <w:pPr>
        <w:spacing w:after="240"/>
      </w:pPr>
      <w:r>
        <w:t>Distinguished Committee Members,</w:t>
      </w:r>
    </w:p>
    <w:p>
      <w:pPr>
        <w:spacing w:after="240"/>
      </w:pPr>
    </w:p>
    <w:p>
      <w:pPr>
        <w:spacing w:after="240"/>
      </w:pPr>
      <w:r>
        <w:t>As Sungrove University embarks on its ambitious transformation towards a Net-Zero Cooling Initiative by 2040, the challenge lies not merely in adopting green technologies, but in fundamentally reimagining how your architecture interacts with the sun. Our team has conducted a rigorous, model-based feasibility analysis to support this vision. We present the Integrated Geometric–Thermal–Risk (IGTR) Framework, a physics-informed strategy that converts solar radiation from a burden into a manageable asset.</w:t>
      </w:r>
    </w:p>
    <w:p>
      <w:pPr>
        <w:spacing w:after="240"/>
      </w:pPr>
    </w:p>
    <w:p>
      <w:pPr>
        <w:spacing w:after="240"/>
      </w:pPr>
      <w:r>
        <w:t>Our analysis reveals that standard industry practices—often relying on simplistic "solar noon" calculations—are insufficient for Sungrove’s dynamic, tropical climate. Instead, we propose a two-phased implementation roadmap that addresses both the immediate retrofit of Academic Hall North and the future-proof construction of your new Student Union.</w:t>
      </w:r>
    </w:p>
    <w:p>
      <w:pPr>
        <w:spacing w:after="240"/>
      </w:pPr>
    </w:p>
    <w:p>
      <w:pPr>
        <w:spacing w:after="240"/>
      </w:pPr>
      <w:r>
        <w:t>Phase 1: The "Selective Filtration" Retrofit (Academic Hall North)</w:t>
      </w:r>
    </w:p>
    <w:p>
      <w:pPr>
        <w:spacing w:after="240"/>
      </w:pPr>
    </w:p>
    <w:p>
      <w:pPr>
        <w:spacing w:after="240"/>
      </w:pPr>
      <w:r>
        <w:t>For your existing infrastructure, the priority is Geometric Solar Rejection. Our simulation of Academic Hall North identifies a critical inefficiency: the current facade admits excessive solar gain during peak summer hours while failing to mitigate glare.</w:t>
      </w:r>
    </w:p>
    <w:p>
      <w:pPr>
        <w:spacing w:after="240"/>
      </w:pPr>
    </w:p>
    <w:p>
      <w:pPr>
        <w:spacing w:after="240"/>
      </w:pPr>
      <w:r>
        <w:t>- The Solution: We recommend installing a passive shading system characterized by deep South overhangs (extending to 70% of window height) and vertical East/West fins.</w:t>
      </w:r>
    </w:p>
    <w:p>
      <w:pPr>
        <w:spacing w:after="240"/>
      </w:pPr>
      <w:r>
        <w:t>- The Mechanism: Unlike static "rain covers," these dimensions are mathematically tuned to the solar inclination. They act as a selective optical filter, blocking 100% of the harsh summer beam while preserving essential winter daylight.</w:t>
      </w:r>
    </w:p>
    <w:p>
      <w:pPr>
        <w:spacing w:after="240"/>
      </w:pPr>
      <w:r>
        <w:t>- The Impact: Our models predict a 19.0% reduction in annual cooling load and the elimination of 86% of glare hours (reducing glare from 251 to 34 hours annually). This intervention requires no active mechanical parts, ensuring low maintenance and high structural durability.</w:t>
      </w:r>
    </w:p>
    <w:p>
      <w:pPr>
        <w:spacing w:after="240"/>
      </w:pPr>
    </w:p>
    <w:p>
      <w:pPr>
        <w:spacing w:after="240"/>
      </w:pPr>
      <w:r>
        <w:t>Phase 2: The "Robust Prototype" for New Construction (Student Union)</w:t>
      </w:r>
    </w:p>
    <w:p>
      <w:pPr>
        <w:spacing w:after="240"/>
      </w:pPr>
    </w:p>
    <w:p>
      <w:pPr>
        <w:spacing w:after="240"/>
      </w:pPr>
      <w:r>
        <w:t>For the new Student Union, the design horizon must extend beyond today’s weather. Climate volatility demands a building that is not just efficient on average, but resilient against extremes.</w:t>
      </w:r>
    </w:p>
    <w:p>
      <w:pPr>
        <w:spacing w:after="240"/>
      </w:pPr>
    </w:p>
    <w:p>
      <w:pPr>
        <w:spacing w:after="240"/>
      </w:pPr>
      <w:r>
        <w:t>- The Strategy: We propose Design Prototype A, a configuration selected via Conditional Value-at-Risk (CVaR) optimization. This design pairs aggressive shading with tuned thermal mass (utilizing materials like exposed concrete or Phase Change Materials). This creates a "thermal battery" that stabilizes indoor temperatures without the risk of "inertia traps" common in humid climates.</w:t>
      </w:r>
    </w:p>
    <w:p>
      <w:pPr>
        <w:spacing w:after="240"/>
      </w:pPr>
      <w:r>
        <w:t>- Future-Proofing: Stress-testing against 12 future climate scenarios (including extended heatwaves) confirms that this prototype minimizes "tail risk"—the likelihood of catastrophic overheating. It ensures operational continuity (maintaining safe temperatures for over 1757 additional hours) when conventional designs would fail.</w:t>
      </w:r>
    </w:p>
    <w:p>
      <w:pPr>
        <w:spacing w:after="240"/>
      </w:pPr>
      <w:r>
        <w:t>- Geometric Versatility: Our framework supports architectural freedom. Whether the Student Union features classic rectangular glazing or complex curved geometries, our Geometric Discretization Sub-model ensures the shading performance remains optimal.</w:t>
      </w:r>
    </w:p>
    <w:p>
      <w:pPr>
        <w:spacing w:after="240"/>
      </w:pPr>
    </w:p>
    <w:p>
      <w:pPr>
        <w:spacing w:after="240"/>
      </w:pPr>
      <w:r>
        <w:t>Recommendation</w:t>
      </w:r>
    </w:p>
    <w:p>
      <w:pPr>
        <w:spacing w:after="240"/>
      </w:pPr>
    </w:p>
    <w:p>
      <w:pPr>
        <w:spacing w:after="240"/>
      </w:pPr>
      <w:r>
        <w:t>We urge Sungrove University to adopt the IGTR framework as its new design standard. By shifting from a reactive reliance on HVAC to a proactive, morphology-based passive strategy, you will not only meet your 2040 Net-Zero targets but also create a campus that is visually distinct, thermally comfortable, and structurally resilient.</w:t>
      </w:r>
    </w:p>
    <w:p>
      <w:pPr>
        <w:spacing w:after="240"/>
      </w:pPr>
    </w:p>
    <w:p>
      <w:pPr>
        <w:spacing w:after="240"/>
      </w:pPr>
      <w:r>
        <w:t>We stand ready to assist in the detailed engineering phase of these prototypes.</w:t>
      </w:r>
    </w:p>
    <w:p>
      <w:pPr>
        <w:spacing w:after="240"/>
      </w:pPr>
    </w:p>
    <w:p>
      <w:pPr>
        <w:spacing w:after="240"/>
      </w:pPr>
      <w:r>
        <w:t>Sincerely,</w:t>
      </w:r>
    </w:p>
    <w:p>
      <w:pPr>
        <w:spacing w:after="240"/>
      </w:pPr>
    </w:p>
    <w:p>
      <w:pPr>
        <w:spacing w:after="240"/>
      </w:pPr>
      <w:r>
        <w:t>Team 2629073</w:t>
      </w:r>
    </w:p>
    <w:p>
      <w:pPr>
        <w:spacing w:after="2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