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4.4a: Placebo-Characteristic Second-Step Test, β̂_char,t ~ T_t (final table number pending the Table renumbering pass, Section E3)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S&amp;P 500 HAC-t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Full-Universe HAC-t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Size (log mkt cap)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significant, both panels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Book-to-market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significant, both panels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Momentum (12-1)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−2.15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−4.00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significant, both panels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 S&amp;P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ΔS (paper's result, raw)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ΔS, dispersion-normalized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S&amp;P drops below significance; full-universe survives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Stacked diff test, 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t=+2.23, p=0.026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t=+2.26, p=0.024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date-clustered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Stacked diff test, normalized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t=+1.25, p=0.213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t=+2.21, p=0.027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date-clustered</w:t>
            </w:r>
          </w:p>
        </w:tc>
      </w:tr>
    </w:tbl>
    <w:p>
      <w:r>
        <w:rPr>
          <w:i/>
          <w:sz w:val="16"/>
        </w:rPr>
        <w:t>Source: D1 placebo-characteristic test, results/revision/D1_placebo_characteristic_test.txt. Both panels use the identical first-step regression (ret_next ~ const + ΔH_z + char_z), same controls, same months, as the paper's own ΔH/ΔS estimates (334 months S&amp;P, 111 quarters full-universe). z-scoring convention verified byte-identical to the ΔS_z construction (R20's cs_wz).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