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Comprehensive Equity Audit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American Institutes for Research®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Comprehensive Equity Audit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DeKalb County School District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pPr>
        <w:pStyle w:val="Heading2"/>
        <w:jc w:val="left"/>
      </w:pPr>
      <w:r>
        <w:rPr>
          <w:color w:val="2D3748"/>
        </w:rPr>
        <w:t>Activity 1: Collaborative planning</w:t>
      </w:r>
    </w:p>
    <w:p>
      <w:r>
        <w:t>Planned Activity: Collaborative planning with a district-led EAAP steering committee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2: Data collection and analysis</w:t>
      </w:r>
    </w:p>
    <w:p>
      <w:r>
        <w:t>Planned Activity: Rigorous collection and analysis of existing and new quantitative and qualitative data, including surveys, interviews, and focus groups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3: Co-interpretation process</w:t>
      </w:r>
    </w:p>
    <w:p>
      <w:r>
        <w:t>Planned Activity: Collaboratively identifying key findings and root causes of inequities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4: Final report and action plan</w:t>
      </w:r>
    </w:p>
    <w:p>
      <w:r>
        <w:t>Planned Activity: Final report of findings and a community-informed, multiyear strategic equity action plan</w:t>
      </w:r>
    </w:p>
    <w:p>
      <w:r>
        <w:t>Expected Deliverables: See description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