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AA08" w14:textId="77777777" w:rsidR="006363DA" w:rsidRPr="006363DA" w:rsidRDefault="006363DA" w:rsidP="006363DA">
      <w:pPr>
        <w:numPr>
          <w:ilvl w:val="0"/>
          <w:numId w:val="1"/>
        </w:numPr>
        <w:autoSpaceDE w:val="0"/>
        <w:autoSpaceDN w:val="0"/>
        <w:spacing w:after="0" w:line="400" w:lineRule="exact"/>
        <w:ind w:rightChars="200" w:right="440"/>
        <w:jc w:val="both"/>
        <w:rPr>
          <w:rFonts w:ascii="Times New Roman" w:eastAsia="宋体" w:hAnsi="Times New Roman" w:cs="Times New Roman"/>
          <w:bCs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Times New Roman" w:hint="eastAsia"/>
          <w:bCs/>
          <w:kern w:val="0"/>
          <w:sz w:val="21"/>
          <w:szCs w:val="21"/>
          <w:lang w:val="zh-CN" w:bidi="zh-CN"/>
          <w14:ligatures w14:val="none"/>
        </w:rPr>
        <w:t>物理驱动的地下水污染溯源方法</w:t>
      </w:r>
    </w:p>
    <w:p w14:paraId="7808E119" w14:textId="77777777" w:rsidR="006363DA" w:rsidRPr="006363DA" w:rsidRDefault="006363DA" w:rsidP="006363DA">
      <w:pPr>
        <w:spacing w:after="0" w:line="400" w:lineRule="exact"/>
        <w:ind w:leftChars="300" w:left="660" w:rightChars="200" w:right="440"/>
        <w:jc w:val="both"/>
        <w:rPr>
          <w:rFonts w:ascii="Times New Roman" w:eastAsia="宋体" w:hAnsi="Times New Roman" w:cs="Times New Roman"/>
          <w:bCs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Times New Roman" w:hint="eastAsia"/>
          <w:bCs/>
          <w:kern w:val="0"/>
          <w:sz w:val="21"/>
          <w:szCs w:val="21"/>
          <w:lang w:val="zh-CN" w:bidi="zh-CN"/>
          <w14:ligatures w14:val="none"/>
        </w:rPr>
        <w:t>PINN</w:t>
      </w:r>
      <w:r w:rsidRPr="006363DA">
        <w:rPr>
          <w:rFonts w:ascii="Times New Roman" w:eastAsia="宋体" w:hAnsi="Times New Roman" w:cs="Times New Roman" w:hint="eastAsia"/>
          <w:bCs/>
          <w:kern w:val="0"/>
          <w:sz w:val="21"/>
          <w:szCs w:val="21"/>
          <w:lang w:val="zh-CN" w:bidi="zh-CN"/>
          <w14:ligatures w14:val="none"/>
        </w:rPr>
        <w:t>神经网络结构：</w:t>
      </w:r>
    </w:p>
    <w:p w14:paraId="07B08761" w14:textId="77777777" w:rsidR="006363DA" w:rsidRPr="006363DA" w:rsidRDefault="006363DA" w:rsidP="006363DA">
      <w:pPr>
        <w:keepNext/>
        <w:autoSpaceDE w:val="0"/>
        <w:autoSpaceDN w:val="0"/>
        <w:spacing w:after="0" w:line="240" w:lineRule="auto"/>
        <w:ind w:right="200"/>
        <w:jc w:val="center"/>
        <w:rPr>
          <w:rFonts w:ascii="Times New Roman" w:eastAsia="宋体" w:hAnsi="Times New Roman" w:cs="宋体"/>
          <w:kern w:val="0"/>
          <w:sz w:val="21"/>
          <w:szCs w:val="22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/>
          <w:noProof/>
          <w:kern w:val="0"/>
          <w:sz w:val="21"/>
          <w:szCs w:val="22"/>
          <w:lang w:val="zh-CN" w:bidi="zh-CN"/>
          <w14:ligatures w14:val="none"/>
        </w:rPr>
        <w:drawing>
          <wp:inline distT="0" distB="0" distL="0" distR="0" wp14:anchorId="5FD3BE8C" wp14:editId="24CC0761">
            <wp:extent cx="4950460" cy="3168015"/>
            <wp:effectExtent l="0" t="0" r="2540" b="0"/>
            <wp:docPr id="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06" cy="320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3B21" w14:textId="77777777" w:rsidR="006363DA" w:rsidRPr="006363DA" w:rsidRDefault="006363DA" w:rsidP="006363DA">
      <w:pPr>
        <w:spacing w:after="0" w:line="400" w:lineRule="exact"/>
        <w:jc w:val="center"/>
        <w:rPr>
          <w:rFonts w:ascii="Times New Roman" w:eastAsia="黑体" w:hAnsi="Times New Roman" w:cs="Times New Roman"/>
          <w:bCs/>
          <w:sz w:val="21"/>
          <w:szCs w:val="21"/>
          <w14:ligatures w14:val="none"/>
        </w:rPr>
      </w:pP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t>图</w:t>
      </w: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t xml:space="preserve"> </w:t>
      </w: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fldChar w:fldCharType="begin"/>
      </w: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instrText xml:space="preserve"> SEQ </w:instrText>
      </w: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instrText>图表</w:instrText>
      </w: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instrText xml:space="preserve"> \* ARABIC </w:instrText>
      </w: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fldChar w:fldCharType="separate"/>
      </w: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t>3</w:t>
      </w: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fldChar w:fldCharType="end"/>
      </w:r>
      <w:r w:rsidRPr="006363DA">
        <w:rPr>
          <w:rFonts w:ascii="Times New Roman" w:eastAsia="黑体" w:hAnsi="Times New Roman" w:cs="Times New Roman"/>
          <w:sz w:val="20"/>
          <w:szCs w:val="20"/>
          <w14:ligatures w14:val="none"/>
        </w:rPr>
        <w:t xml:space="preserve"> </w:t>
      </w:r>
      <w:r w:rsidRPr="006363DA">
        <w:rPr>
          <w:rFonts w:ascii="Times New Roman" w:eastAsia="黑体" w:hAnsi="Times New Roman" w:cs="Times New Roman" w:hint="eastAsia"/>
          <w:sz w:val="20"/>
          <w:szCs w:val="20"/>
          <w14:ligatures w14:val="none"/>
        </w:rPr>
        <w:t>PINN</w:t>
      </w:r>
      <w:r w:rsidRPr="006363DA">
        <w:rPr>
          <w:rFonts w:ascii="Times New Roman" w:eastAsia="黑体" w:hAnsi="Times New Roman" w:cs="Times New Roman" w:hint="eastAsia"/>
          <w:sz w:val="20"/>
          <w:szCs w:val="20"/>
          <w14:ligatures w14:val="none"/>
        </w:rPr>
        <w:t>神经网络结构示意图</w:t>
      </w:r>
    </w:p>
    <w:p w14:paraId="13571EE2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 xml:space="preserve">PINN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在一组训练点上训练神经网络模型，使其满足模型的要求。通过将损失函数与偏微分方程的残差、初始条件（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IC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）和边界条件（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BC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）相结合，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 xml:space="preserve">PINN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无需使用任何其他模型或模拟即可获得偏微分方程的解。</w:t>
      </w:r>
    </w:p>
    <w:p w14:paraId="104878EE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/>
          <w:noProof/>
          <w:kern w:val="0"/>
          <w:sz w:val="21"/>
          <w:szCs w:val="22"/>
          <w:lang w:val="zh-CN" w:bidi="zh-C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F7547" wp14:editId="7092F736">
                <wp:simplePos x="0" y="0"/>
                <wp:positionH relativeFrom="column">
                  <wp:posOffset>1306830</wp:posOffset>
                </wp:positionH>
                <wp:positionV relativeFrom="paragraph">
                  <wp:posOffset>3283585</wp:posOffset>
                </wp:positionV>
                <wp:extent cx="3338195" cy="635"/>
                <wp:effectExtent l="0" t="0" r="0" b="0"/>
                <wp:wrapTopAndBottom/>
                <wp:docPr id="124969028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9B65B" w14:textId="77777777" w:rsidR="006363DA" w:rsidRDefault="006363DA" w:rsidP="006363DA">
                            <w:pPr>
                              <w:pStyle w:val="11"/>
                              <w:jc w:val="center"/>
                              <w:rPr>
                                <w:rFonts w:ascii="Times New Roman" w:eastAsia="宋体" w:hAnsi="Times New Roman" w:cs="宋体"/>
                                <w:kern w:val="0"/>
                                <w:sz w:val="21"/>
                                <w:szCs w:val="21"/>
                                <w:lang w:val="zh-CN" w:bidi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贝叶斯神经网络结构示意图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8F754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02.9pt;margin-top:258.55pt;width:262.8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" stroked="f">
                <v:textbox style="mso-fit-shape-to-text:t" inset="0,0,0,0">
                  <w:txbxContent>
                    <w:p w14:paraId="6A19B65B" w14:textId="77777777" w:rsidR="006363DA" w:rsidRDefault="006363DA" w:rsidP="006363DA">
                      <w:pPr>
                        <w:pStyle w:val="11"/>
                        <w:jc w:val="center"/>
                        <w:rPr>
                          <w:rFonts w:ascii="Times New Roman" w:eastAsia="宋体" w:hAnsi="Times New Roman" w:cs="宋体"/>
                          <w:kern w:val="0"/>
                          <w:sz w:val="21"/>
                          <w:szCs w:val="21"/>
                          <w:lang w:val="zh-CN" w:bidi="zh-CN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图表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t>4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贝叶斯神经网络结构示意图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贝叶斯神经网络结构：</w:t>
      </w:r>
    </w:p>
    <w:p w14:paraId="4753F81C" w14:textId="77777777" w:rsidR="006363DA" w:rsidRPr="006363DA" w:rsidRDefault="006363DA" w:rsidP="006363DA">
      <w:pPr>
        <w:autoSpaceDE w:val="0"/>
        <w:autoSpaceDN w:val="0"/>
        <w:spacing w:after="0" w:line="240" w:lineRule="auto"/>
        <w:ind w:rightChars="200" w:right="440" w:firstLineChars="200" w:firstLine="420"/>
        <w:jc w:val="center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noProof/>
          <w:kern w:val="0"/>
          <w:sz w:val="21"/>
          <w:szCs w:val="21"/>
          <w:lang w:val="zh-CN" w:bidi="zh-CN"/>
          <w14:ligatures w14:val="none"/>
        </w:rPr>
        <w:drawing>
          <wp:inline distT="0" distB="0" distL="0" distR="0" wp14:anchorId="5122CB53" wp14:editId="4243D9D9">
            <wp:extent cx="3335020" cy="2943225"/>
            <wp:effectExtent l="0" t="0" r="0" b="9525"/>
            <wp:docPr id="1032606168" name="图片 8" descr="图表, 气泡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06168" name="图片 8" descr="图表, 气泡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117" cy="29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261B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BNN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跟常见的深度神经网络的不同之处在于，其权重参数是随机变量，而非确定的值，它是通过概率建模和神经网络结合起来，并能够给出预测结果的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lastRenderedPageBreak/>
        <w:t>置信度。其先验用来描述关键参数，并作为神经网络的输入。神经网络的输出用来描述特定的概率分布的似然。通过采样或者变分推断来计算后验分布。这对于很多问题来说非常关键，由于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BNN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具有不确定性量化能力，所以具有非常强的鲁棒性。</w:t>
      </w:r>
    </w:p>
    <w:p w14:paraId="7F5CD523" w14:textId="77777777" w:rsidR="006363DA" w:rsidRPr="006363DA" w:rsidRDefault="006363DA" w:rsidP="006363DA">
      <w:pPr>
        <w:autoSpaceDE w:val="0"/>
        <w:autoSpaceDN w:val="0"/>
        <w:spacing w:after="0" w:line="240" w:lineRule="auto"/>
        <w:ind w:right="200" w:firstLineChars="200" w:firstLine="420"/>
        <w:jc w:val="both"/>
        <w:rPr>
          <w:rFonts w:ascii="Times New Roman" w:eastAsia="宋体" w:hAnsi="Times New Roman" w:cs="Times New Roman"/>
          <w:bCs/>
          <w:kern w:val="0"/>
          <w:sz w:val="21"/>
          <w:szCs w:val="21"/>
          <w:lang w:val="zh-CN" w:bidi="zh-CN"/>
          <w14:ligatures w14:val="none"/>
        </w:rPr>
      </w:pPr>
    </w:p>
    <w:p w14:paraId="27699F52" w14:textId="77777777" w:rsidR="006363DA" w:rsidRPr="006363DA" w:rsidRDefault="006363DA" w:rsidP="006363DA">
      <w:pPr>
        <w:autoSpaceDE w:val="0"/>
        <w:autoSpaceDN w:val="0"/>
        <w:spacing w:after="0" w:line="400" w:lineRule="exact"/>
        <w:ind w:rightChars="200" w:right="440"/>
        <w:jc w:val="both"/>
        <w:rPr>
          <w:rFonts w:ascii="Times New Roman" w:eastAsia="宋体" w:hAnsi="Times New Roman" w:cs="宋体"/>
          <w:b/>
          <w:bCs/>
          <w:kern w:val="0"/>
          <w:sz w:val="21"/>
          <w:szCs w:val="22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b/>
          <w:bCs/>
          <w:kern w:val="0"/>
          <w:sz w:val="21"/>
          <w:szCs w:val="22"/>
          <w:lang w:val="zh-CN" w:bidi="zh-CN"/>
          <w14:ligatures w14:val="none"/>
        </w:rPr>
        <w:t>理论分析：</w:t>
      </w:r>
    </w:p>
    <w:p w14:paraId="1A11CD28" w14:textId="77777777" w:rsidR="006363DA" w:rsidRPr="006363DA" w:rsidRDefault="006363DA" w:rsidP="006363DA">
      <w:pPr>
        <w:autoSpaceDE w:val="0"/>
        <w:autoSpaceDN w:val="0"/>
        <w:spacing w:after="0" w:line="400" w:lineRule="exact"/>
        <w:ind w:rightChars="200" w:right="440" w:firstLineChars="200" w:firstLine="422"/>
        <w:jc w:val="both"/>
        <w:rPr>
          <w:rFonts w:ascii="Times New Roman" w:eastAsia="宋体" w:hAnsi="Times New Roman" w:cs="宋体"/>
          <w:b/>
          <w:bCs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b/>
          <w:bCs/>
          <w:kern w:val="0"/>
          <w:sz w:val="21"/>
          <w:szCs w:val="21"/>
          <w:lang w:val="zh-CN" w:bidi="zh-CN"/>
          <w14:ligatures w14:val="none"/>
        </w:rPr>
        <w:t>对流扩散方程：</w:t>
      </w:r>
    </w:p>
    <w:p w14:paraId="37F82C22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对流扩散方程（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Advection-Dispersion Equation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，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ADE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）是一种经典的抛物型偏微分方程，用以描述物质在流体介质中同时受到对流与扩散作用下的传输过程，其理论基础来源于连续性方程、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 xml:space="preserve">Fick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第一定律与对流通量的耦合。在环境科学与水文地质领域，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 xml:space="preserve">ADE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构成了地下水污染输运与溯源模型的核心框架，大量研究将其用于预测溶质在含水层中的迁移路径、评估污染风险及指导修复工程设计。此外，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 xml:space="preserve">ADE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在海洋学、大气科学、化工过程模拟及热传导等领域也有广泛应用，数值求解方法涵盖有限差分、有限元、谱方法和格子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 xml:space="preserve"> Boltzmann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方法等，对提高环境预测精度和工程决策效率具有重要意义。</w:t>
      </w:r>
    </w:p>
    <w:p w14:paraId="46C1DB75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在二维直角坐标系</w:t>
      </w:r>
      <w:r w:rsidRPr="006363DA">
        <w:rPr>
          <w:rFonts w:ascii="Cambria Math" w:eastAsia="宋体" w:hAnsi="Cambria Math" w:cs="宋体" w:hint="eastAsia"/>
          <w:i/>
          <w:kern w:val="0"/>
          <w:sz w:val="21"/>
          <w:szCs w:val="21"/>
          <w:lang w:bidi="zh-CN"/>
          <w14:ligatures w14:val="none"/>
        </w:rPr>
        <w:t xml:space="preserve"> </w:t>
      </w:r>
      <m:oMath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x,y</m:t>
            </m:r>
          </m:e>
        </m:d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中，设溶质浓度场为</w:t>
      </w:r>
      <m:oMath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C</m:t>
        </m:r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x,y,t</m:t>
            </m:r>
          </m:e>
        </m:d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、孔隙水线速度为</w:t>
      </w:r>
      <m:oMath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v</m:t>
        </m:r>
        <m:r>
          <w:rPr>
            <w:rFonts w:ascii="Cambria Math" w:eastAsia="宋体" w:hAnsi="Cambria Math" w:cs="宋体" w:hint="eastAsia"/>
            <w:kern w:val="0"/>
            <w:sz w:val="21"/>
            <w:szCs w:val="21"/>
            <w:lang w:bidi="zh-CN"/>
            <w14:ligatures w14:val="none"/>
          </w:rPr>
          <m:t>=</m:t>
        </m:r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x</m:t>
                </m:r>
              </m:sub>
            </m:sSub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y</m:t>
                </m:r>
              </m:sub>
            </m:sSub>
          </m:e>
        </m:d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、分散系数张量为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：</w:t>
      </w:r>
    </w:p>
    <w:p w14:paraId="160CFFCF" w14:textId="77777777" w:rsidR="006363DA" w:rsidRPr="006363DA" w:rsidRDefault="006363DA" w:rsidP="006363DA">
      <w:pPr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D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i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  <m:t>xx</m:t>
                            </m:r>
                          </m:sub>
                        </m:sSub>
                        <m:ctrlPr>
                          <w:rPr>
                            <w:rFonts w:ascii="Cambria Math" w:eastAsia="宋体" w:hAnsi="Cambria Math" w:cs="宋体"/>
                            <w:i/>
                            <w:kern w:val="0"/>
                            <w:sz w:val="21"/>
                            <w:szCs w:val="21"/>
                            <w:lang w:bidi="zh-CN"/>
                            <w14:ligatures w14:val="none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i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  <m:t>xy</m:t>
                            </m:r>
                          </m:sub>
                        </m:sSub>
                        <m:ctrlPr>
                          <w:rPr>
                            <w:rFonts w:ascii="Cambria Math" w:eastAsia="宋体" w:hAnsi="Cambria Math" w:cs="宋体"/>
                            <w:i/>
                            <w:kern w:val="0"/>
                            <w:sz w:val="21"/>
                            <w:szCs w:val="21"/>
                            <w:lang w:bidi="zh-CN"/>
                            <w14:ligatures w14:val="none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i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  <m:t>yx</m:t>
                            </m:r>
                          </m:sub>
                        </m:sSub>
                        <m:ctrlPr>
                          <w:rPr>
                            <w:rFonts w:ascii="Cambria Math" w:eastAsia="宋体" w:hAnsi="Cambria Math" w:cs="宋体"/>
                            <w:i/>
                            <w:kern w:val="0"/>
                            <w:sz w:val="21"/>
                            <w:szCs w:val="21"/>
                            <w:lang w:bidi="zh-CN"/>
                            <w14:ligatures w14:val="none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i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1"/>
                                <w:szCs w:val="21"/>
                                <w:lang w:bidi="zh-CN"/>
                                <w14:ligatures w14:val="none"/>
                              </w:rPr>
                              <m:t>yy</m:t>
                            </m:r>
                          </m:sub>
                        </m:sSub>
                        <m:ctrlPr>
                          <w:rPr>
                            <w:rFonts w:ascii="Cambria Math" w:eastAsia="宋体" w:hAnsi="Cambria Math" w:cs="宋体"/>
                            <w:i/>
                            <w:kern w:val="0"/>
                            <w:sz w:val="21"/>
                            <w:szCs w:val="21"/>
                            <w:lang w:bidi="zh-CN"/>
                            <w14:ligatures w14:val="none"/>
                          </w:rPr>
                        </m:ctrlPr>
                      </m:e>
                    </m:mr>
                  </m:m>
                </m:e>
              </m:d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1</m:t>
                  </m:r>
                </m:e>
              </m:d>
            </m:e>
          </m:eqArr>
        </m:oMath>
      </m:oMathPara>
    </w:p>
    <w:p w14:paraId="0BBE55AF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并令</w:t>
      </w:r>
      <m:oMath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S(x,y,t)</m:t>
        </m:r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表示源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/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汇项，则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 xml:space="preserve"> ADE 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的守恒形式可写为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：</w:t>
      </w:r>
    </w:p>
    <w:p w14:paraId="1FE9D7DE" w14:textId="77777777" w:rsidR="006363DA" w:rsidRPr="006363DA" w:rsidRDefault="006363DA" w:rsidP="006363DA">
      <w:pPr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t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∇⋅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D 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∇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-</m:t>
                  </m:r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v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e>
              </m:d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+S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x,y,t</m:t>
                  </m:r>
                </m:e>
              </m:d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2</m:t>
                  </m:r>
                </m:e>
              </m:d>
            </m:e>
          </m:eqArr>
        </m:oMath>
      </m:oMathPara>
    </w:p>
    <w:p w14:paraId="690B2973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当介质各向同性或仅考虑主方向分散、忽略交叉项</w:t>
      </w:r>
      <m:oMath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xy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=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yx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=0</m:t>
            </m:r>
          </m:e>
        </m:d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，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且无显式源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/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汇时，可简化为常见的标量形式：</w:t>
      </w:r>
    </w:p>
    <w:p w14:paraId="6C421DC1" w14:textId="77777777" w:rsidR="006363DA" w:rsidRPr="006363DA" w:rsidRDefault="006363DA" w:rsidP="006363DA">
      <w:pPr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t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y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3</m:t>
                  </m:r>
                </m:e>
              </m:d>
            </m:e>
          </m:eqArr>
        </m:oMath>
      </m:oMathPara>
    </w:p>
    <w:p w14:paraId="3F7C746B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其中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：</w:t>
      </w:r>
    </w:p>
    <w:p w14:paraId="248AF7BA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x</m:t>
            </m:r>
          </m:sub>
        </m:sSub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y</m:t>
            </m:r>
          </m:sub>
        </m:sSub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分别代表沿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x</m:t>
        </m:r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、</w:t>
      </w:r>
      <m:oMath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y</m:t>
        </m:r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方向的总分散系数（包含机械分散与分子扩散）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；</w:t>
      </w:r>
    </w:p>
    <w:p w14:paraId="024E5FA9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r>
          <w:rPr>
            <w:rFonts w:ascii="Cambria Math" w:eastAsia="宋体" w:hAnsi="Cambria Math" w:cs="宋体" w:hint="eastAsia"/>
            <w:kern w:val="0"/>
            <w:sz w:val="21"/>
            <w:szCs w:val="21"/>
            <w:lang w:bidi="zh-CN"/>
            <w14:ligatures w14:val="none"/>
          </w:rPr>
          <m:t>C(x,y,t)</m:t>
        </m:r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代表溶质浓度（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M/L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³），反映污染物或示踪剂在各点的浓度分布；</w:t>
      </w:r>
    </w:p>
    <w:p w14:paraId="13B875A5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v=</m:t>
        </m:r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x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y</m:t>
                </m:r>
              </m:sub>
            </m:sSub>
          </m:e>
        </m:d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代表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孔隙中流体线速度（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L/T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），由达西速率与孔隙度等转换得到；</w:t>
      </w:r>
    </w:p>
    <w:p w14:paraId="2685E49B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D</m:t>
        </m:r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代表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分散系数张量（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L²/T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），其主对角元素包含纵向与横向机械分散与分子扩散之和；</w:t>
      </w:r>
    </w:p>
    <w:p w14:paraId="799FD87C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S</m:t>
        </m:r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x,y,t</m:t>
            </m:r>
          </m:e>
        </m:d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代表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源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/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汇项（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M/L³/T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），可表示污染物注入、化学反应或生物降解等过程。</w:t>
      </w:r>
    </w:p>
    <w:p w14:paraId="04410682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在时间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 xml:space="preserve">t=0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时，假设物质浓度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 xml:space="preserve"> C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在区域内均匀分布，且浓度为零，只在区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lastRenderedPageBreak/>
        <w:t>域的中心有一个高斯分布的初始浓度。则初始条件可以表示为：</w:t>
      </w:r>
    </w:p>
    <w:p w14:paraId="4DA36DA3" w14:textId="77777777" w:rsidR="006363DA" w:rsidRPr="006363DA" w:rsidRDefault="006363DA" w:rsidP="006363DA">
      <w:pPr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C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x,y,0</m:t>
                  </m:r>
                </m:e>
              </m:d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exp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y-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宋体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  <m:t>σ</m:t>
                          </m: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e>
              </m:d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4</m:t>
                  </m:r>
                </m:e>
              </m:d>
            </m:e>
          </m:eqArr>
        </m:oMath>
      </m:oMathPara>
    </w:p>
    <w:p w14:paraId="11B1D9D7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其中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：</w:t>
      </w:r>
    </w:p>
    <w:p w14:paraId="6EFEB57D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="1080" w:rightChars="200" w:right="44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0</m:t>
            </m:r>
          </m:sub>
        </m:sSub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为高斯分布的峰值浓度；</w:t>
      </w:r>
    </w:p>
    <w:p w14:paraId="3C8578F1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="1080" w:rightChars="200" w:right="44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σ</m:t>
        </m:r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为标准差，控制分布宽度；</w:t>
      </w:r>
    </w:p>
    <w:p w14:paraId="677D8B31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="1080" w:rightChars="200" w:right="44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c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c</m:t>
                </m:r>
              </m:sub>
            </m:sSub>
          </m:e>
        </m:d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为区域中心坐标。</w:t>
      </w:r>
    </w:p>
    <w:p w14:paraId="5651C83E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ADE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通常有三类边界条件：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 xml:space="preserve">Dirichlet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边界条件，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 xml:space="preserve">Neumann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边界条件，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 xml:space="preserve">Robin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边界条件。我们在此采用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 xml:space="preserve">Dirichlet 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边界条件，即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直接指定边界上的浓度值，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可以表示为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：</w:t>
      </w:r>
    </w:p>
    <w:p w14:paraId="1A7BCC84" w14:textId="77777777" w:rsidR="006363DA" w:rsidRPr="006363DA" w:rsidRDefault="006363DA" w:rsidP="006363DA">
      <w:pPr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C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,</m:t>
                  </m:r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y,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t</m:t>
                  </m:r>
                </m:e>
              </m:d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,</m:t>
                  </m:r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y,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t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 xml:space="preserve">, </m:t>
              </m:r>
              <m:r>
                <m:rPr>
                  <m:nor/>
                </m:rP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当</m:t>
              </m:r>
              <m:r>
                <m:rPr>
                  <m:nor/>
                </m:rP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 xml:space="preserve"> </m:t>
              </m:r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x,</m:t>
              </m:r>
              <m:r>
                <m:rPr>
                  <m:sty m:val="bi"/>
                </m:rP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y</m:t>
              </m:r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∈</m:t>
              </m:r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Γ,t</m:t>
              </m:r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≥</m:t>
              </m:r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0</m:t>
              </m:r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5</m:t>
                  </m:r>
                </m:e>
              </m:d>
            </m:e>
          </m:eqArr>
        </m:oMath>
      </m:oMathPara>
    </w:p>
    <w:p w14:paraId="1A619D33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其中：</w:t>
      </w:r>
    </w:p>
    <w:p w14:paraId="2DD87EAD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x</m:t>
            </m:r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,</m:t>
            </m:r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y</m:t>
            </m:r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,</m:t>
            </m:r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t</m:t>
            </m:r>
          </m:e>
        </m:d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是边界上的已知函数或常数；</w:t>
      </w:r>
    </w:p>
    <w:p w14:paraId="658081D2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>
        <m:r>
          <w:rPr>
            <w:rFonts w:ascii="Cambria Math" w:eastAsia="宋体" w:hAnsi="Cambria Math" w:cs="宋体" w:hint="eastAsia"/>
            <w:kern w:val="0"/>
            <w:sz w:val="21"/>
            <w:szCs w:val="21"/>
            <w:lang w:bidi="zh-CN"/>
            <w14:ligatures w14:val="none"/>
          </w:rPr>
          <m:t>Γ</m:t>
        </m:r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表示空间域的边界。</w:t>
      </w:r>
    </w:p>
    <w:p w14:paraId="0E01405D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</w:p>
    <w:p w14:paraId="610EF8EA" w14:textId="77777777" w:rsidR="006363DA" w:rsidRPr="006363DA" w:rsidRDefault="006363DA" w:rsidP="006363DA">
      <w:pPr>
        <w:autoSpaceDE w:val="0"/>
        <w:autoSpaceDN w:val="0"/>
        <w:spacing w:after="0" w:line="400" w:lineRule="exact"/>
        <w:ind w:rightChars="200" w:right="440" w:firstLine="420"/>
        <w:jc w:val="both"/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Times New Roman" w:hint="eastAsia"/>
          <w:b/>
          <w:bCs/>
          <w:kern w:val="0"/>
          <w:sz w:val="21"/>
          <w:szCs w:val="21"/>
          <w:lang w:bidi="zh-CN"/>
          <w14:ligatures w14:val="none"/>
        </w:rPr>
        <w:t>PINN</w:t>
      </w:r>
      <w:r w:rsidRPr="006363DA">
        <w:rPr>
          <w:rFonts w:ascii="Times New Roman" w:eastAsia="宋体" w:hAnsi="Times New Roman" w:cs="宋体" w:hint="eastAsia"/>
          <w:b/>
          <w:bCs/>
          <w:kern w:val="0"/>
          <w:sz w:val="21"/>
          <w:szCs w:val="21"/>
          <w:lang w:bidi="zh-CN"/>
          <w14:ligatures w14:val="none"/>
        </w:rPr>
        <w:t>：</w:t>
      </w:r>
    </w:p>
    <w:p w14:paraId="16700DA4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物理信息神经网络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（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Physics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-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Informed Neural Networks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，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PINNs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）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是一类在神经网络训练过程中同时满足观测数据和所给物理定律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（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以偏微分方程形式刻画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）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的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“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物理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-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数据融合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”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方法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，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最早由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Raissi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等人于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2019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年提出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，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目标是在无需网格划分的条件下求解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PDE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的正反问题。与传统数值方法依赖有限差分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/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有限元离散不同，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PINN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直接将网络输出视为待求解的场函数，并通过自动微分计算其对空间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-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时间坐标的导数，从而将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PDE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残差嵌入损失函数中引导模型学习。这种将物理先验作为正则化手段的思路，使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PINN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在流体力学、电磁学、量子力学等多个科学领域迅速流行，并被视为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“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无网格的通用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PDE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求解器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”。</w:t>
      </w:r>
    </w:p>
    <w:p w14:paraId="63C7FDE1" w14:textId="77777777" w:rsidR="006363DA" w:rsidRPr="006363DA" w:rsidRDefault="006363DA" w:rsidP="006363DA">
      <w:pPr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PINNs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的训练过程通常涉及四个方面：</w:t>
      </w:r>
    </w:p>
    <w:p w14:paraId="0A638E83" w14:textId="77777777" w:rsidR="006363DA" w:rsidRPr="006363DA" w:rsidRDefault="006363DA" w:rsidP="006363DA">
      <w:pPr>
        <w:numPr>
          <w:ilvl w:val="0"/>
          <w:numId w:val="2"/>
        </w:numPr>
        <w:autoSpaceDE w:val="0"/>
        <w:autoSpaceDN w:val="0"/>
        <w:spacing w:after="0" w:line="400" w:lineRule="exact"/>
        <w:ind w:leftChars="300" w:left="1190" w:rightChars="200" w:right="44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数据点的损失项：通过神经网络拟合测量数据，使得神经网络的输出逼近测量值。</w:t>
      </w:r>
    </w:p>
    <w:p w14:paraId="285EEF0A" w14:textId="77777777" w:rsidR="006363DA" w:rsidRPr="006363DA" w:rsidRDefault="006363DA" w:rsidP="006363DA">
      <w:pPr>
        <w:numPr>
          <w:ilvl w:val="0"/>
          <w:numId w:val="2"/>
        </w:numPr>
        <w:autoSpaceDE w:val="0"/>
        <w:autoSpaceDN w:val="0"/>
        <w:spacing w:after="0" w:line="400" w:lineRule="exact"/>
        <w:ind w:leftChars="300" w:left="1190" w:rightChars="200" w:right="44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物理方程的损失项：利用自动微分计算神经网络输出关于输入的导数，并将这些导数引入物理方程，形成约束条件。</w:t>
      </w:r>
    </w:p>
    <w:p w14:paraId="5D0515FE" w14:textId="77777777" w:rsidR="006363DA" w:rsidRPr="006363DA" w:rsidRDefault="006363DA" w:rsidP="006363DA">
      <w:pPr>
        <w:numPr>
          <w:ilvl w:val="0"/>
          <w:numId w:val="2"/>
        </w:numPr>
        <w:autoSpaceDE w:val="0"/>
        <w:autoSpaceDN w:val="0"/>
        <w:spacing w:after="0" w:line="400" w:lineRule="exact"/>
        <w:ind w:leftChars="300" w:left="1190" w:rightChars="200" w:right="44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初始条件的损失项：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用于确保网络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满足物理方程初始条件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，通常与数据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点的损失项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  <w:t>一同训练以提升稳定性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。</w:t>
      </w:r>
    </w:p>
    <w:p w14:paraId="2729966E" w14:textId="77777777" w:rsidR="006363DA" w:rsidRPr="006363DA" w:rsidRDefault="006363DA" w:rsidP="006363DA">
      <w:pPr>
        <w:numPr>
          <w:ilvl w:val="0"/>
          <w:numId w:val="2"/>
        </w:numPr>
        <w:autoSpaceDE w:val="0"/>
        <w:autoSpaceDN w:val="0"/>
        <w:spacing w:after="0" w:line="400" w:lineRule="exact"/>
        <w:ind w:leftChars="300" w:left="1190" w:rightChars="200" w:right="44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边界条件的损失项：确保神经网络在初始和边界点满足物理方程的边界条件。</w:t>
      </w:r>
    </w:p>
    <w:p w14:paraId="017CB5AF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在本研究课题中，我们所基于的物理方程即为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ADE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。在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PINN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中引入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ADE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的物理约束后，模型的总损失函数同样由以下四部分组成：数据点的损失项、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ab/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物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lastRenderedPageBreak/>
        <w:t>理方程的损失项、初始条件的损失项与边界条件的损失项，并通过超参数（权重）平衡各项对训练的贡献。对流扩散算子为（即将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ADE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val="zh-CN" w:bidi="zh-CN"/>
          <w14:ligatures w14:val="none"/>
        </w:rPr>
        <w:t>方程所有项都移到左边）：</w:t>
      </w:r>
    </w:p>
    <w:p w14:paraId="2852A523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x,y,t</m:t>
                  </m:r>
                </m:e>
              </m:d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θ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t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θ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y</m:t>
                  </m:r>
                </m:sub>
              </m:sSub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θ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y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Cambria Math"/>
                  <w:kern w:val="0"/>
                  <w:sz w:val="21"/>
                  <w:szCs w:val="21"/>
                  <w:lang w:bidi="zh-CN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D</m:t>
                  </m:r>
                  <m:ctrlPr>
                    <w:rPr>
                      <w:rFonts w:ascii="Cambria Math" w:eastAsia="宋体" w:hAnsi="Cambria Math" w:cs="Cambria Math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θ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Cambria Math"/>
                  <w:kern w:val="0"/>
                  <w:sz w:val="21"/>
                  <w:szCs w:val="21"/>
                  <w:lang w:bidi="zh-CN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D</m:t>
                  </m:r>
                  <m:ctrlPr>
                    <w:rPr>
                      <w:rFonts w:ascii="Cambria Math" w:eastAsia="宋体" w:hAnsi="Cambria Math" w:cs="Cambria Math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y</m:t>
                  </m:r>
                </m:sub>
              </m:sSub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θ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6</m:t>
                  </m:r>
                </m:e>
              </m:d>
            </m:e>
          </m:eqArr>
        </m:oMath>
      </m:oMathPara>
    </w:p>
    <w:p w14:paraId="0595E9CA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各项损失函数如下：</w:t>
      </w:r>
    </w:p>
    <w:p w14:paraId="6336A097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2"/>
        <w:jc w:val="both"/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  <w:t>1.</w:t>
      </w:r>
      <w:r w:rsidRPr="006363DA"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  <w:t>数据损失</w:t>
      </w:r>
      <m:oMath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Cambria Math" w:eastAsia="宋体" w:hAnsi="Cambria Math" w:cs="宋体"/>
                <w:b/>
                <w:bCs/>
                <w:kern w:val="0"/>
                <w:sz w:val="21"/>
                <w:szCs w:val="21"/>
                <w:lang w:bidi="zh-CN"/>
                <w14:ligatures w14:val="none"/>
              </w:rPr>
              <m:t>data</m:t>
            </m:r>
          </m:sub>
        </m:sSub>
      </m:oMath>
    </w:p>
    <w:p w14:paraId="41BBBDE0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data</m:t>
                  </m:r>
                </m:sub>
              </m:sSub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1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d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i=1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d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宋体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宋体" w:hAnsi="Cambria Math" w:cs="Cambria Math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宋体" w:hAnsi="Cambria Math" w:cs="Cambria Math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obs</m:t>
                              </m:r>
                            </m:sup>
                          </m:sSubSup>
                        </m:e>
                      </m:d>
                      <m:ctrl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e>
                    <m:sup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7</m:t>
                  </m:r>
                </m:e>
              </m:d>
            </m:e>
          </m:eqArr>
        </m:oMath>
      </m:oMathPara>
    </w:p>
    <w:p w14:paraId="5A7003A7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用于度量网络在稀疏观测点</w:t>
      </w:r>
      <m:oMath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1"/>
                    <w:szCs w:val="21"/>
                    <w:lang w:bidi="zh-CN"/>
                    <w14:ligatures w14:val="none"/>
                  </w:rPr>
                  <m:t>i</m:t>
                </m:r>
              </m:sub>
            </m:sSub>
          </m:e>
        </m:d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处的预测与真实浓度</w:t>
      </w:r>
      <m:oMath>
        <m:sSubSup>
          <m:sSubSup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i</m:t>
            </m:r>
          </m:sub>
          <m:sup>
            <m:r>
              <m:rPr>
                <m:nor/>
              </m:rP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obs</m:t>
            </m:r>
          </m:sup>
        </m:sSubSup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之间的均方误差，能有效结合有限测点数据进行监督。</w:t>
      </w:r>
    </w:p>
    <w:p w14:paraId="1649103C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2"/>
        <w:jc w:val="both"/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  <w:t>2.PDE</w:t>
      </w:r>
      <w:r w:rsidRPr="006363DA"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  <w:t>残差损失</w:t>
      </w:r>
      <m:oMath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Cambria Math" w:eastAsia="宋体" w:hAnsi="Cambria Math" w:cs="宋体"/>
                <w:b/>
                <w:bCs/>
                <w:kern w:val="0"/>
                <w:sz w:val="21"/>
                <w:szCs w:val="21"/>
                <w:lang w:bidi="zh-CN"/>
                <w14:ligatures w14:val="none"/>
              </w:rPr>
              <m:t>PDE</m:t>
            </m:r>
          </m:sub>
        </m:sSub>
      </m:oMath>
    </w:p>
    <w:p w14:paraId="0C009D39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PDE</m:t>
                  </m:r>
                </m:sub>
              </m:sSub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1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r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j=1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r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宋体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r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r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r</m:t>
                                  </m:r>
                                </m:sup>
                              </m:sSubSup>
                            </m:e>
                          </m:d>
                        </m:e>
                      </m:d>
                      <m:ctrlPr>
                        <w:rPr>
                          <w:rFonts w:ascii="Cambria Math" w:eastAsia="宋体" w:hAnsi="Cambria Math" w:cs="宋体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e>
                    <m:sup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8</m:t>
                  </m:r>
                </m:e>
              </m:d>
            </m:e>
          </m:eqArr>
        </m:oMath>
      </m:oMathPara>
    </w:p>
    <w:p w14:paraId="0E9C5BDE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在域内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N</m:t>
            </m:r>
          </m:e>
          <m: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r</m:t>
            </m:r>
          </m:sub>
        </m:sSub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个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配点采样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点（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collocation points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）上，通过自动微分计算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PDE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残差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θ</m:t>
            </m:r>
          </m:sub>
        </m:sSub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并最小化其平方和，从而将偏微分方程物理信息施加于网络。</w:t>
      </w:r>
    </w:p>
    <w:p w14:paraId="1F7D040E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2"/>
        <w:jc w:val="both"/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  <w:t xml:space="preserve">3. </w:t>
      </w:r>
      <w:r w:rsidRPr="006363DA"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  <w:t>初始条件损失</w:t>
      </w:r>
      <m:oMath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Cambria Math" w:eastAsia="宋体" w:hAnsi="Cambria Math" w:cs="宋体" w:hint="eastAsia"/>
                <w:b/>
                <w:bCs/>
                <w:kern w:val="0"/>
                <w:sz w:val="21"/>
                <w:szCs w:val="21"/>
                <w:lang w:bidi="zh-CN"/>
                <w14:ligatures w14:val="none"/>
              </w:rPr>
              <m:t>IC</m:t>
            </m:r>
          </m:sub>
        </m:sSub>
      </m:oMath>
    </w:p>
    <w:p w14:paraId="1A114D9A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IC</m:t>
                  </m:r>
                </m:sub>
              </m:sSub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1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IC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k=1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ic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宋体" w:hAnsi="Cambria Math" w:cs="宋体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宋体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,0</m:t>
                              </m:r>
                            </m:e>
                          </m:d>
                          <m:r>
                            <w:rPr>
                              <w:rFonts w:ascii="Cambria Math" w:eastAsia="宋体" w:hAnsi="Cambria Math" w:cs="Cambria Math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宋体" w:hAnsi="Cambria Math" w:cs="Cambria Math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宋体" w:hint="eastAsia"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e>
              </m:nary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9</m:t>
                  </m:r>
                </m:e>
              </m:d>
            </m:e>
          </m:eqArr>
        </m:oMath>
      </m:oMathPara>
    </w:p>
    <w:p w14:paraId="24DACF7C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用于确保网络在</w:t>
      </w:r>
      <m:oMath>
        <m: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t=0</m:t>
        </m:r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时刻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符合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已知初始浓度场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0</m:t>
            </m:r>
          </m:sub>
        </m:sSub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​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。</w:t>
      </w:r>
    </w:p>
    <w:p w14:paraId="795686E9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2"/>
        <w:jc w:val="both"/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  <w:t xml:space="preserve">4. </w:t>
      </w:r>
      <w:r w:rsidRPr="006363DA">
        <w:rPr>
          <w:rFonts w:ascii="Times New Roman" w:eastAsia="宋体" w:hAnsi="Times New Roman" w:cs="宋体"/>
          <w:b/>
          <w:bCs/>
          <w:kern w:val="0"/>
          <w:sz w:val="21"/>
          <w:szCs w:val="21"/>
          <w:lang w:bidi="zh-CN"/>
          <w14:ligatures w14:val="none"/>
        </w:rPr>
        <w:t>边界条件损失</w:t>
      </w:r>
      <m:oMath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Cambria Math" w:eastAsia="宋体" w:hAnsi="Cambria Math" w:cs="宋体" w:hint="eastAsia"/>
                <w:b/>
                <w:bCs/>
                <w:kern w:val="0"/>
                <w:sz w:val="21"/>
                <w:szCs w:val="21"/>
                <w:lang w:bidi="zh-CN"/>
                <w14:ligatures w14:val="none"/>
              </w:rPr>
              <m:t>BC</m:t>
            </m:r>
          </m:sub>
        </m:sSub>
      </m:oMath>
    </w:p>
    <w:p w14:paraId="078281B3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bidi="zh-CN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BC</m:t>
                  </m:r>
                </m:sub>
              </m:sSub>
              <m:r>
                <w:rPr>
                  <w:rFonts w:ascii="Cambria Math" w:eastAsia="宋体" w:hAnsi="Cambria Math" w:cs="宋体" w:hint="eastAsia"/>
                  <w:kern w:val="0"/>
                  <w:sz w:val="21"/>
                  <w:szCs w:val="21"/>
                  <w:lang w:bidi="zh-CN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1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BC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宋体" w:hint="eastAsia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l=1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BC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="宋体" w:hAnsi="Cambria Math" w:cs="宋体"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  <m:t>B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kern w:val="0"/>
                                  <w:sz w:val="21"/>
                                  <w:szCs w:val="21"/>
                                  <w:lang w:bidi="zh-CN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宋体" w:hAnsi="Cambria Math" w:cs="宋体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θ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宋体" w:hAnsi="Cambria Math" w:cs="宋体"/>
                                      <w:i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="宋体" w:hAnsi="Cambria Math" w:cs="宋体"/>
                                          <w:i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="宋体" w:hAnsi="Cambria Math" w:cs="宋体" w:hint="eastAsia"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宋体" w:hAnsi="Cambria Math" w:cs="宋体" w:hint="eastAsia"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  <m:t>l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="宋体" w:hAnsi="Cambria Math" w:cs="宋体" w:hint="eastAsia"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  <m:t>b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="宋体" w:hAnsi="Cambria Math" w:cs="宋体"/>
                                          <w:i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="宋体" w:hAnsi="Cambria Math" w:cs="宋体" w:hint="eastAsia"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宋体" w:hAnsi="Cambria Math" w:cs="宋体" w:hint="eastAsia"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  <m:t>l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="宋体" w:hAnsi="Cambria Math" w:cs="宋体" w:hint="eastAsia"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  <m:t>b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="宋体" w:hAnsi="Cambria Math" w:cs="宋体" w:hint="eastAsia"/>
                                      <w:kern w:val="0"/>
                                      <w:sz w:val="21"/>
                                      <w:szCs w:val="21"/>
                                      <w:lang w:bidi="zh-CN"/>
                                      <w14:ligatures w14:val="none"/>
                                    </w:rPr>
                                    <m:t>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="宋体" w:hAnsi="Cambria Math" w:cs="宋体"/>
                                          <w:i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="宋体" w:hAnsi="Cambria Math" w:cs="宋体" w:hint="eastAsia"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宋体" w:hAnsi="Cambria Math" w:cs="宋体" w:hint="eastAsia"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  <m:t>l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="宋体" w:hAnsi="Cambria Math" w:cs="宋体" w:hint="eastAsia"/>
                                          <w:kern w:val="0"/>
                                          <w:sz w:val="21"/>
                                          <w:szCs w:val="21"/>
                                          <w:lang w:bidi="zh-CN"/>
                                          <w14:ligatures w14:val="none"/>
                                        </w:rPr>
                                        <m:t>b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</m:d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1"/>
                              <w:szCs w:val="21"/>
                              <w:lang w:bidi="zh-CN"/>
                              <w14:ligatures w14:val="none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宋体" w:hint="eastAsia"/>
                          <w:kern w:val="0"/>
                          <w:sz w:val="21"/>
                          <w:szCs w:val="21"/>
                          <w:lang w:bidi="zh-CN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e>
              </m:nary>
              <m:r>
                <w:rPr>
                  <w:rFonts w:ascii="Cambria Math" w:eastAsia="宋体" w:hAnsi="Cambria Math" w:cs="宋体"/>
                  <w:kern w:val="0"/>
                  <w:sz w:val="21"/>
                  <w:szCs w:val="21"/>
                  <w:lang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bidi="zh-CN"/>
                      <w14:ligatures w14:val="none"/>
                    </w:rPr>
                    <m:t>10</m:t>
                  </m:r>
                </m:e>
              </m:d>
            </m:e>
          </m:eqArr>
        </m:oMath>
      </m:oMathPara>
    </w:p>
    <w:p w14:paraId="34B6569E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根据问题所采用的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 xml:space="preserve"> Dirichlet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 xml:space="preserve"> </w:t>
      </w:r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边界算子</w:t>
      </w:r>
      <m:oMath>
        <m:r>
          <m:rPr>
            <m:scr m:val="script"/>
          </m:rPr>
          <w:rPr>
            <w:rFonts w:ascii="Cambria Math" w:eastAsia="宋体" w:hAnsi="Cambria Math" w:cs="宋体"/>
            <w:kern w:val="0"/>
            <w:sz w:val="21"/>
            <w:szCs w:val="21"/>
            <w:lang w:bidi="zh-CN"/>
            <w14:ligatures w14:val="none"/>
          </w:rPr>
          <m:t>B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⋅</m:t>
            </m:r>
          </m:e>
        </m:d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构造对应均方误差，保证浓度场在边界</w:t>
      </w:r>
      <m:oMath>
        <m:d>
          <m:d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SupPr>
              <m:e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l</m:t>
                </m:r>
              </m:sub>
              <m:sup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b</m:t>
                </m:r>
              </m:sup>
            </m:sSubSup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,</m:t>
            </m:r>
            <m:sSubSup>
              <m:sSubSup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SupPr>
              <m:e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l</m:t>
                </m:r>
              </m:sub>
              <m:sup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b</m:t>
                </m:r>
              </m:sup>
            </m:sSubSup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,</m:t>
            </m:r>
            <m:sSubSup>
              <m:sSubSupPr>
                <m:ctrlPr>
                  <w:rPr>
                    <w:rFonts w:ascii="Cambria Math" w:eastAsia="宋体" w:hAnsi="Cambria Math" w:cs="宋体"/>
                    <w:i/>
                    <w:kern w:val="0"/>
                    <w:sz w:val="21"/>
                    <w:szCs w:val="21"/>
                    <w:lang w:bidi="zh-CN"/>
                    <w14:ligatures w14:val="none"/>
                  </w:rPr>
                </m:ctrlPr>
              </m:sSubSupPr>
              <m:e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l</m:t>
                </m:r>
              </m:sub>
              <m:sup>
                <m:r>
                  <w:rPr>
                    <w:rFonts w:ascii="Cambria Math" w:eastAsia="宋体" w:hAnsi="Cambria Math" w:cs="宋体" w:hint="eastAsia"/>
                    <w:kern w:val="0"/>
                    <w:sz w:val="21"/>
                    <w:szCs w:val="21"/>
                    <w:lang w:bidi="zh-CN"/>
                    <w14:ligatures w14:val="none"/>
                  </w:rPr>
                  <m:t>b</m:t>
                </m:r>
              </m:sup>
            </m:sSubSup>
          </m:e>
        </m:d>
      </m:oMath>
      <w:r w:rsidRPr="006363DA"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  <w:t>上满足</w:t>
      </w: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。</w:t>
      </w:r>
    </w:p>
    <w:p w14:paraId="5225B3C7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400" w:lineRule="exact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bidi="zh-CN"/>
          <w14:ligatures w14:val="none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则有总损失函数为：</w:t>
      </w:r>
    </w:p>
    <w:p w14:paraId="0B6EC4F8" w14:textId="77777777" w:rsidR="006363DA" w:rsidRPr="006363DA" w:rsidRDefault="006363DA" w:rsidP="006363DA">
      <w:pPr>
        <w:tabs>
          <w:tab w:val="center" w:pos="4700"/>
          <w:tab w:val="right" w:pos="9400"/>
        </w:tabs>
        <w:autoSpaceDE w:val="0"/>
        <w:autoSpaceDN w:val="0"/>
        <w:spacing w:after="0" w:line="240" w:lineRule="auto"/>
        <w:ind w:leftChars="300" w:left="660" w:rightChars="200" w:right="440" w:firstLineChars="200" w:firstLine="420"/>
        <w:jc w:val="both"/>
        <w:rPr>
          <w:rFonts w:ascii="Times New Roman" w:eastAsia="宋体" w:hAnsi="Times New Roman" w:cs="宋体"/>
          <w:kern w:val="0"/>
          <w:sz w:val="21"/>
          <w:szCs w:val="21"/>
          <w:lang w:val="zh-CN" w:bidi="zh-C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kern w:val="0"/>
                  <w:sz w:val="21"/>
                  <w:szCs w:val="21"/>
                  <w:lang w:val="zh-CN" w:bidi="zh-CN"/>
                  <w14:ligatures w14:val="none"/>
                </w:rPr>
              </m:ctrlPr>
            </m:eqArrPr>
            <m:e>
              <m:r>
                <w:rPr>
                  <w:rFonts w:ascii="Cambria Math" w:eastAsia="宋体" w:hAnsi="Times New Roman" w:cs="宋体"/>
                  <w:kern w:val="0"/>
                  <w:sz w:val="21"/>
                  <w:szCs w:val="21"/>
                  <w:lang w:val="zh-CN" w:bidi="zh-CN"/>
                  <w14:ligatures w14:val="none"/>
                </w:rPr>
                <m:t>L</m:t>
              </m:r>
              <m:d>
                <m:dPr>
                  <m:ctrlPr>
                    <w:rPr>
                      <w:rFonts w:ascii="Cambria Math" w:eastAsia="宋体" w:hAnsi="Times New Roman" w:cs="宋体"/>
                      <w:i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θ</m:t>
                  </m:r>
                </m:e>
              </m:d>
              <m:r>
                <w:rPr>
                  <w:rFonts w:ascii="Cambria Math" w:eastAsia="宋体" w:hAnsi="Times New Roman" w:cs="宋体"/>
                  <w:kern w:val="0"/>
                  <w:sz w:val="21"/>
                  <w:szCs w:val="21"/>
                  <w:lang w:val="zh-CN" w:bidi="zh-CN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Times New Roman" w:cs="宋体"/>
                      <w:i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宋体" w:hAnsi="Times New Roman" w:cs="宋体"/>
                          <w:i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Times New Roman" w:cs="宋体" w:hint="eastAsia"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宋体" w:hAnsi="Times New Roman" w:cs="宋体" w:hint="eastAsia"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  <m:t>d</m:t>
                      </m:r>
                    </m:sub>
                  </m:sSub>
                  <m: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data</m:t>
                  </m:r>
                </m:sub>
              </m:sSub>
              <m:r>
                <w:rPr>
                  <w:rFonts w:ascii="Cambria Math" w:eastAsia="宋体" w:hAnsi="Times New Roman" w:cs="宋体"/>
                  <w:kern w:val="0"/>
                  <w:sz w:val="21"/>
                  <w:szCs w:val="21"/>
                  <w:lang w:val="zh-CN" w:bidi="zh-CN"/>
                  <w14:ligatures w14:val="none"/>
                </w:rPr>
                <m:t>​</m:t>
              </m:r>
              <m:r>
                <w:rPr>
                  <w:rFonts w:ascii="Cambria Math" w:eastAsia="宋体" w:hAnsi="Times New Roman" w:cs="宋体"/>
                  <w:kern w:val="0"/>
                  <w:sz w:val="21"/>
                  <w:szCs w:val="21"/>
                  <w:lang w:val="zh-CN" w:bidi="zh-CN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Times New Roman" w:cs="宋体"/>
                      <w:i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宋体" w:hAnsi="Times New Roman" w:cs="宋体"/>
                          <w:i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Times New Roman" w:cs="宋体" w:hint="eastAsia"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宋体" w:hAnsi="Times New Roman" w:cs="宋体" w:hint="eastAsia"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  <m:t>r</m:t>
                      </m:r>
                    </m:sub>
                  </m:sSub>
                  <m: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PDE</m:t>
                  </m:r>
                </m:sub>
              </m:sSub>
              <m:r>
                <w:rPr>
                  <w:rFonts w:ascii="Cambria Math" w:eastAsia="宋体" w:hAnsi="Times New Roman" w:cs="宋体"/>
                  <w:kern w:val="0"/>
                  <w:sz w:val="21"/>
                  <w:szCs w:val="21"/>
                  <w:lang w:val="zh-CN" w:bidi="zh-CN"/>
                  <w14:ligatures w14:val="none"/>
                </w:rPr>
                <m:t>​</m:t>
              </m:r>
              <m:r>
                <w:rPr>
                  <w:rFonts w:ascii="Cambria Math" w:eastAsia="宋体" w:hAnsi="Times New Roman" w:cs="宋体"/>
                  <w:kern w:val="0"/>
                  <w:sz w:val="21"/>
                  <w:szCs w:val="21"/>
                  <w:lang w:val="zh-CN" w:bidi="zh-CN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Times New Roman" w:cs="宋体"/>
                      <w:i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宋体" w:hAnsi="Times New Roman" w:cs="宋体"/>
                          <w:i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Times New Roman" w:cs="宋体" w:hint="eastAsia"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宋体" w:hAnsi="Times New Roman" w:cs="宋体"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  <m:t>IC</m:t>
                      </m:r>
                    </m:sub>
                  </m:sSub>
                  <m: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IC</m:t>
                  </m:r>
                  <m: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​</m:t>
                  </m:r>
                </m:sub>
              </m:sSub>
              <m:r>
                <w:rPr>
                  <w:rFonts w:ascii="Cambria Math" w:eastAsia="宋体" w:hAnsi="Times New Roman" w:cs="宋体"/>
                  <w:kern w:val="0"/>
                  <w:sz w:val="21"/>
                  <w:szCs w:val="21"/>
                  <w:lang w:val="zh-CN" w:bidi="zh-CN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Times New Roman" w:cs="宋体"/>
                      <w:i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宋体" w:hAnsi="Times New Roman" w:cs="宋体"/>
                          <w:i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Times New Roman" w:cs="宋体" w:hint="eastAsia"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宋体" w:hAnsi="Times New Roman" w:cs="宋体"/>
                          <w:kern w:val="0"/>
                          <w:sz w:val="21"/>
                          <w:szCs w:val="21"/>
                          <w:lang w:val="zh-CN" w:bidi="zh-CN"/>
                          <w14:ligatures w14:val="none"/>
                        </w:rPr>
                        <m:t>BC</m:t>
                      </m:r>
                    </m:sub>
                  </m:sSub>
                  <m: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BC</m:t>
                  </m:r>
                  <m:r>
                    <w:rPr>
                      <w:rFonts w:ascii="Cambria Math" w:eastAsia="宋体" w:hAnsi="Times New Roman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​</m:t>
                  </m: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</m:ctrlPr>
                </m:sub>
              </m:sSub>
              <m:r>
                <w:rPr>
                  <w:rFonts w:ascii="Cambria Math" w:eastAsia="宋体" w:hAnsi="Times New Roman" w:cs="宋体"/>
                  <w:kern w:val="0"/>
                  <w:sz w:val="21"/>
                  <w:szCs w:val="21"/>
                  <w:lang w:val="zh-CN" w:bidi="zh-CN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1"/>
                      <w:szCs w:val="21"/>
                      <w:lang w:val="zh-CN" w:bidi="zh-CN"/>
                      <w14:ligatures w14:val="none"/>
                    </w:rPr>
                    <m:t>11</m:t>
                  </m:r>
                </m:e>
              </m:d>
              <m:ctrlPr>
                <w:rPr>
                  <w:rFonts w:ascii="Cambria Math" w:eastAsia="宋体" w:hAnsi="Times New Roman" w:cs="宋体"/>
                  <w:i/>
                  <w:kern w:val="0"/>
                  <w:sz w:val="21"/>
                  <w:szCs w:val="21"/>
                  <w:lang w:val="zh-CN" w:bidi="zh-CN"/>
                  <w14:ligatures w14:val="none"/>
                </w:rPr>
              </m:ctrlPr>
            </m:e>
          </m:eqArr>
        </m:oMath>
      </m:oMathPara>
    </w:p>
    <w:p w14:paraId="45337150" w14:textId="3387123F" w:rsidR="00E126CC" w:rsidRDefault="006363DA" w:rsidP="006363DA">
      <w:pPr>
        <w:rPr>
          <w:rFonts w:hint="eastAsia"/>
        </w:rPr>
      </w:pPr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其中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d</m:t>
            </m:r>
          </m:sub>
        </m:sSub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r</m:t>
            </m:r>
          </m:sub>
        </m:sSub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IC</m:t>
            </m:r>
          </m:sub>
        </m:sSub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1"/>
                <w:szCs w:val="21"/>
                <w:lang w:bidi="zh-CN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1"/>
                <w:szCs w:val="21"/>
                <w:lang w:bidi="zh-CN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kern w:val="0"/>
                <w:sz w:val="21"/>
                <w:szCs w:val="21"/>
                <w:lang w:bidi="zh-CN"/>
                <w14:ligatures w14:val="none"/>
              </w:rPr>
              <m:t>BC</m:t>
            </m:r>
          </m:sub>
        </m:sSub>
      </m:oMath>
      <w:r w:rsidRPr="006363DA">
        <w:rPr>
          <w:rFonts w:ascii="Times New Roman" w:eastAsia="宋体" w:hAnsi="Times New Roman" w:cs="宋体" w:hint="eastAsia"/>
          <w:kern w:val="0"/>
          <w:sz w:val="21"/>
          <w:szCs w:val="21"/>
          <w:lang w:bidi="zh-CN"/>
          <w14:ligatures w14:val="none"/>
        </w:rPr>
        <w:t>为权重。</w:t>
      </w:r>
    </w:p>
    <w:sectPr w:rsidR="00E126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35014" w14:textId="77777777" w:rsidR="004E4CA0" w:rsidRDefault="004E4CA0" w:rsidP="006363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2E950B" w14:textId="77777777" w:rsidR="004E4CA0" w:rsidRDefault="004E4CA0" w:rsidP="006363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99EE6" w14:textId="77777777" w:rsidR="004E4CA0" w:rsidRDefault="004E4CA0" w:rsidP="006363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6FCA94" w14:textId="77777777" w:rsidR="004E4CA0" w:rsidRDefault="004E4CA0" w:rsidP="006363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6E9D"/>
    <w:multiLevelType w:val="multilevel"/>
    <w:tmpl w:val="15406E9D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C01891"/>
    <w:multiLevelType w:val="multilevel"/>
    <w:tmpl w:val="27C01891"/>
    <w:lvl w:ilvl="0">
      <w:start w:val="1"/>
      <w:numFmt w:val="decimal"/>
      <w:lvlText w:val="（%1）"/>
      <w:lvlJc w:val="left"/>
      <w:pPr>
        <w:ind w:left="950" w:hanging="53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2131895656">
    <w:abstractNumId w:val="0"/>
  </w:num>
  <w:num w:numId="2" w16cid:durableId="3023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F4"/>
    <w:rsid w:val="00325E2B"/>
    <w:rsid w:val="004E4CA0"/>
    <w:rsid w:val="00610A1C"/>
    <w:rsid w:val="006363DA"/>
    <w:rsid w:val="007F14F2"/>
    <w:rsid w:val="008C6884"/>
    <w:rsid w:val="008E42F4"/>
    <w:rsid w:val="00974454"/>
    <w:rsid w:val="00E126CC"/>
    <w:rsid w:val="00EB16E1"/>
    <w:rsid w:val="00F0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655B06-9C53-4F9F-8E97-CD93D0D7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2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2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2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2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2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2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2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2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2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2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42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2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2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2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2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42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63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63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63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63DA"/>
    <w:rPr>
      <w:sz w:val="18"/>
      <w:szCs w:val="18"/>
    </w:rPr>
  </w:style>
  <w:style w:type="paragraph" w:customStyle="1" w:styleId="11">
    <w:name w:val="题注1"/>
    <w:basedOn w:val="a"/>
    <w:next w:val="a"/>
    <w:uiPriority w:val="35"/>
    <w:unhideWhenUsed/>
    <w:qFormat/>
    <w:rsid w:val="006363DA"/>
    <w:pPr>
      <w:spacing w:after="0" w:line="240" w:lineRule="auto"/>
      <w:jc w:val="both"/>
    </w:pPr>
    <w:rPr>
      <w:rFonts w:ascii="Cambria" w:eastAsia="黑体" w:hAnsi="Cambria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Junhua Zhang</dc:creator>
  <cp:keywords/>
  <dc:description/>
  <cp:lastModifiedBy>Junhua Zhang</cp:lastModifiedBy>
  <cp:revision>2</cp:revision>
  <dcterms:created xsi:type="dcterms:W3CDTF">2026-01-07T06:05:00Z</dcterms:created>
  <dcterms:modified xsi:type="dcterms:W3CDTF">2026-01-07T06:06:00Z</dcterms:modified>
</cp:coreProperties>
</file>