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多周期融合量化交易系统</w:t>
      </w:r>
    </w:p>
    <w:p>
      <w:pPr>
        <w:jc w:val="center"/>
      </w:pPr>
      <w:r>
        <w:rPr>
          <w:color w:val="666666"/>
          <w:sz w:val="24"/>
        </w:rPr>
        <w:t>Multi-Cycle Fusion Quantitative Trading System</w:t>
      </w:r>
    </w:p>
    <w:p/>
    <w:p/>
    <w:p/>
    <w:p>
      <w:pPr>
        <w:jc w:val="center"/>
      </w:pPr>
      <w:r>
        <w:rPr>
          <w:i/>
        </w:rPr>
        <w:t>基于35本投资技术书籍的智慧</w:t>
      </w:r>
    </w:p>
    <w:p>
      <w:pPr>
        <w:jc w:val="center"/>
      </w:pPr>
      <w:r>
        <w:rPr>
          <w:i/>
        </w:rPr>
        <w:t>包含35个技术指标的通用交易系统</w:t>
      </w:r>
    </w:p>
    <w:p/>
    <w:p/>
    <w:p/>
    <w:p>
      <w:pPr>
        <w:jc w:val="center"/>
      </w:pPr>
      <w:r>
        <w:rPr>
          <w:color w:val="666666"/>
        </w:rPr>
        <w:t>2026年4月</w:t>
      </w:r>
    </w:p>
    <w:p>
      <w:r>
        <w:br w:type="page"/>
      </w:r>
    </w:p>
    <w:p>
      <w:pPr>
        <w:pStyle w:val="Heading1"/>
      </w:pPr>
      <w:r>
        <w:t>第一章 系统概述</w:t>
      </w:r>
    </w:p>
    <w:p>
      <w:pPr>
        <w:pStyle w:val="Heading2"/>
      </w:pPr>
      <w:r>
        <w:t>1.1 系统基本信息</w:t>
      </w:r>
    </w:p>
    <w:p>
      <w:r>
        <w:t>系统名称：多周期融合量化交易系统（Multi-Cycle Fusion Quantitative Trading System）</w:t>
      </w:r>
    </w:p>
    <w:p>
      <w:r>
        <w:t>系统设计理念：多维度、多周期、多指标共振确认</w:t>
      </w:r>
    </w:p>
    <w:p>
      <w:pPr>
        <w:pStyle w:val="Heading2"/>
      </w:pPr>
      <w:r>
        <w:t>1.2 适用范围</w:t>
      </w:r>
    </w:p>
    <w:p>
      <w:pPr>
        <w:pStyle w:val="ListBullet"/>
      </w:pPr>
      <w:r>
        <w:t>适用市场：A股、期货、外汇</w:t>
      </w:r>
    </w:p>
    <w:p>
      <w:pPr>
        <w:pStyle w:val="ListBullet"/>
      </w:pPr>
      <w:r>
        <w:t>适用周期：日线（主力）、周线（确认）、60分钟线（精细入场）</w:t>
      </w:r>
    </w:p>
    <w:p>
      <w:pPr>
        <w:pStyle w:val="Heading2"/>
      </w:pPr>
      <w:r>
        <w:t>1.3 核心交易原则</w:t>
      </w:r>
    </w:p>
    <w:p>
      <w:pPr>
        <w:pStyle w:val="ListBullet"/>
      </w:pPr>
      <w:r>
        <w:t>趋势为王：所有交易决策以趋势方向为首要考量</w:t>
      </w:r>
    </w:p>
    <w:p>
      <w:pPr>
        <w:pStyle w:val="ListBullet"/>
      </w:pPr>
      <w:r>
        <w:t>共振确认：多个时间周期、多个指标要相互确认</w:t>
      </w:r>
    </w:p>
    <w:p>
      <w:pPr>
        <w:pStyle w:val="ListBullet"/>
      </w:pPr>
      <w:r>
        <w:t>严格止损：每笔交易必须设置止损，不超过总资金2%</w:t>
      </w:r>
    </w:p>
    <w:p>
      <w:pPr>
        <w:pStyle w:val="ListBullet"/>
      </w:pPr>
      <w:r>
        <w:t>动态仓位：根据系统评分动态调整仓位，避免固定仓位</w:t>
      </w:r>
    </w:p>
    <w:p>
      <w:r>
        <w:br w:type="page"/>
      </w:r>
    </w:p>
    <w:p>
      <w:pPr>
        <w:pStyle w:val="Heading1"/>
      </w:pPr>
      <w:r>
        <w:t>第二章 35个技术指标体系</w:t>
      </w:r>
    </w:p>
    <w:p>
      <w:r>
        <w:t>本章详细介绍系统所包含的35个技术指标，分为7大模块。每个指标包含标准参数、短线参数和长线参数，以及明确的买入卖出条件。</w:t>
      </w:r>
    </w:p>
    <w:p>
      <w:pPr>
        <w:pStyle w:val="Heading2"/>
      </w:pPr>
      <w:r>
        <w:t>模块一：趋势方向判断（权重30%）</w:t>
      </w:r>
    </w:p>
    <w:p>
      <w:r>
        <w:t>本模块共5个指标，用于判断价格趋势的基本方向和强度。</w:t>
      </w:r>
    </w:p>
    <w:p>
      <w:pPr>
        <w:pStyle w:val="Heading3"/>
      </w:pPr>
      <w:r>
        <w:t>指标1：MA（移动平均线）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Moving Average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20/50/200日线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5/10/20日线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100/200/300日线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短期MA &gt; 中期MA &gt; 长期MA，价格在MA上方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价格跌破短期MA，或短期MA &lt; 中期MA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6分</w:t>
            </w:r>
          </w:p>
        </w:tc>
      </w:tr>
    </w:tbl>
    <w:p/>
    <w:p>
      <w:pPr>
        <w:pStyle w:val="Heading3"/>
      </w:pPr>
      <w:r>
        <w:t>指标2：EMA（指数移动平均线）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Exponential Moving Average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12/26日线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5/10日线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50/100日线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EMA12 &gt; EMA26，处于上升趋势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EMA12 &lt; EMA26，趋势转弱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6分</w:t>
            </w:r>
          </w:p>
        </w:tc>
      </w:tr>
    </w:tbl>
    <w:p/>
    <w:p>
      <w:pPr>
        <w:pStyle w:val="Heading3"/>
      </w:pPr>
      <w:r>
        <w:t>指标3：MACD（指数平滑异同移动平均线）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MACD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12,26,9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5,35,5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12,26,9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DIF &gt; DEA且柱体为正，金叉信号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DIF &lt; DEA且柱体为负，死叉信号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6分</w:t>
            </w:r>
          </w:p>
        </w:tc>
      </w:tr>
    </w:tbl>
    <w:p/>
    <w:p>
      <w:pPr>
        <w:pStyle w:val="Heading3"/>
      </w:pPr>
      <w:r>
        <w:t>指标4：DMI/ADX（趋向指标）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Directional Movement Index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14日周期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7日周期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21日周期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ADX &gt; 25且上升，+DI &gt; -DI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ADX &lt; 20或+DI &lt; -DI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6分</w:t>
            </w:r>
          </w:p>
        </w:tc>
      </w:tr>
    </w:tbl>
    <w:p/>
    <w:p>
      <w:pPr>
        <w:pStyle w:val="Heading3"/>
      </w:pPr>
      <w:r>
        <w:t>指标5：SAR（抛物线转向指标）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Parabolic SAR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AF=0.02, MAX=0.2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AF=0.01, MAX=0.15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AF=0.03, MAX=0.3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价格在SAR上方，SAR上升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价格跌破SAR，反向信号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6分</w:t>
            </w:r>
          </w:p>
        </w:tc>
      </w:tr>
    </w:tbl>
    <w:p/>
    <w:p>
      <w:r>
        <w:br w:type="page"/>
      </w:r>
    </w:p>
    <w:p>
      <w:pPr>
        <w:pStyle w:val="Heading2"/>
      </w:pPr>
      <w:r>
        <w:t>模块二：动量振荡评估（权重20%）</w:t>
      </w:r>
    </w:p>
    <w:p>
      <w:r>
        <w:t>本模块共5个指标，用于评估价格动量和超买超卖状态。</w:t>
      </w:r>
    </w:p>
    <w:p>
      <w:pPr>
        <w:pStyle w:val="Heading3"/>
      </w:pPr>
      <w:r>
        <w:t>指标6：KDJ（随机振荡指标）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KDJ Indicator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14,3,3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9,3,3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21,3,3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K &lt; 20且上穿D线，或K值上穿20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K &gt; 80且下穿D线，或K值下穿80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4分</w:t>
            </w:r>
          </w:p>
        </w:tc>
      </w:tr>
    </w:tbl>
    <w:p/>
    <w:p>
      <w:pPr>
        <w:pStyle w:val="Heading3"/>
      </w:pPr>
      <w:r>
        <w:t>指标7：RSI（相对强弱指数）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Relative Strength Index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14日周期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7日周期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21日周期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RSI &lt; 30超卖，上升穿过30线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RSI &gt; 70超买，下穿70线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4分</w:t>
            </w:r>
          </w:p>
        </w:tc>
      </w:tr>
    </w:tbl>
    <w:p/>
    <w:p>
      <w:pPr>
        <w:pStyle w:val="Heading3"/>
      </w:pPr>
      <w:r>
        <w:t>指标8：WR（威廉指标）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Williams %R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14日周期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7日周期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21日周期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WR &lt; -80超卖，回升至-50以上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WR &gt; -20超买，下穿-50线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4分</w:t>
            </w:r>
          </w:p>
        </w:tc>
      </w:tr>
    </w:tbl>
    <w:p/>
    <w:p>
      <w:pPr>
        <w:pStyle w:val="Heading3"/>
      </w:pPr>
      <w:r>
        <w:t>指标9：CCI（顺势指标）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Commodity Channel Index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20日周期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10日周期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30日周期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CCI &gt; 100上升，或从0以下上穿0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CCI &lt; -100下降，或从100以上下穿100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4分</w:t>
            </w:r>
          </w:p>
        </w:tc>
      </w:tr>
    </w:tbl>
    <w:p/>
    <w:p>
      <w:pPr>
        <w:pStyle w:val="Heading3"/>
      </w:pPr>
      <w:r>
        <w:t>指标10：MTM（动量指标）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Momentum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12日周期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6日周期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24日周期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MTM &gt; 0且上升，价格创新高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MTM &lt; 0且下降，价格创新低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4分</w:t>
            </w:r>
          </w:p>
        </w:tc>
      </w:tr>
    </w:tbl>
    <w:p/>
    <w:p>
      <w:r>
        <w:br w:type="page"/>
      </w:r>
    </w:p>
    <w:p>
      <w:pPr>
        <w:pStyle w:val="Heading2"/>
      </w:pPr>
      <w:r>
        <w:t>模块三：成交量验证（权重15%）</w:t>
      </w:r>
    </w:p>
    <w:p>
      <w:r>
        <w:t>本模块共5个指标，用于验证价格走势的成交量支持。</w:t>
      </w:r>
    </w:p>
    <w:p>
      <w:pPr>
        <w:pStyle w:val="Heading3"/>
      </w:pPr>
      <w:r>
        <w:t>指标11：VOL（成交量）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Volume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20日MA对比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10日MA对比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30日MA对比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成交量 &gt; 20日均量的1.5倍，推高价格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成交量 &gt; 20日均量的1.5倍，推低价格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pPr>
        <w:pStyle w:val="Heading3"/>
      </w:pPr>
      <w:r>
        <w:t>指标12：OBV（能量潮）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On-Balance Volume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OBV+MA20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OBV+MA10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OBV+MA30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OBV上升，且在EMA上方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OBV下降，跌破EMA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pPr>
        <w:pStyle w:val="Heading3"/>
      </w:pPr>
      <w:r>
        <w:t>指标13：VR（成交量变异率）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Volume Rate of Change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26日周期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13日周期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39日周期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VR &gt; 150，卖压衰竭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VR &lt; 50，买压衰竭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pPr>
        <w:pStyle w:val="Heading3"/>
      </w:pPr>
      <w:r>
        <w:t>指标14：VWAP（成交量加权平均价）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Volume Weighted Average Price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日线计算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60分钟计算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周线计算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价格 &gt; VWAP，且成交量增加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价格 &lt; VWAP，跳空下跌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pPr>
        <w:pStyle w:val="Heading3"/>
      </w:pPr>
      <w:r>
        <w:t>指标15：CMF（佳庆资金流量）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Chaikin Money Flow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20日周期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10日周期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30日周期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CMF &gt; 0，资金持续流入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CMF &lt; -0.05，资金持续流出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r>
        <w:br w:type="page"/>
      </w:r>
    </w:p>
    <w:p>
      <w:pPr>
        <w:pStyle w:val="Heading2"/>
      </w:pPr>
      <w:r>
        <w:t>模块四：波动率评估（权重10%）</w:t>
      </w:r>
    </w:p>
    <w:p>
      <w:r>
        <w:t>本模块共5个指标，用于评估价格波动率和动态止损。</w:t>
      </w:r>
    </w:p>
    <w:p>
      <w:pPr>
        <w:pStyle w:val="Heading3"/>
      </w:pPr>
      <w:r>
        <w:t>指标16：BOLL（布林线）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Bollinger Bands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20,2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10,1.5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30,2.5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价格触及下轨反弹，或从下轨向中线上升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价格触及上轨回落，或从上轨向中线下降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2分</w:t>
            </w:r>
          </w:p>
        </w:tc>
      </w:tr>
    </w:tbl>
    <w:p/>
    <w:p>
      <w:pPr>
        <w:pStyle w:val="Heading3"/>
      </w:pPr>
      <w:r>
        <w:t>指标17：ATR（平均真实波幅）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Average True Range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14日周期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7日周期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21日周期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ATR扩大，趋势明显，止损=入场价-2*ATR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ATR缩小，盘整格局，考虑减仓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2分</w:t>
            </w:r>
          </w:p>
        </w:tc>
      </w:tr>
    </w:tbl>
    <w:p/>
    <w:p>
      <w:pPr>
        <w:pStyle w:val="Heading3"/>
      </w:pPr>
      <w:r>
        <w:t>指标18：KC（肯特纳通道）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Keltner Channel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20,2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10,1.5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30,2.5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价格破上轨并持续上升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价格破下轨并持续下跌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2分</w:t>
            </w:r>
          </w:p>
        </w:tc>
      </w:tr>
    </w:tbl>
    <w:p/>
    <w:p>
      <w:pPr>
        <w:pStyle w:val="Heading3"/>
      </w:pPr>
      <w:r>
        <w:t>指标19：DC（唐奇安通道）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Donchian Channel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20日周期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10日周期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30日周期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价格创20日新高，突破上轨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价格创20日新低，突破下轨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2分</w:t>
            </w:r>
          </w:p>
        </w:tc>
      </w:tr>
    </w:tbl>
    <w:p/>
    <w:p>
      <w:pPr>
        <w:pStyle w:val="Heading3"/>
      </w:pPr>
      <w:r>
        <w:t>指标20：STD（标准差）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Standard Deviation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20日周期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10日周期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30日周期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STD扩大，波动增大，趋势明显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STD缩小，波动减小，突破在即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2分</w:t>
            </w:r>
          </w:p>
        </w:tc>
      </w:tr>
    </w:tbl>
    <w:p/>
    <w:p>
      <w:r>
        <w:br w:type="page"/>
      </w:r>
    </w:p>
    <w:p>
      <w:pPr>
        <w:pStyle w:val="Heading2"/>
      </w:pPr>
      <w:r>
        <w:t>模块五：背离信号检测（权重15%）</w:t>
      </w:r>
    </w:p>
    <w:p>
      <w:r>
        <w:t>本模块共5个指标，用于检测价格与指标的背离信号，这是反转的前兆。</w:t>
      </w:r>
    </w:p>
    <w:p>
      <w:pPr>
        <w:pStyle w:val="Heading3"/>
      </w:pPr>
      <w:r>
        <w:t>指标21：MACD背离（MACD背离）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MACD Divergence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顶背离/底背离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近期2-3个周期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中期5-7个周期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底背离：价格创新低，MACD不创新低，卖压减弱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顶背离：价格创新高，MACD不创新高，买力衰竭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pPr>
        <w:pStyle w:val="Heading3"/>
      </w:pPr>
      <w:r>
        <w:t>指标22：RSI背离（RSI背离）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RSI Divergence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超买超卖区背离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近期强度背离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中期趋势背离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底背离：价格创新低但RSI不创新低，超卖反转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顶背离：价格创新高但RSI不创新高，超买反转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pPr>
        <w:pStyle w:val="Heading3"/>
      </w:pPr>
      <w:r>
        <w:t>指标23：KDJ背离（KDJ背离）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KDJ Divergence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K值极值背离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快速背离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缓慢背离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价格低点更低，K值低点更高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价格高点更高，K值高点更低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pPr>
        <w:pStyle w:val="Heading3"/>
      </w:pPr>
      <w:r>
        <w:t>指标24：CCI背离（CCI背离）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CCI Divergence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极值背离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邻近两个极值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距离较远的极值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价格创新低，CCI不创新低，反转信号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价格创新高，CCI不创新高，反转信号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pPr>
        <w:pStyle w:val="Heading3"/>
      </w:pPr>
      <w:r>
        <w:t>指标25：OBV量价背离（OBV量价背离）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OBV Divergence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价格vs成交量趋势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近期强度对比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中期趋势对比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价格下跌，OBV不下跌或上升，反转上升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价格上升，OBV不上升或下降，反转下跌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3分</w:t>
            </w:r>
          </w:p>
        </w:tc>
      </w:tr>
    </w:tbl>
    <w:p/>
    <w:p>
      <w:r>
        <w:br w:type="page"/>
      </w:r>
    </w:p>
    <w:p>
      <w:pPr>
        <w:pStyle w:val="Heading2"/>
      </w:pPr>
      <w:r>
        <w:t>模块六：形态趋势分析（权重5%）</w:t>
      </w:r>
    </w:p>
    <w:p>
      <w:r>
        <w:t>本模块共5个指标，用于分析K线形态和趋势变化。</w:t>
      </w:r>
    </w:p>
    <w:p>
      <w:pPr>
        <w:pStyle w:val="Heading3"/>
      </w:pPr>
      <w:r>
        <w:t>指标26：K线形态（趋势K线背离）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Candle Pattern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连续3根K线对比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2根K线对比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5根K线对比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上升K线体积递增，多头力量增强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下降K线体积递增，空头力量增强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pPr>
        <w:pStyle w:val="Heading3"/>
      </w:pPr>
      <w:r>
        <w:t>指标27：波幅递减（趋势幅度背离）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Range Decay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相邻3个周期波幅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相邻2个周期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相邻5个周期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下降趋势中波幅递减，下跌动力衰竭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上升趋势中波幅递减，上升动力衰竭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pPr>
        <w:pStyle w:val="Heading3"/>
      </w:pPr>
      <w:r>
        <w:t>指标28：时间度分析（趋势时间度背离）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Time Decay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周期数统计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短期周期数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长期周期数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下跌周期减少，底部时间确认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上升周期减少，顶部时间确认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pPr>
        <w:pStyle w:val="Heading3"/>
      </w:pPr>
      <w:r>
        <w:t>指标29：均线交叉（均线背离）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MA Crossover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5/10/20/50日线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5/10日线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20/50/100日线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短期均线上穿中长期均线，黄金交叉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短期均线下穿中长期均线，死亡交叉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pPr>
        <w:pStyle w:val="Heading3"/>
      </w:pPr>
      <w:r>
        <w:t>指标30：均线面积（均线面积背离）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MA Band Area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5/10/20日线带宽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5/10日线带宽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20/50/100日线带宽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均线粘合后分散向上，趋势确立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均线粘合后分散向下，趋势确立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r>
        <w:br w:type="page"/>
      </w:r>
    </w:p>
    <w:p>
      <w:pPr>
        <w:pStyle w:val="Heading2"/>
      </w:pPr>
      <w:r>
        <w:t>模块七：基本面辅助（权重5%）</w:t>
      </w:r>
    </w:p>
    <w:p>
      <w:r>
        <w:t>本模块共5个指标，用于评估上市公司的基本面质量。</w:t>
      </w:r>
    </w:p>
    <w:p>
      <w:pPr>
        <w:pStyle w:val="Heading3"/>
      </w:pPr>
      <w:r>
        <w:t>指标31：P/E（市盈率）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Price-to-Earnings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行业均值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10-20倍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40-50倍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P/E &lt; 行业均值50%，估值低廉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P/E &gt; 行业均值150%，估值过高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pPr>
        <w:pStyle w:val="Heading3"/>
      </w:pPr>
      <w:r>
        <w:t>指标32：P/B（市净率）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Price-to-Book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1-3倍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0.5-1.5倍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3-5倍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P/B &lt; 1，资产折价，机会信号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P/B &gt; 3，资产溢价，风险信号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pPr>
        <w:pStyle w:val="Heading3"/>
      </w:pPr>
      <w:r>
        <w:t>指标33：ROE（净资产收益率）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Return on Equity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年增长率&gt;10%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&gt;5%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&gt;15%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ROE持续&gt;15%，盈利能力强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ROE下降至&lt;5%，盈利能力弱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pPr>
        <w:pStyle w:val="Heading3"/>
      </w:pPr>
      <w:r>
        <w:t>指标34：EPS（每股收益）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Earnings Per Share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同比增长率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&gt;10%增长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&gt;30%增长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EPS同比增长&gt;20%，业绩高速增长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EPS同比增速&lt;0%，业绩开始下滑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pPr>
        <w:pStyle w:val="Heading3"/>
      </w:pPr>
      <w:r>
        <w:t>指标35：ROA（总资产收益率）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英文缩写</w:t>
            </w:r>
          </w:p>
        </w:tc>
        <w:tc>
          <w:tcPr>
            <w:tcW w:type="dxa" w:w="4680"/>
          </w:tcPr>
          <w:p>
            <w:r>
              <w:t>Return on Assets</w:t>
            </w:r>
          </w:p>
        </w:tc>
      </w:tr>
      <w:tr>
        <w:tc>
          <w:tcPr>
            <w:tcW w:type="dxa" w:w="4680"/>
          </w:tcPr>
          <w:p>
            <w:r>
              <w:t>标准参数</w:t>
            </w:r>
          </w:p>
        </w:tc>
        <w:tc>
          <w:tcPr>
            <w:tcW w:type="dxa" w:w="4680"/>
          </w:tcPr>
          <w:p>
            <w:r>
              <w:t>年增长率&gt;5%</w:t>
            </w:r>
          </w:p>
        </w:tc>
      </w:tr>
      <w:tr>
        <w:tc>
          <w:tcPr>
            <w:tcW w:type="dxa" w:w="4680"/>
          </w:tcPr>
          <w:p>
            <w:r>
              <w:t>短线参数</w:t>
            </w:r>
          </w:p>
        </w:tc>
        <w:tc>
          <w:tcPr>
            <w:tcW w:type="dxa" w:w="4680"/>
          </w:tcPr>
          <w:p>
            <w:r>
              <w:t>&gt;2%</w:t>
            </w:r>
          </w:p>
        </w:tc>
      </w:tr>
      <w:tr>
        <w:tc>
          <w:tcPr>
            <w:tcW w:type="dxa" w:w="4680"/>
          </w:tcPr>
          <w:p>
            <w:r>
              <w:t>长线参数</w:t>
            </w:r>
          </w:p>
        </w:tc>
        <w:tc>
          <w:tcPr>
            <w:tcW w:type="dxa" w:w="4680"/>
          </w:tcPr>
          <w:p>
            <w:r>
              <w:t>&gt;8%</w:t>
            </w:r>
          </w:p>
        </w:tc>
      </w:tr>
      <w:tr>
        <w:tc>
          <w:tcPr>
            <w:tcW w:type="dxa" w:w="4680"/>
          </w:tcPr>
          <w:p>
            <w:r>
              <w:t>买入条件</w:t>
            </w:r>
          </w:p>
        </w:tc>
        <w:tc>
          <w:tcPr>
            <w:tcW w:type="dxa" w:w="4680"/>
          </w:tcPr>
          <w:p>
            <w:r>
              <w:t>ROA &gt; 8%，资产效率高</w:t>
            </w:r>
          </w:p>
        </w:tc>
      </w:tr>
      <w:tr>
        <w:tc>
          <w:tcPr>
            <w:tcW w:type="dxa" w:w="4680"/>
          </w:tcPr>
          <w:p>
            <w:r>
              <w:t>卖出条件</w:t>
            </w:r>
          </w:p>
        </w:tc>
        <w:tc>
          <w:tcPr>
            <w:tcW w:type="dxa" w:w="4680"/>
          </w:tcPr>
          <w:p>
            <w:r>
              <w:t>ROA &lt; 2%，资产效率低</w:t>
            </w:r>
          </w:p>
        </w:tc>
      </w:tr>
      <w:tr>
        <w:tc>
          <w:tcPr>
            <w:tcW w:type="dxa" w:w="4680"/>
          </w:tcPr>
          <w:p>
            <w:r>
              <w:t>权重分值</w:t>
            </w:r>
          </w:p>
        </w:tc>
        <w:tc>
          <w:tcPr>
            <w:tcW w:type="dxa" w:w="4680"/>
          </w:tcPr>
          <w:p>
            <w:r>
              <w:t>1分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多维评分模型</w:t>
      </w:r>
    </w:p>
    <w:p>
      <w:r>
        <w:t>系统采用100分制综合评分模式，根据各模块指标的表现情况进行加权计分。</w:t>
      </w:r>
    </w:p>
    <w:p>
      <w:pPr>
        <w:pStyle w:val="Heading2"/>
      </w:pPr>
      <w:r>
        <w:t>3.1 评分构成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评分模块</w:t>
            </w:r>
          </w:p>
        </w:tc>
        <w:tc>
          <w:tcPr>
            <w:tcW w:type="dxa" w:w="3120"/>
          </w:tcPr>
          <w:p>
            <w:r>
              <w:t>权重</w:t>
            </w:r>
          </w:p>
        </w:tc>
        <w:tc>
          <w:tcPr>
            <w:tcW w:type="dxa" w:w="3120"/>
          </w:tcPr>
          <w:p>
            <w:r>
              <w:t>满分分数</w:t>
            </w:r>
          </w:p>
        </w:tc>
      </w:tr>
      <w:tr>
        <w:tc>
          <w:tcPr>
            <w:tcW w:type="dxa" w:w="3120"/>
          </w:tcPr>
          <w:p>
            <w:r>
              <w:t>趋势方向（5指标）</w:t>
            </w:r>
          </w:p>
        </w:tc>
        <w:tc>
          <w:tcPr>
            <w:tcW w:type="dxa" w:w="3120"/>
          </w:tcPr>
          <w:p>
            <w:r>
              <w:t>30%</w:t>
            </w:r>
          </w:p>
        </w:tc>
        <w:tc>
          <w:tcPr>
            <w:tcW w:type="dxa" w:w="3120"/>
          </w:tcPr>
          <w:p>
            <w:r>
              <w:t>30分</w:t>
            </w:r>
          </w:p>
        </w:tc>
      </w:tr>
      <w:tr>
        <w:tc>
          <w:tcPr>
            <w:tcW w:type="dxa" w:w="3120"/>
          </w:tcPr>
          <w:p>
            <w:r>
              <w:t>动量振荡（5指标）</w:t>
            </w:r>
          </w:p>
        </w:tc>
        <w:tc>
          <w:tcPr>
            <w:tcW w:type="dxa" w:w="3120"/>
          </w:tcPr>
          <w:p>
            <w:r>
              <w:t>20%</w:t>
            </w:r>
          </w:p>
        </w:tc>
        <w:tc>
          <w:tcPr>
            <w:tcW w:type="dxa" w:w="3120"/>
          </w:tcPr>
          <w:p>
            <w:r>
              <w:t>20分</w:t>
            </w:r>
          </w:p>
        </w:tc>
      </w:tr>
      <w:tr>
        <w:tc>
          <w:tcPr>
            <w:tcW w:type="dxa" w:w="3120"/>
          </w:tcPr>
          <w:p>
            <w:r>
              <w:t>成交量验证（5指标）</w:t>
            </w:r>
          </w:p>
        </w:tc>
        <w:tc>
          <w:tcPr>
            <w:tcW w:type="dxa" w:w="3120"/>
          </w:tcPr>
          <w:p>
            <w:r>
              <w:t>15%</w:t>
            </w:r>
          </w:p>
        </w:tc>
        <w:tc>
          <w:tcPr>
            <w:tcW w:type="dxa" w:w="3120"/>
          </w:tcPr>
          <w:p>
            <w:r>
              <w:t>15分</w:t>
            </w:r>
          </w:p>
        </w:tc>
      </w:tr>
      <w:tr>
        <w:tc>
          <w:tcPr>
            <w:tcW w:type="dxa" w:w="3120"/>
          </w:tcPr>
          <w:p>
            <w:r>
              <w:t>波动率评估（5指标）</w:t>
            </w:r>
          </w:p>
        </w:tc>
        <w:tc>
          <w:tcPr>
            <w:tcW w:type="dxa" w:w="3120"/>
          </w:tcPr>
          <w:p>
            <w:r>
              <w:t>10%</w:t>
            </w:r>
          </w:p>
        </w:tc>
        <w:tc>
          <w:tcPr>
            <w:tcW w:type="dxa" w:w="3120"/>
          </w:tcPr>
          <w:p>
            <w:r>
              <w:t>10分</w:t>
            </w:r>
          </w:p>
        </w:tc>
      </w:tr>
      <w:tr>
        <w:tc>
          <w:tcPr>
            <w:tcW w:type="dxa" w:w="3120"/>
          </w:tcPr>
          <w:p>
            <w:r>
              <w:t>背离信号（5指标）</w:t>
            </w:r>
          </w:p>
        </w:tc>
        <w:tc>
          <w:tcPr>
            <w:tcW w:type="dxa" w:w="3120"/>
          </w:tcPr>
          <w:p>
            <w:r>
              <w:t>15%</w:t>
            </w:r>
          </w:p>
        </w:tc>
        <w:tc>
          <w:tcPr>
            <w:tcW w:type="dxa" w:w="3120"/>
          </w:tcPr>
          <w:p>
            <w:r>
              <w:t>15分</w:t>
            </w:r>
          </w:p>
        </w:tc>
      </w:tr>
      <w:tr>
        <w:tc>
          <w:tcPr>
            <w:tcW w:type="dxa" w:w="3120"/>
          </w:tcPr>
          <w:p>
            <w:r>
              <w:t>形态趋势（5指标）</w:t>
            </w:r>
          </w:p>
        </w:tc>
        <w:tc>
          <w:tcPr>
            <w:tcW w:type="dxa" w:w="3120"/>
          </w:tcPr>
          <w:p>
            <w:r>
              <w:t>5%</w:t>
            </w:r>
          </w:p>
        </w:tc>
        <w:tc>
          <w:tcPr>
            <w:tcW w:type="dxa" w:w="3120"/>
          </w:tcPr>
          <w:p>
            <w:r>
              <w:t>5分</w:t>
            </w:r>
          </w:p>
        </w:tc>
      </w:tr>
      <w:tr>
        <w:tc>
          <w:tcPr>
            <w:tcW w:type="dxa" w:w="3120"/>
          </w:tcPr>
          <w:p>
            <w:r>
              <w:t>基本面（5指标）</w:t>
            </w:r>
          </w:p>
        </w:tc>
        <w:tc>
          <w:tcPr>
            <w:tcW w:type="dxa" w:w="3120"/>
          </w:tcPr>
          <w:p>
            <w:r>
              <w:t>5%</w:t>
            </w:r>
          </w:p>
        </w:tc>
        <w:tc>
          <w:tcPr>
            <w:tcW w:type="dxa" w:w="3120"/>
          </w:tcPr>
          <w:p>
            <w:r>
              <w:t>5分</w:t>
            </w:r>
          </w:p>
        </w:tc>
      </w:tr>
      <w:tr>
        <w:tc>
          <w:tcPr>
            <w:tcW w:type="dxa" w:w="3120"/>
          </w:tcPr>
          <w:p>
            <w:r>
              <w:t>总计</w:t>
            </w:r>
          </w:p>
        </w:tc>
        <w:tc>
          <w:tcPr>
            <w:tcW w:type="dxa" w:w="3120"/>
          </w:tcPr>
          <w:p>
            <w:r>
              <w:t>100%</w:t>
            </w:r>
          </w:p>
        </w:tc>
        <w:tc>
          <w:tcPr>
            <w:tcW w:type="dxa" w:w="3120"/>
          </w:tcPr>
          <w:p>
            <w:r>
              <w:t>100分</w:t>
            </w:r>
          </w:p>
        </w:tc>
      </w:tr>
    </w:tbl>
    <w:p>
      <w:pPr>
        <w:pStyle w:val="Heading2"/>
      </w:pPr>
      <w:r>
        <w:t>3.2 评分标准与对应操作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总分范围</w:t>
            </w:r>
          </w:p>
        </w:tc>
        <w:tc>
          <w:tcPr>
            <w:tcW w:type="dxa" w:w="3120"/>
          </w:tcPr>
          <w:p>
            <w:r>
              <w:t>评级</w:t>
            </w:r>
          </w:p>
        </w:tc>
        <w:tc>
          <w:tcPr>
            <w:tcW w:type="dxa" w:w="3120"/>
          </w:tcPr>
          <w:p>
            <w:r>
              <w:t>对应操作</w:t>
            </w:r>
          </w:p>
        </w:tc>
      </w:tr>
      <w:tr>
        <w:tc>
          <w:tcPr>
            <w:tcW w:type="dxa" w:w="3120"/>
          </w:tcPr>
          <w:p>
            <w:r>
              <w:t>80-100分</w:t>
            </w:r>
          </w:p>
        </w:tc>
        <w:tc>
          <w:tcPr>
            <w:tcW w:type="dxa" w:w="3120"/>
          </w:tcPr>
          <w:p>
            <w:r>
              <w:t>强烈买入</w:t>
            </w:r>
          </w:p>
        </w:tc>
        <w:tc>
          <w:tcPr>
            <w:tcW w:type="dxa" w:w="3120"/>
          </w:tcPr>
          <w:p>
            <w:r>
              <w:t>加仓至满仓，保持持有</w:t>
            </w:r>
          </w:p>
        </w:tc>
      </w:tr>
      <w:tr>
        <w:tc>
          <w:tcPr>
            <w:tcW w:type="dxa" w:w="3120"/>
          </w:tcPr>
          <w:p>
            <w:r>
              <w:t>60-79分</w:t>
            </w:r>
          </w:p>
        </w:tc>
        <w:tc>
          <w:tcPr>
            <w:tcW w:type="dxa" w:w="3120"/>
          </w:tcPr>
          <w:p>
            <w:r>
              <w:t>买入/加仓</w:t>
            </w:r>
          </w:p>
        </w:tc>
        <w:tc>
          <w:tcPr>
            <w:tcW w:type="dxa" w:w="3120"/>
          </w:tcPr>
          <w:p>
            <w:r>
              <w:t>可以建仓或加仓至标准仓位</w:t>
            </w:r>
          </w:p>
        </w:tc>
      </w:tr>
      <w:tr>
        <w:tc>
          <w:tcPr>
            <w:tcW w:type="dxa" w:w="3120"/>
          </w:tcPr>
          <w:p>
            <w:r>
              <w:t>40-59分</w:t>
            </w:r>
          </w:p>
        </w:tc>
        <w:tc>
          <w:tcPr>
            <w:tcW w:type="dxa" w:w="3120"/>
          </w:tcPr>
          <w:p>
            <w:r>
              <w:t>观望/轻仓</w:t>
            </w:r>
          </w:p>
        </w:tc>
        <w:tc>
          <w:tcPr>
            <w:tcW w:type="dxa" w:w="3120"/>
          </w:tcPr>
          <w:p>
            <w:r>
              <w:t>信号不明确，保持轻仓观望</w:t>
            </w:r>
          </w:p>
        </w:tc>
      </w:tr>
      <w:tr>
        <w:tc>
          <w:tcPr>
            <w:tcW w:type="dxa" w:w="3120"/>
          </w:tcPr>
          <w:p>
            <w:r>
              <w:t>20-39分</w:t>
            </w:r>
          </w:p>
        </w:tc>
        <w:tc>
          <w:tcPr>
            <w:tcW w:type="dxa" w:w="3120"/>
          </w:tcPr>
          <w:p>
            <w:r>
              <w:t>减仓/回避</w:t>
            </w:r>
          </w:p>
        </w:tc>
        <w:tc>
          <w:tcPr>
            <w:tcW w:type="dxa" w:w="3120"/>
          </w:tcPr>
          <w:p>
            <w:r>
              <w:t>风险显现，减少仓位</w:t>
            </w:r>
          </w:p>
        </w:tc>
      </w:tr>
      <w:tr>
        <w:tc>
          <w:tcPr>
            <w:tcW w:type="dxa" w:w="3120"/>
          </w:tcPr>
          <w:p>
            <w:r>
              <w:t>0-19分</w:t>
            </w:r>
          </w:p>
        </w:tc>
        <w:tc>
          <w:tcPr>
            <w:tcW w:type="dxa" w:w="3120"/>
          </w:tcPr>
          <w:p>
            <w:r>
              <w:t>强烈卖出</w:t>
            </w:r>
          </w:p>
        </w:tc>
        <w:tc>
          <w:tcPr>
            <w:tcW w:type="dxa" w:w="3120"/>
          </w:tcPr>
          <w:p>
            <w:r>
              <w:t>立即清仓，等待恢复</w:t>
            </w:r>
          </w:p>
        </w:tc>
      </w:tr>
    </w:tbl>
    <w:p>
      <w:pPr>
        <w:pStyle w:val="Heading2"/>
      </w:pPr>
      <w:r>
        <w:t>3.3 评分说明</w:t>
      </w:r>
    </w:p>
    <w:p>
      <w:pPr>
        <w:pStyle w:val="ListBullet"/>
      </w:pPr>
      <w:r>
        <w:t>强烈买入/持有（80-100分）：系统信号高度一致，多个模块共振，适合加仓和积极参与。</w:t>
      </w:r>
    </w:p>
    <w:p>
      <w:pPr>
        <w:pStyle w:val="ListBullet"/>
      </w:pPr>
      <w:r>
        <w:t>买入/加仓（60-79分）：系统信号较为明确，趋势判断清晰，可以参与但仓位相对谨慎。</w:t>
      </w:r>
    </w:p>
    <w:p>
      <w:pPr>
        <w:pStyle w:val="ListBullet"/>
      </w:pPr>
      <w:r>
        <w:t>观望/轻仓（40-59分）：系统信号不够明确，指标之间有分歧，应该等待更清晰的信号。</w:t>
      </w:r>
    </w:p>
    <w:p>
      <w:pPr>
        <w:pStyle w:val="ListBullet"/>
      </w:pPr>
      <w:r>
        <w:t>减仓/回避（20-39分）：系统信号偏弱，风险开始显现，应该减少仓位。</w:t>
      </w:r>
    </w:p>
    <w:p>
      <w:pPr>
        <w:pStyle w:val="ListBullet"/>
      </w:pPr>
      <w:r>
        <w:t>强烈卖出/清仓（0-19分）：系统信号极度悲观，应该果断清仓并等待新的机会。</w:t>
      </w:r>
    </w:p>
    <w:p>
      <w:r>
        <w:br w:type="page"/>
      </w:r>
    </w:p>
    <w:p>
      <w:pPr>
        <w:pStyle w:val="Heading1"/>
      </w:pPr>
      <w:r>
        <w:t>第四章 交易策略矩阵</w:t>
      </w:r>
    </w:p>
    <w:p>
      <w:r>
        <w:t>根据不同的市场环境，系统采用差异化的策略配置和指标权重调整。</w:t>
      </w:r>
    </w:p>
    <w:p>
      <w:pPr>
        <w:pStyle w:val="Heading2"/>
      </w:pPr>
      <w:r>
        <w:t>4.1 牛市策略</w:t>
      </w:r>
    </w:p>
    <w:p>
      <w:r>
        <w:t>市场特征：整体上升趋势，新高频繁出现，回调浅，成交量持续增加</w:t>
      </w:r>
    </w:p>
    <w:p>
      <w:pPr>
        <w:pStyle w:val="ListBullet"/>
      </w:pPr>
      <w:r>
        <w:t>策略调整：</w:t>
      </w:r>
    </w:p>
    <w:p>
      <w:pPr>
        <w:pStyle w:val="ListBullet2"/>
      </w:pPr>
      <w:r>
        <w:t>将趋势模块权重提升至40%（原30%），减弱振荡模块权重至15%</w:t>
      </w:r>
    </w:p>
    <w:p>
      <w:pPr>
        <w:pStyle w:val="ListBullet2"/>
      </w:pPr>
      <w:r>
        <w:t>强化MA、EMA、MACD等趋势跟踪指标的权重</w:t>
      </w:r>
    </w:p>
    <w:p>
      <w:pPr>
        <w:pStyle w:val="ListBullet2"/>
      </w:pPr>
      <w:r>
        <w:t>降低RSI、KDJ等超买超卖信号的重要性，避免过早止盈</w:t>
      </w:r>
    </w:p>
    <w:p>
      <w:pPr>
        <w:pStyle w:val="ListBullet2"/>
      </w:pPr>
      <w:r>
        <w:t>核心策略：趋势跟踪，顺势做多，浅回调加仓</w:t>
      </w:r>
    </w:p>
    <w:p>
      <w:pPr>
        <w:pStyle w:val="Heading2"/>
      </w:pPr>
      <w:r>
        <w:t>4.2 熊市策略</w:t>
      </w:r>
    </w:p>
    <w:p>
      <w:r>
        <w:t>市场特征：整体下降趋势，新低频繁出现，反弹弱，成交量萎靡</w:t>
      </w:r>
    </w:p>
    <w:p>
      <w:pPr>
        <w:pStyle w:val="ListBullet"/>
      </w:pPr>
      <w:r>
        <w:t>策略调整：</w:t>
      </w:r>
    </w:p>
    <w:p>
      <w:pPr>
        <w:pStyle w:val="ListBullet2"/>
      </w:pPr>
      <w:r>
        <w:t>将背离和振荡模块权重各提升至22%，减弱趋势权重至20%</w:t>
      </w:r>
    </w:p>
    <w:p>
      <w:pPr>
        <w:pStyle w:val="ListBullet2"/>
      </w:pPr>
      <w:r>
        <w:t>强化背离信号检测，捕捉反弹的关键顶部</w:t>
      </w:r>
    </w:p>
    <w:p>
      <w:pPr>
        <w:pStyle w:val="ListBullet2"/>
      </w:pPr>
      <w:r>
        <w:t>充分利用RSI、KDJ等指标的超买超卖区域</w:t>
      </w:r>
    </w:p>
    <w:p>
      <w:pPr>
        <w:pStyle w:val="ListBullet2"/>
      </w:pPr>
      <w:r>
        <w:t>核心策略：谨慎做空，关注反弹顶部，快速止盈</w:t>
      </w:r>
    </w:p>
    <w:p>
      <w:pPr>
        <w:pStyle w:val="Heading2"/>
      </w:pPr>
      <w:r>
        <w:t>4.3 震荡市策略</w:t>
      </w:r>
    </w:p>
    <w:p>
      <w:r>
        <w:t>市场特征：价格在一定区间内反复震荡，缺乏明确方向，成交量交替</w:t>
      </w:r>
    </w:p>
    <w:p>
      <w:pPr>
        <w:pStyle w:val="ListBullet"/>
      </w:pPr>
      <w:r>
        <w:t>策略调整：</w:t>
      </w:r>
    </w:p>
    <w:p>
      <w:pPr>
        <w:pStyle w:val="ListBullet2"/>
      </w:pPr>
      <w:r>
        <w:t>将振荡模块权重提升至28%，波动率模块权重提升至15%</w:t>
      </w:r>
    </w:p>
    <w:p>
      <w:pPr>
        <w:pStyle w:val="ListBullet2"/>
      </w:pPr>
      <w:r>
        <w:t>重点利用布林线、肯特纳通道等通道指标</w:t>
      </w:r>
    </w:p>
    <w:p>
      <w:pPr>
        <w:pStyle w:val="ListBullet2"/>
      </w:pPr>
      <w:r>
        <w:t>频繁利用KDJ、RSI在超买超卖区域的反转信号</w:t>
      </w:r>
    </w:p>
    <w:p>
      <w:pPr>
        <w:pStyle w:val="ListBullet2"/>
      </w:pPr>
      <w:r>
        <w:t>核心策略：高抛低吸，把握高低点，小利快出</w:t>
      </w:r>
    </w:p>
    <w:p>
      <w:r>
        <w:br w:type="page"/>
      </w:r>
    </w:p>
    <w:p>
      <w:pPr>
        <w:pStyle w:val="Heading1"/>
      </w:pPr>
      <w:r>
        <w:t>第五章 风险管理体系</w:t>
      </w:r>
    </w:p>
    <w:p>
      <w:r>
        <w:t>风险管理是长期盈利的保证。本系统采用多维度的风险管理措施。</w:t>
      </w:r>
    </w:p>
    <w:p>
      <w:pPr>
        <w:pStyle w:val="Heading2"/>
      </w:pPr>
      <w:r>
        <w:t>5.1 止损设置</w:t>
      </w:r>
    </w:p>
    <w:p>
      <w:r>
        <w:t>单笔止损金额：不超过总资金的2%</w:t>
      </w:r>
    </w:p>
    <w:p>
      <w:r>
        <w:t>止损设置方法：采用2-3倍ATR止损法</w:t>
      </w:r>
    </w:p>
    <w:p>
      <w:pPr>
        <w:pStyle w:val="ListBullet"/>
      </w:pPr>
      <w:r>
        <w:t>长期趋势交易：止损 = 入场价 - 3×ATR14</w:t>
      </w:r>
    </w:p>
    <w:p>
      <w:pPr>
        <w:pStyle w:val="ListBullet"/>
      </w:pPr>
      <w:r>
        <w:t>短期波段交易：止损 = 入场价 - 2×ATR7</w:t>
      </w:r>
    </w:p>
    <w:p>
      <w:pPr>
        <w:pStyle w:val="ListBullet"/>
      </w:pPr>
      <w:r>
        <w:t>日内交易：止损 = 入场价 - 1.5×ATR</w:t>
      </w:r>
    </w:p>
    <w:p>
      <w:pPr>
        <w:pStyle w:val="Heading2"/>
      </w:pPr>
      <w:r>
        <w:t>5.2 仓位管理</w:t>
      </w:r>
    </w:p>
    <w:p>
      <w:r>
        <w:t>基础仓位计算：使用凯利公式简化版</w:t>
      </w:r>
    </w:p>
    <w:p>
      <w:r>
        <w:t>单笔仓位 = (2×胜率 - 1)×25%</w:t>
      </w:r>
    </w:p>
    <w:p>
      <w:r>
        <w:t>(假设胜率60%时，基础仓位 = (120%-100%)×25% = 5%)</w:t>
      </w:r>
    </w:p>
    <w:p>
      <w:r>
        <w:t>动态调整：根据系统评分调整仓位</w:t>
      </w:r>
    </w:p>
    <w:p>
      <w:pPr>
        <w:pStyle w:val="ListBullet"/>
      </w:pPr>
      <w:r>
        <w:t>80-100分：1.5倍基础仓位（满仓）</w:t>
      </w:r>
    </w:p>
    <w:p>
      <w:pPr>
        <w:pStyle w:val="ListBullet"/>
      </w:pPr>
      <w:r>
        <w:t>60-79分：1.0倍基础仓位（标准仓位）</w:t>
      </w:r>
    </w:p>
    <w:p>
      <w:pPr>
        <w:pStyle w:val="ListBullet"/>
      </w:pPr>
      <w:r>
        <w:t>40-59分：0.5倍基础仓位（轻仓）</w:t>
      </w:r>
    </w:p>
    <w:p>
      <w:pPr>
        <w:pStyle w:val="ListBullet"/>
      </w:pPr>
      <w:r>
        <w:t>小于40分：0倍（空仓观望）</w:t>
      </w:r>
    </w:p>
    <w:p>
      <w:pPr>
        <w:pStyle w:val="Heading2"/>
      </w:pPr>
      <w:r>
        <w:t>5.3 回撤控制</w:t>
      </w:r>
    </w:p>
    <w:p>
      <w:r>
        <w:t>最大回撤限制：总资金的15%</w:t>
      </w:r>
    </w:p>
    <w:p>
      <w:r>
        <w:t>超过10%回撤时：开始减仓，每减少5%回撤风险都要减少一定仓位</w:t>
      </w:r>
    </w:p>
    <w:p>
      <w:r>
        <w:t>超过15%回撤时：全部清仓，进入观察期，等待系统评分恢复至60分以上</w:t>
      </w:r>
    </w:p>
    <w:p>
      <w:pPr>
        <w:pStyle w:val="Heading2"/>
      </w:pPr>
      <w:r>
        <w:t>5.4 加减仓规则</w:t>
      </w:r>
    </w:p>
    <w:p>
      <w:r>
        <w:t>加仓条件：</w:t>
      </w:r>
    </w:p>
    <w:p>
      <w:pPr>
        <w:pStyle w:val="ListBullet"/>
      </w:pPr>
      <w:r>
        <w:t>系统评分从小于60分上升至大于等于60分，可以开始建仓</w:t>
      </w:r>
    </w:p>
    <w:p>
      <w:pPr>
        <w:pStyle w:val="ListBullet"/>
      </w:pPr>
      <w:r>
        <w:t>系统评分从60-79分上升至大于等于80分，可以加仓至满仓</w:t>
      </w:r>
    </w:p>
    <w:p>
      <w:pPr>
        <w:pStyle w:val="ListBullet"/>
      </w:pPr>
      <w:r>
        <w:t>每个交易周期最多加仓1-2次，避免频繁调整</w:t>
      </w:r>
    </w:p>
    <w:p>
      <w:r>
        <w:t>减仓条件：</w:t>
      </w:r>
    </w:p>
    <w:p>
      <w:pPr>
        <w:pStyle w:val="ListBullet"/>
      </w:pPr>
      <w:r>
        <w:t>系统评分从大于等于80分下降至小于80分，减仓至标准仓位</w:t>
      </w:r>
    </w:p>
    <w:p>
      <w:pPr>
        <w:pStyle w:val="ListBullet"/>
      </w:pPr>
      <w:r>
        <w:t>系统评分从60-79分下降至小于60分，继续减仓至轻仓或空仓</w:t>
      </w:r>
    </w:p>
    <w:p>
      <w:pPr>
        <w:pStyle w:val="ListBullet"/>
      </w:pPr>
      <w:r>
        <w:t>价格创新高但指标不创新高（背离），应该立即减仓三分之一</w:t>
      </w:r>
    </w:p>
    <w:p>
      <w:r>
        <w:br w:type="page"/>
      </w:r>
    </w:p>
    <w:p>
      <w:pPr>
        <w:pStyle w:val="Heading1"/>
      </w:pPr>
      <w:r>
        <w:t>第六章 回测与优化框架</w:t>
      </w:r>
    </w:p>
    <w:p>
      <w:pPr>
        <w:pStyle w:val="Heading2"/>
      </w:pPr>
      <w:r>
        <w:t>6.1 参数优化方法</w:t>
      </w:r>
    </w:p>
    <w:p>
      <w:r>
        <w:t>步骤化参数优化流程：</w:t>
      </w:r>
    </w:p>
    <w:p>
      <w:pPr>
        <w:pStyle w:val="ListNumber"/>
      </w:pPr>
      <w:r>
        <w:t>第一步：选定优化周期（通常为3-5年历史数据）</w:t>
      </w:r>
    </w:p>
    <w:p>
      <w:pPr>
        <w:pStyle w:val="ListNumber"/>
      </w:pPr>
      <w:r>
        <w:t>第二步：设定参数搜索范围（每个指标参数的加减20%范围内）</w:t>
      </w:r>
    </w:p>
    <w:p>
      <w:pPr>
        <w:pStyle w:val="ListNumber"/>
      </w:pPr>
      <w:r>
        <w:t>第三步：使用网格搜索或遗传算法进行参数组合测试</w:t>
      </w:r>
    </w:p>
    <w:p>
      <w:pPr>
        <w:pStyle w:val="ListNumber"/>
      </w:pPr>
      <w:r>
        <w:t>第四步：根据夏普比率、收益回撤比选出最优参数组合</w:t>
      </w:r>
    </w:p>
    <w:p>
      <w:pPr>
        <w:pStyle w:val="Heading2"/>
      </w:pPr>
      <w:r>
        <w:t>6.2 样本内外测试</w:t>
      </w:r>
    </w:p>
    <w:p>
      <w:r>
        <w:t>样本内（In-Sample）测试：</w:t>
      </w:r>
    </w:p>
    <w:p>
      <w:pPr>
        <w:pStyle w:val="ListBullet"/>
      </w:pPr>
      <w:r>
        <w:t>使用优化参数对历史数据进行回测，评估策略基本有效性</w:t>
      </w:r>
    </w:p>
    <w:p>
      <w:pPr>
        <w:pStyle w:val="ListBullet"/>
      </w:pPr>
      <w:r>
        <w:t>通常采用70%的历史数据用于优化</w:t>
      </w:r>
    </w:p>
    <w:p>
      <w:r>
        <w:t>样本外（Out-Of-Sample）测试：</w:t>
      </w:r>
    </w:p>
    <w:p>
      <w:pPr>
        <w:pStyle w:val="ListBullet"/>
      </w:pPr>
      <w:r>
        <w:t>使用其余30%的未见过的历史数据进行测试</w:t>
      </w:r>
    </w:p>
    <w:p>
      <w:pPr>
        <w:pStyle w:val="ListBullet"/>
      </w:pPr>
      <w:r>
        <w:t>评估策略是否存在过度优化现象</w:t>
      </w:r>
    </w:p>
    <w:p>
      <w:pPr>
        <w:pStyle w:val="ListBullet"/>
      </w:pPr>
      <w:r>
        <w:t>样本外收益应该不低于样本内收益的70%</w:t>
      </w:r>
    </w:p>
    <w:p>
      <w:pPr>
        <w:pStyle w:val="Heading2"/>
      </w:pPr>
      <w:r>
        <w:t>6.3 关键绩效指标（KPI）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指标简称</w:t>
            </w:r>
          </w:p>
        </w:tc>
        <w:tc>
          <w:tcPr>
            <w:tcW w:type="dxa" w:w="3120"/>
          </w:tcPr>
          <w:p>
            <w:r>
              <w:t>计算方法</w:t>
            </w:r>
          </w:p>
        </w:tc>
        <w:tc>
          <w:tcPr>
            <w:tcW w:type="dxa" w:w="3120"/>
          </w:tcPr>
          <w:p>
            <w:r>
              <w:t>评估标准</w:t>
            </w:r>
          </w:p>
        </w:tc>
      </w:tr>
      <w:tr>
        <w:tc>
          <w:tcPr>
            <w:tcW w:type="dxa" w:w="3120"/>
          </w:tcPr>
          <w:p>
            <w:r>
              <w:t>年化收益</w:t>
            </w:r>
          </w:p>
        </w:tc>
        <w:tc>
          <w:tcPr>
            <w:tcW w:type="dxa" w:w="3120"/>
          </w:tcPr>
          <w:p>
            <w:r>
              <w:t>(期末-期初)/期初/年数</w:t>
            </w:r>
          </w:p>
        </w:tc>
        <w:tc>
          <w:tcPr>
            <w:tcW w:type="dxa" w:w="3120"/>
          </w:tcPr>
          <w:p>
            <w:r>
              <w:t>目标：&gt;20%</w:t>
            </w:r>
          </w:p>
        </w:tc>
      </w:tr>
      <w:tr>
        <w:tc>
          <w:tcPr>
            <w:tcW w:type="dxa" w:w="3120"/>
          </w:tcPr>
          <w:p>
            <w:r>
              <w:t>夏普比率</w:t>
            </w:r>
          </w:p>
        </w:tc>
        <w:tc>
          <w:tcPr>
            <w:tcW w:type="dxa" w:w="3120"/>
          </w:tcPr>
          <w:p>
            <w:r>
              <w:t>(年化收益-无风险率)/波动率</w:t>
            </w:r>
          </w:p>
        </w:tc>
        <w:tc>
          <w:tcPr>
            <w:tcW w:type="dxa" w:w="3120"/>
          </w:tcPr>
          <w:p>
            <w:r>
              <w:t>目标：&gt;1.0</w:t>
            </w:r>
          </w:p>
        </w:tc>
      </w:tr>
      <w:tr>
        <w:tc>
          <w:tcPr>
            <w:tcW w:type="dxa" w:w="3120"/>
          </w:tcPr>
          <w:p>
            <w:r>
              <w:t>最大回撤</w:t>
            </w:r>
          </w:p>
        </w:tc>
        <w:tc>
          <w:tcPr>
            <w:tcW w:type="dxa" w:w="3120"/>
          </w:tcPr>
          <w:p>
            <w:r>
              <w:t>历史最高到最低的跌幅</w:t>
            </w:r>
          </w:p>
        </w:tc>
        <w:tc>
          <w:tcPr>
            <w:tcW w:type="dxa" w:w="3120"/>
          </w:tcPr>
          <w:p>
            <w:r>
              <w:t>目标：&lt;20%</w:t>
            </w:r>
          </w:p>
        </w:tc>
      </w:tr>
      <w:tr>
        <w:tc>
          <w:tcPr>
            <w:tcW w:type="dxa" w:w="3120"/>
          </w:tcPr>
          <w:p>
            <w:r>
              <w:t>胜率</w:t>
            </w:r>
          </w:p>
        </w:tc>
        <w:tc>
          <w:tcPr>
            <w:tcW w:type="dxa" w:w="3120"/>
          </w:tcPr>
          <w:p>
            <w:r>
              <w:t>盈利笔数/总交易笔数</w:t>
            </w:r>
          </w:p>
        </w:tc>
        <w:tc>
          <w:tcPr>
            <w:tcW w:type="dxa" w:w="3120"/>
          </w:tcPr>
          <w:p>
            <w:r>
              <w:t>目标：&gt;55%</w:t>
            </w:r>
          </w:p>
        </w:tc>
      </w:tr>
      <w:tr>
        <w:tc>
          <w:tcPr>
            <w:tcW w:type="dxa" w:w="3120"/>
          </w:tcPr>
          <w:p>
            <w:r>
              <w:t>盈亏比</w:t>
            </w:r>
          </w:p>
        </w:tc>
        <w:tc>
          <w:tcPr>
            <w:tcW w:type="dxa" w:w="3120"/>
          </w:tcPr>
          <w:p>
            <w:r>
              <w:t>平均盈利/平均亏损</w:t>
            </w:r>
          </w:p>
        </w:tc>
        <w:tc>
          <w:tcPr>
            <w:tcW w:type="dxa" w:w="3120"/>
          </w:tcPr>
          <w:p>
            <w:r>
              <w:t>目标：&gt;1.5倍</w:t>
            </w:r>
          </w:p>
        </w:tc>
      </w:tr>
      <w:tr>
        <w:tc>
          <w:tcPr>
            <w:tcW w:type="dxa" w:w="3120"/>
          </w:tcPr>
          <w:p>
            <w:r>
              <w:t>收益回撤比</w:t>
            </w:r>
          </w:p>
        </w:tc>
        <w:tc>
          <w:tcPr>
            <w:tcW w:type="dxa" w:w="3120"/>
          </w:tcPr>
          <w:p>
            <w:r>
              <w:t>年化收益/最大回撤</w:t>
            </w:r>
          </w:p>
        </w:tc>
        <w:tc>
          <w:tcPr>
            <w:tcW w:type="dxa" w:w="3120"/>
          </w:tcPr>
          <w:p>
            <w:r>
              <w:t>目标：&gt;1.0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r>
        <w:t>6.4 持续优化流程</w:t>
      </w:r>
    </w:p>
    <w:p>
      <w:pPr>
        <w:pStyle w:val="ListBullet"/>
      </w:pPr>
      <w:r>
        <w:t>每季度评估一次：对过去3个月的交易情况进行复盘</w:t>
      </w:r>
    </w:p>
    <w:p>
      <w:pPr>
        <w:pStyle w:val="ListBullet"/>
      </w:pPr>
      <w:r>
        <w:t>实盘与回测对比：检查实盘成绩是否与回测结果一致</w:t>
      </w:r>
    </w:p>
    <w:p>
      <w:pPr>
        <w:pStyle w:val="ListBullet"/>
      </w:pPr>
      <w:r>
        <w:t>指标调整：如果实盘收益与回测差异超过20%，需要调整参数或规则</w:t>
      </w:r>
    </w:p>
    <w:p>
      <w:pPr>
        <w:pStyle w:val="ListBullet"/>
      </w:pPr>
      <w:r>
        <w:t>市场变化检测：当市场环境发生显著变化时需要重新优化</w:t>
      </w:r>
    </w:p>
    <w:p/>
    <w:p/>
    <w:p>
      <w:pPr>
        <w:jc w:val="center"/>
      </w:pPr>
      <w:r>
        <w:t>本系统方案持续更新中，欢迎反馈与改进意见。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0"/>
      </w:rPr>
      <w:t>多周期量化交易系统方案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