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</w:t>
      </w:r>
      <w:r>
        <w:rPr>
          <w:rFonts w:hint="default"/>
          <w:lang w:val="en-US" w:eastAsia="zh-CN"/>
        </w:rPr>
        <w:t>仓位管理与操作手法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一、基础仓位管控规则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单笔下单仓位限制：每笔交易下单仓位，上限为账户总仓位的1/30，严禁超额下单。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以损定仓规则：每笔交易止损额度，严格不超过总仓位1/30的1.5</w:t>
      </w:r>
      <w:r>
        <w:rPr>
          <w:rFonts w:hint="eastAsia"/>
          <w:lang w:val="en-US" w:eastAsia="zh-CN"/>
        </w:rPr>
        <w:t>倍</w:t>
      </w:r>
      <w:bookmarkStart w:id="0" w:name="_GoBack"/>
      <w:bookmarkEnd w:id="0"/>
      <w:r>
        <w:rPr>
          <w:rFonts w:hint="default"/>
          <w:lang w:val="en-US" w:eastAsia="zh-CN"/>
        </w:rPr>
        <w:t>，全程以预设止损金额反向确定下单仓位，严控单笔风险。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连续止损风控规则：交易出现连续2笔止损，立即停止所有新开仓操作，执行强制冷静，禁止盲目补单、逆势交易。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盈亏比准入规则：所有交易必须满足盈亏比≥3:1，盈亏比低于3:1的交易信号，一律放弃操作。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二、盈利阶梯风控与止盈规则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保本止损触发规则：当单笔持仓盈利达到100%时，立即将该笔订单止损位修改为开仓保本价，锁定本金，彻底消除持仓亏损风险。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阶梯减仓规则：当单笔持仓盈利达到260%时，系统自动执行减仓操作，平掉当前50%持仓，锁定一半利润，落袋为安。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移动止盈执行规则：完成上述50%仓位减仓后，剩余持仓全自动开启移动止盈；后续行情若出现利润回撤，且回撤幅度达到剩余持仓利润的30%，系统立即执行全部剩余仓位自动止盈离场。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85FEA"/>
    <w:rsid w:val="7FD85FEA"/>
    <w:rsid w:val="BD77A22F"/>
    <w:rsid w:val="DFA6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2026-04-29T09:45:00Z</dcterms:created>
  <dc:creator> 何润泽</dc:creator>
  <cp:lastModifiedBy> 何润泽</cp:lastModifiedBy>
  <dcterms:modified xsi:type="dcterms:W3CDTF">2026-04-30T17:46:06Z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1F77E0B78393D7279F81F0691CBC1681_41</vt:lpwstr>
  </property>
</Properties>
</file>