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二、明确行情趋势对应的特征</w:t>
      </w:r>
    </w:p>
    <w:bookmarkEnd w:id="0"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因为C-iv是熊市结构下的反弹行情，所以这一波反弹行情会上下反复慢慢推高，这种行情我们也称之为是比较磨擦的行情，这里的反弹目标82500～84500区域，极限86500，到达目标区域以后不再追多，观察其他指标信号，随时确认行情反弹到达顶部确认C-iv反弹结构结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 w:eastAsiaTheme="minorEastAsia"/>
          <w:lang w:val="en-US" w:eastAsia="zh-CN"/>
        </w:rPr>
        <w:t>.市场进入</w:t>
      </w:r>
      <w:r>
        <w:rPr>
          <w:rFonts w:hint="eastAsia"/>
          <w:lang w:val="en-US" w:eastAsia="zh-CN"/>
        </w:rPr>
        <w:t>C-v结构行情下</w:t>
      </w:r>
      <w:r>
        <w:rPr>
          <w:rFonts w:hint="eastAsia" w:eastAsiaTheme="minorEastAsia"/>
          <w:lang w:val="en-US" w:eastAsia="zh-CN"/>
        </w:rPr>
        <w:t>跌会加速，下跌</w:t>
      </w:r>
      <w:r>
        <w:rPr>
          <w:rFonts w:hint="eastAsia"/>
          <w:lang w:val="en-US" w:eastAsia="zh-CN"/>
        </w:rPr>
        <w:t>目标</w:t>
      </w:r>
      <w:r>
        <w:rPr>
          <w:rFonts w:hint="eastAsia" w:eastAsiaTheme="minorEastAsia"/>
          <w:lang w:val="en-US" w:eastAsia="zh-CN"/>
        </w:rPr>
        <w:t>幅度</w:t>
      </w:r>
      <w:r>
        <w:rPr>
          <w:rFonts w:hint="eastAsia"/>
          <w:lang w:val="en-US" w:eastAsia="zh-CN"/>
        </w:rPr>
        <w:t>40000点</w:t>
      </w:r>
      <w:r>
        <w:rPr>
          <w:rFonts w:hint="eastAsia" w:eastAsiaTheme="minorEastAsia"/>
          <w:lang w:val="en-US" w:eastAsia="zh-CN"/>
        </w:rPr>
        <w:t>，然后进入长时间的筑底阶段。</w:t>
      </w:r>
      <w:r>
        <w:rPr>
          <w:rFonts w:hint="eastAsia"/>
          <w:lang w:val="en-US" w:eastAsia="zh-CN"/>
        </w:rPr>
        <w:t>C-v下跌过程中反弹力度会比较小，所以高位空单为主，不做低位多单，直到行情达真正的底部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市场进入</w:t>
      </w:r>
      <w:r>
        <w:rPr>
          <w:rFonts w:hint="eastAsia"/>
          <w:lang w:val="en-US" w:eastAsia="zh-CN"/>
        </w:rPr>
        <w:t>C浪后期，</w:t>
      </w:r>
      <w:r>
        <w:rPr>
          <w:rFonts w:hint="eastAsia" w:eastAsiaTheme="minorEastAsia"/>
          <w:lang w:val="en-US" w:eastAsia="zh-CN"/>
        </w:rPr>
        <w:t>人们满怀希望的持有也已经很长一段时间了，因而他们会逐渐地在下跌过程中卖出，此时，买盘力量减少，人们失去了信心，此时反弹力度会更小，直到市场再次达到买卖平衡</w:t>
      </w:r>
      <w:r>
        <w:rPr>
          <w:rFonts w:hint="eastAsia"/>
          <w:lang w:val="en-US" w:eastAsia="zh-CN"/>
        </w:rPr>
        <w:t>，也就是行情底部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 w:eastAsiaTheme="minorEastAsia"/>
          <w:lang w:val="en-US" w:eastAsia="zh-CN"/>
        </w:rPr>
        <w:t>.行情趋于底部的成交量会增加</w:t>
      </w:r>
      <w:r>
        <w:rPr>
          <w:rFonts w:hint="eastAsia"/>
          <w:lang w:val="en-US" w:eastAsia="zh-CN"/>
        </w:rPr>
        <w:t>，所以当C-v结构下跌了35,000点以上，密切关注成交量，反转K所对应的成交量，是C-v下跌过程中平均成交量的1.5倍以上，不再追空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DC1FA"/>
    <w:multiLevelType w:val="singleLevel"/>
    <w:tmpl w:val="FD5DC1F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3E11BD"/>
    <w:rsid w:val="7B83918B"/>
    <w:rsid w:val="BF3E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2026-04-22T16:27:00Z</dcterms:created>
  <dc:creator> 何润泽</dc:creator>
  <cp:lastModifiedBy> 何润泽</cp:lastModifiedBy>
  <dcterms:modified xsi:type="dcterms:W3CDTF">2026-04-22T16:59:12Z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5BA56AD88D63D3E38E86E869206508EE_41</vt:lpwstr>
  </property>
</Properties>
</file>