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  <w:bookmarkStart w:id="0" w:name="_GoBack"/>
      <w:bookmarkEnd w:id="0"/>
      <w:r>
        <w:rPr>
          <w:rFonts w:hint="eastAsia"/>
          <w:lang w:val="en-US" w:eastAsia="zh-CN"/>
        </w:rPr>
        <w:t>.3上升三角形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核心定义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上升三角形：下轨抬升力度更强，上轨相对平缓收敛，区别于收敛三角形上下轨收敛角度均衡、双向振幅均匀收缩的特征。</w:t>
      </w:r>
      <w:r>
        <w:rPr>
          <w:rFonts w:hint="eastAsia"/>
          <w:lang w:val="en-US" w:eastAsia="zh-CN"/>
        </w:rPr>
        <w:t>如下图所示（以下所有内容都可参考此图）：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114300" distR="114300">
            <wp:extent cx="3848100" cy="2038350"/>
            <wp:effectExtent l="0" t="0" r="12700" b="190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一、目标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目标1：自动通过数学计算，识别盘面走势是否形成上升三角形专属收敛通道结构；</w:t>
      </w:r>
    </w:p>
    <w:p>
      <w:pPr>
        <w:rPr>
          <w:rFonts w:hint="eastAsia"/>
        </w:rPr>
      </w:pPr>
      <w:r>
        <w:rPr>
          <w:rFonts w:hint="eastAsia"/>
        </w:rPr>
        <w:t>目标2：满足上升三角形形态标准后，自动绘制对应的上升三角形通道（平缓收敛上轨+持续抬升下轨）；</w:t>
      </w:r>
    </w:p>
    <w:p>
      <w:pPr>
        <w:rPr>
          <w:rFonts w:hint="eastAsia"/>
        </w:rPr>
      </w:pPr>
      <w:r>
        <w:rPr>
          <w:rFonts w:hint="eastAsia"/>
        </w:rPr>
        <w:t>目标3：在上升三角形通道内部，自动识别、统计并走完标准ABCDE五浪内部子结构，五浪完全结束后仅等待行情真实突破，严禁提前预判突破方向。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二、第一步：先做【数据计算判定】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杜绝随意画线，依托数学逻辑判定上升三角形形态：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识别前置行情段，行情前期存在一段明确趋势或区间震荡走势；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抓取后续整理区间内的连续高点、连续低点数据；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数学计算判定核心形态：高点连线平缓小幅收敛、低点连线持续逐级抬高，上下轨单向收口、夹角持续收窄，呈现下轨抬升力度远强于上轨的特征；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计算区间整体走势：行情整体振幅持续压缩，高点缓慢收拢、低点不断上移，形成上升三角形专属单边收敛震荡结构。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需以上4项计算条件全部达标，才可判定本段行情为有效上升三角形形态。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第二步：判定合格后 → 自动绘制上升三角形结构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数学验证形态有效后，执行轨道绘制：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自动连接有效平缓波动的高点，绘制平缓收敛上轨（至少连接2个有效高点，保证轨道框住95%以上上升三角形整理阶段K线）；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自动连接有效逐级抬升的低点，绘制持续上行下轨（至少连接2个有效低点，保证轨道框住95%以上上升三角形整理阶段K线）；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形成标准上升三角形通道：上轨横向/微幅下行平缓收敛、下轨持续抬高上行，整体单向收口收缩。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：落在轨道上的高低点数量越多，上升三角形轨道标准度越高；绘制完成后需二次校验优化，保证多数高低点贴合对应轨道，维持下轨强抬升、上轨弱收敛的核心结构。允许少量K线小幅穿出轨道，核心要求通道覆盖95%以上整理期K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第三步：上升三角形画好后 → 内部五浪子结构+波次计算统计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以上轨、下轨固定边界，识别内部标准化波浪结构：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上升三角形轨道：上轨平缓收敛、下轨持续抬升的单向收敛倾斜轨道；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内部严格遵循ABCDE五浪子结构，该五浪仅为整理类波浪结构，区别于趋势性上涨5浪；由2波峰+3波谷 或 3波峰+2波谷，共计5个转折点构成；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A、B、C、D、E五浪需贴合上下轨道运行，可依托K线高低影线、收盘价触碰轨道或紧贴轨道附近，贴合点位越多形态有效性越强；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容错规则：单一浪未触碰轨道时，可延伸波浪起止线修正，未接触轨道的区间长度，不超过该波浪总长度10%，即判定波浪有效。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硬性规则：上升三角形整理周期内，必须完整走完ABCDE五浪结构；严禁提前预判涨跌方向，必须等待E浪走完、五浪结构完全终结，再进入突破观察阶段，只跟随盘面真实突破信号。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补充无效判定：行情向下跌破上升三角形下轨，远离轨道、留白空间超对应品种价格1%（以形态对应K线级别收线为准），且二次反弹无法重回下轨上方，判定形态提前破位、上升三角形失效。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四、上升三角形的用法和用法的条件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完整确立上升三角形结构、内部五浪子结构及有效波峰波谷后，五浪未走完的整理阶段，可依托区间震荡做波段交易：波谷支撑位择机做多，止损设置在横向水平支撑、交易密集区下方0.2%位置；波峰压力位择机做空，止损设置在横向压力、交易密集区上方0.2%位置，严格遵循支撑压力核心逻辑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五浪运行前四浪阶段，行情小幅刺破上升三角形上下轨属于常态，统一判定为内部整理震荡，不视为有效突破；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强制交易规则：E浪未走完、五浪结构未完整终结时，不预判突破、不布局突破单；五浪全部走完后，立即停止三角形内部高抛低吸操作，保持观望，耐心等待真实破位行情。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五、上升三角形的预测功能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上升三角形无主动方向预测能力：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仅作为中继整理结构使用，不依靠形态提前预判上涨或下跌；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唯一参考信号：内部ABCDE五浪完全走完，上下轨收敛夹角压缩至极致，代表行情即将选择方向突破，仅作风险与机会参考，不做主观涨跌判断。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六、上升三角形的适用周期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与收敛三角形一致，4小时、日线、周线周期稳定性最强，上升三角形结构规整度高、内部五浪识别精准度高，后续突破信号有效性最高。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七、上升三角形什么情况下无效？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五浪未完整走完阶段，行情提前异动破位：向上突破平缓上轨幅度超品种价格1%，且二次回踩站稳上轨上方；或向下跌破抬升下轨幅度超品种价格1%，且二次反弹无法重回下轨，满足任一组合条件，即上升三角形结构提前破坏，行情转为无序震荡，轨道内持仓需立即止损离场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完整走完ABCDE五浪后，长期极致收口、持续窄幅横盘无破位动作，终止三角形内波段交易，全程观望等待有效破位信号。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八、上升三角形波峰和波谷的位置如何做空和做多？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升三角形的上轨为关键压力区、下轨为关键支撑区，行情运行至轨道关键位置时，结合《5.2关键量识别》《5.3支撑区量价与关键K线》《5.4压力区量价与关键K线》内容，综合量价、关键K线、筹码密集度等多重条件，作为实际多空下单核心依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九、上升三角形五浪终结判定（最终判定标准）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同时满足以下三项条件，判定上升三角形整理彻底结束，进入纯突破等待期：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内部完整走完A、B、C、D、E全部五浪子结构，无缺失、无提前中断；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五浪运行振幅逐级收敛，后一浪震荡区间严格小于前一浪，符合整理收缩规律；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E浪形成整个上升三角形形态中振幅最小的收口拐点；</w:t>
      </w:r>
    </w:p>
    <w:p>
      <w:pPr>
        <w:rPr>
          <w:rFonts w:hint="eastAsia"/>
        </w:rPr>
      </w:pPr>
    </w:p>
    <w:p>
      <w:r>
        <w:rPr>
          <w:rFonts w:hint="eastAsia"/>
        </w:rPr>
        <w:t>五浪终结后，全程只参考盘面客观走势与真实破位，禁止任何人工、机器主观预判涨跌方向。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BD3C3"/>
    <w:rsid w:val="31E9F446"/>
    <w:rsid w:val="3FEA9C4B"/>
    <w:rsid w:val="B7DFF327"/>
    <w:rsid w:val="BBBF4D8D"/>
    <w:rsid w:val="DEF0F491"/>
    <w:rsid w:val="DFAA7D85"/>
    <w:rsid w:val="FFFBD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2026-04-26T10:49:00Z</dcterms:created>
  <dc:creator> 何润泽</dc:creator>
  <cp:lastModifiedBy> 何润泽</cp:lastModifiedBy>
  <dcterms:modified xsi:type="dcterms:W3CDTF">2026-05-01T19:09:43Z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F04A023D6ED9C097B44AEB69190F101B_41</vt:lpwstr>
  </property>
</Properties>
</file>