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</w:t>
      </w:r>
      <w:bookmarkStart w:id="0" w:name="_GoBack"/>
      <w:bookmarkEnd w:id="0"/>
      <w:r>
        <w:rPr>
          <w:rFonts w:hint="eastAsia"/>
          <w:lang w:val="en-US" w:eastAsia="zh-CN"/>
        </w:rPr>
        <w:t>.4下降三角形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一、核心形态定义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下降三角形：上轨回落力度更强，下轨相对平缓收敛，区别于对称收敛三角形上下轨收敛角度均衡、双向振幅均匀收缩，也区别于上升三角形下轨强抬升、上轨平缓收敛的结构特征。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如下图所示（以下所有内容都可参考此图）：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3390900" cy="2133600"/>
            <wp:effectExtent l="0" t="0" r="1270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一、目标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目标1：自动通过数学计算，识别盘面走势是否形成下降三角形专属收敛通道结构；</w:t>
      </w:r>
    </w:p>
    <w:p>
      <w:pPr>
        <w:rPr>
          <w:rFonts w:hint="eastAsia"/>
        </w:rPr>
      </w:pPr>
      <w:r>
        <w:rPr>
          <w:rFonts w:hint="eastAsia"/>
        </w:rPr>
        <w:t>目标2：满足下降三角形形态标准后，自动绘制对应的下降三角形通道（强势回落上轨+平缓收敛下轨）；</w:t>
      </w:r>
    </w:p>
    <w:p>
      <w:pPr>
        <w:rPr>
          <w:rFonts w:hint="eastAsia"/>
        </w:rPr>
      </w:pPr>
      <w:r>
        <w:rPr>
          <w:rFonts w:hint="eastAsia"/>
        </w:rPr>
        <w:t>目标3：在下降三角形通道内部，自动识别、统计并走完标准ABCDE五浪内部子结构，五浪完全结束后仅等待行情真实突破，严禁提前预判突破方向。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二、第一步：先做【数据计算判定】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杜绝随意画线，依托数学逻辑判定下降三角形形态：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识别前置行情段，行情前期存在一段明确趋势或区间震荡走势；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抓取后续整理区间内的连续高点、连续低点数据；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数学计算判定核心形态：高点连线持续逐级回落、回落收敛力度极强，低点连线走平、小幅平缓收敛，上下轨单向收口、夹角持续收窄，呈现上轨下行回落力度远强于下轨平缓收缩的特征；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计算区间整体走势：行情整体振幅持续压缩，高点持续下移收拢、低点基本持平小幅收拢，形成下降三角形专属单边收敛震荡结构。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需以上4项计算条件全部达标，才可判定本段行情为有效下降三角形形态。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第二步：判定合格后 → 自动绘制下降三角形结构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数学验证形态有效后，执行轨道绘制：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自动连接有效逐级回落的高点，绘制强势回落下行上轨（至少连接2个有效高点，保证轨道框住95%以上下降三角形整理阶段K线）；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自动连接有效平缓震荡的低点，绘制水平/微幅收敛下轨（至少连接2个有效低点，保证轨道框住95%以上下降三角形整理阶段K线）；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形成标准下降三角形通道：上轨持续强势回落下行、下轨横向平缓收敛，整体单向收口收缩。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：落在轨道上的高低点数量越多，下降三角形轨道标准度越高；绘制完成后需二次校验优化，保证多数高低点贴合对应轨道，维持上轨强回落、下轨弱收敛的核心结构。允许少量K线小幅穿出轨道，核心要求通道覆盖95%以上整理期K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第三步：下降三角形画好后 → 内部五浪子结构+波次计算统计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以上轨、下轨固定边界，识别内部标准化波浪结构：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下降三角形轨道：上轨强势回落收敛、下轨平缓走平收敛的单向收敛倾斜轨道；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内部严格遵循ABCDE五浪子结构，该五浪仅为整理类波浪结构，区别于趋势下跌5浪；由2波峰+3波谷 或 3波峰+2波谷，共计5个转折点构成；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A、B、C、D、E五浪需贴合上下轨道运行，可依托K线高低影线、收盘价触碰轨道或紧贴轨道附近，贴合点位越多形态有效性越强；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容错规则：单一浪未触碰轨道时，可延伸波浪起止线修正，未接触轨道的区间长度，不超过该波浪总长度10%，即判定波浪有效。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硬性规则：下降三角形整理周期内，必须完整走完ABCDE五浪结构；严禁提前预判涨跌方向，必须等待E浪走完、五浪结构完全终结，再进入突破观察阶段，只跟随盘面真实突破信号。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补充无效判定：行情向上突破下降三角形上轨，远离轨道、留白空间超对应品种价格1%（以形态对应K线级别收线为准），且二次回踩无法重回上轨下方，判定形态提前破位、下降三角形失效。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四、下降三角形的用法和用法的条件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完整确立下降三角形结构、内部五浪子结构及有效波峰波谷后，五浪未走完的整理阶段，可依托区间震荡做波段交易：波谷支撑位择机做多，止损设置在横向水平支撑、交易密集区下方0.2%位置；波峰压力位择机做空，止损设置在横向压力、交易密集区上方0.2%位置，严格遵循支撑压力核心逻辑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五浪运行前四浪阶段，行情小幅刺破下降三角形上下轨属于常态，统一判定为内部整理震荡，不视为有效突破；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强制交易规则：E浪未走完、五浪结构未完整终结时，不预判突破、不布局突破单；五浪全部走完后，立即停止三角形内部高抛低吸操作，保持观望，耐心等待真实破位行情。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五、下降三角形的预测功能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下降三角形无主动方向预测能力：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仅作为中继整理结构使用，不依靠形态提前预判上涨或下跌；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唯一参考信号：内部ABCDE五浪完全走完，上下轨收敛夹角压缩至极致，代表行情即将选择方向突破，仅作风险与机会参考，不做主观涨跌判断。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六、下降三角形的适用周期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与收敛三角形、上升三角形一致，4小时、日线、周线周期稳定性最强，下降三角形结构规整度高、内部五浪识别精准度高，后续突破信号有效性最高。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七、下降三角形什么情况下无效？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五浪未完整走完阶段，行情提前异动破位：向上突破回落上轨幅度超品种价格1%，且二次回踩站稳上轨上方；或向下跌破平缓下轨幅度超品种价格1%，且二次反弹无法重回下轨，满足任一组合条件，即下降三角形结构提前破坏，行情转为无序震荡，轨道内持仓需立即止损离场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完整走完ABCDE五浪后，长期极致收口、持续窄幅横盘无破位动作，终止三角形内波段交易，全程观望等待有效破位信号。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八、下降三角形波峰和波谷的位置如何做空和做多？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降三角形的上轨为关键压力区、下轨为关键支撑区，行情运行至轨道关键位置时，结合《5.2关键量识别》《5.3支撑区量价与关键K线》《5.4压力区量价与关键K线》内容，综合量价、关键K线、筹码密集度等多重条件，作为实际多空下单核心依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九、下降三角形五浪终结判定（最终判定标准）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同时满足以下三项条件，判定下降三角形整理彻底结束，进入纯突破等待期：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内部完整走完A、B、C、D、E全部五浪子结构，无缺失、无提前中断；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五浪运行振幅逐级收敛，后一浪震荡区间严格小于前一浪，符合整理收缩规律；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E浪形成整个下降三角形形态中振幅最小的收口拐点；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五浪终结后，全程只参考盘面客观走势与真实破位，禁止任何人工、机器主观预判涨跌方向。</w:t>
      </w:r>
    </w:p>
    <w:p>
      <w:r>
        <w:rPr>
          <w:rFonts w:hint="eastAsia"/>
        </w:rPr>
        <w:t>三份三角形形态的结构、规则、判定逻辑已经完全统一标准化了，需要我帮你整理一份三种三角形核心差异对比表，方便你快速区分使用吗？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7DD32F"/>
    <w:rsid w:val="2E3FE62F"/>
    <w:rsid w:val="5BFE0972"/>
    <w:rsid w:val="7FFD37D4"/>
    <w:rsid w:val="BB7DD32F"/>
    <w:rsid w:val="CEFAA455"/>
    <w:rsid w:val="D7AFC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2026-04-26T02:54:00Z</dcterms:created>
  <dc:creator> 何润泽</dc:creator>
  <cp:lastModifiedBy> 何润泽</cp:lastModifiedBy>
  <dcterms:modified xsi:type="dcterms:W3CDTF">2026-05-01T19:09:51Z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7F66E0EC4D0485BDFE4BEB69A10F3A26_41</vt:lpwstr>
  </property>
</Properties>
</file>