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bookmarkStart w:id="0" w:name="_GoBack"/>
      <w:bookmarkEnd w:id="0"/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量价配合支撑区域和关键K线使用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支撑区域（关键支撑区域）有效的判断依据：</w:t>
      </w:r>
    </w:p>
    <w:p>
      <w:pPr>
        <w:rPr>
          <w:rFonts w:hint="eastAsia"/>
        </w:rPr>
      </w:pPr>
      <w:r>
        <w:rPr>
          <w:rFonts w:hint="eastAsia"/>
        </w:rPr>
        <w:t>放量止跌</w:t>
      </w:r>
    </w:p>
    <w:p>
      <w:pPr>
        <w:rPr>
          <w:rFonts w:hint="eastAsia"/>
        </w:rPr>
      </w:pPr>
      <w:r>
        <w:rPr>
          <w:rFonts w:hint="eastAsia"/>
        </w:rPr>
        <w:t>1.首先在支撑区域（关键支撑）区域位置找到关键K和关键K所对应的关键量</w:t>
      </w:r>
    </w:p>
    <w:p>
      <w:pPr>
        <w:rPr>
          <w:rFonts w:hint="eastAsia"/>
        </w:rPr>
      </w:pPr>
      <w:r>
        <w:rPr>
          <w:rFonts w:hint="eastAsia"/>
        </w:rPr>
        <w:t>2.如果在这个支撑区域这个位置找到了关键K并且下方的量是放量（平均成交量的1.5-1.8倍以上）也就是关键量</w:t>
      </w:r>
    </w:p>
    <w:p>
      <w:pPr>
        <w:rPr>
          <w:rFonts w:hint="eastAsia"/>
        </w:rPr>
      </w:pPr>
      <w:r>
        <w:rPr>
          <w:rFonts w:hint="eastAsia"/>
        </w:rPr>
        <w:t>3.那么符合放量止跌，表明行情在这个区域止跌，有买盘进场撑住盘面，这是非常明显的做多信号，找到关键支撑位下方0.5%位置做多，止损必须在关键K最低价下方</w:t>
      </w:r>
      <w:r>
        <w:rPr>
          <w:rFonts w:hint="eastAsia"/>
          <w:lang w:val="en-US" w:eastAsia="zh-CN"/>
        </w:rPr>
        <w:t>0.2%的位置</w:t>
      </w:r>
    </w:p>
    <w:p>
      <w:pPr>
        <w:rPr>
          <w:rFonts w:hint="eastAsia"/>
        </w:rPr>
      </w:pPr>
      <w:r>
        <w:rPr>
          <w:rFonts w:hint="eastAsia"/>
        </w:rPr>
        <w:t>4.行情符合上面3点讲到的放量止跌，但是没有在本级别5根K线内反弹，这个时候注意观察量价异常，如果量价产生异常，小K线对应的量比较大（高出平均成交量1.3倍以上），是二次确认行情，底部撑住的信号再次证明底部位置有买盘进场，这也是做多的信号，找到关键支撑位下方0.5%位置做多，止损必须在关键K最低价下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各周期适用原则：</w:t>
      </w:r>
    </w:p>
    <w:p>
      <w:pPr>
        <w:rPr>
          <w:rFonts w:hint="eastAsia"/>
        </w:rPr>
      </w:pPr>
      <w:r>
        <w:rPr>
          <w:rFonts w:hint="eastAsia"/>
        </w:rPr>
        <w:t>1.如果是周线级别的下跌，放量止跌一定要在周线级别上看到信号才算放量止跌</w:t>
      </w:r>
    </w:p>
    <w:p>
      <w:pPr>
        <w:rPr>
          <w:rFonts w:hint="eastAsia"/>
        </w:rPr>
      </w:pPr>
      <w:r>
        <w:rPr>
          <w:rFonts w:hint="eastAsia"/>
        </w:rPr>
        <w:t>2.如果是日线级别的下跌，放量止跌一定要在日线级别上看到信号才算放量止跌</w:t>
      </w:r>
    </w:p>
    <w:p>
      <w:pPr>
        <w:rPr>
          <w:rFonts w:hint="eastAsia"/>
        </w:rPr>
      </w:pPr>
      <w:r>
        <w:rPr>
          <w:rFonts w:hint="eastAsia"/>
        </w:rPr>
        <w:t>3.注意：如果是4小时级别的下跌，第一种：一定要同时符合1小时放量（1小时放量必须是平均成交量的2-2.2倍以上才算放量）和4小时级别放量（平均成交量的1.5-1.8倍以上才算放量），二者都符合放量止跌的条件才算放量止跌，这个时候才可以参考上面的买进条件买进。第二种：一定要同时符合15分钟放量（15分钟放量必须是平均成交量的2.2-2.5倍以上才算放量）和1小时放量（1小时放量必须是平均成交量的2倍以上才算放量）还有4小时级别放量（平均成交量的1.5-1.6倍以上才算放量），三者都符合放量止跌的条件才算放量止跌，这个时候才可以参考上面的买进条件买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各级别冲突解决：周线&gt;日线&gt;4H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支撑位下破的迹象</w:t>
      </w:r>
    </w:p>
    <w:p>
      <w:pPr>
        <w:rPr>
          <w:rFonts w:hint="eastAsia"/>
        </w:rPr>
      </w:pPr>
      <w:r>
        <w:rPr>
          <w:rFonts w:hint="eastAsia"/>
        </w:rPr>
        <w:t>1.买卖双方力量都很强，成交量巨大（高于平均成交量1.5倍以上），但是价格却下行很多，这个时候支撑位上看到的是实体大阴线，下影线比较小，这是明确的抛压量而非量换手量。空头占主导。</w:t>
      </w:r>
    </w:p>
    <w:p>
      <w:pPr>
        <w:rPr>
          <w:rFonts w:hint="eastAsia"/>
        </w:rPr>
      </w:pPr>
      <w:r>
        <w:rPr>
          <w:rFonts w:hint="eastAsia"/>
        </w:rPr>
        <w:t>2.买方力量弱，卖方力量强，K线成大阴线，下影线比较小，成交量不大（和平均成交量持平或是平均成交量的1.1倍以下），但是价格持续下行，支撑位也是撑不住。（注：这种信号出现在周线和日线上是大跌的信号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BBD6CA"/>
    <w:rsid w:val="6D6A8A6D"/>
    <w:rsid w:val="9FEF4577"/>
    <w:rsid w:val="BEBBD6CA"/>
    <w:rsid w:val="FFEBD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2026-04-24T19:20:00Z</dcterms:created>
  <dc:creator> 何润泽</dc:creator>
  <cp:lastModifiedBy> 何润泽</cp:lastModifiedBy>
  <dcterms:modified xsi:type="dcterms:W3CDTF">2026-05-01T18:57:45Z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2C8AA778CE4DFA8C8A00EA6905F1BE14_41</vt:lpwstr>
  </property>
</Properties>
</file>